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36654" w14:textId="23D98D6B" w:rsidR="00352855" w:rsidRDefault="00352855"/>
    <w:p w14:paraId="4B8B130A" w14:textId="77081607" w:rsidR="00155D47" w:rsidRPr="00155D47" w:rsidRDefault="00155D47" w:rsidP="00155D47">
      <w:r w:rsidRPr="00155D47">
        <w:t>To</w:t>
      </w:r>
      <w:r>
        <w:t>:</w:t>
      </w:r>
      <w:r>
        <w:tab/>
      </w:r>
      <w:r w:rsidRPr="00155D47">
        <w:t xml:space="preserve"> AMS Board of Directors                                                                 ITEM #</w:t>
      </w:r>
      <w:r>
        <w:t>6</w:t>
      </w:r>
    </w:p>
    <w:p w14:paraId="31664408" w14:textId="097D605B" w:rsidR="00155D47" w:rsidRPr="00155D47" w:rsidRDefault="00155D47" w:rsidP="00155D47">
      <w:r w:rsidRPr="00155D47">
        <w:t>From</w:t>
      </w:r>
      <w:r>
        <w:t>:</w:t>
      </w:r>
      <w:r>
        <w:tab/>
      </w:r>
      <w:r w:rsidRPr="00155D47">
        <w:t xml:space="preserve"> G. Paech</w:t>
      </w:r>
      <w:r>
        <w:t>,</w:t>
      </w:r>
      <w:r w:rsidRPr="00155D47">
        <w:t xml:space="preserve"> CEO</w:t>
      </w:r>
    </w:p>
    <w:p w14:paraId="3B4CBD86" w14:textId="29E63137" w:rsidR="00155D47" w:rsidRPr="00155D47" w:rsidRDefault="00155D47" w:rsidP="00155D47">
      <w:r w:rsidRPr="00155D47">
        <w:t xml:space="preserve">Date: </w:t>
      </w:r>
      <w:r>
        <w:tab/>
      </w:r>
      <w:r w:rsidRPr="00155D47">
        <w:t>March 11, 2021</w:t>
      </w:r>
    </w:p>
    <w:p w14:paraId="0A0F96A0" w14:textId="09AFFE57" w:rsidR="00155D47" w:rsidRPr="00155D47" w:rsidRDefault="00155D47" w:rsidP="00155D47">
      <w:r w:rsidRPr="00155D47">
        <w:t xml:space="preserve"> RE: </w:t>
      </w:r>
      <w:r>
        <w:tab/>
      </w:r>
      <w:r w:rsidRPr="00155D47">
        <w:t>AMS</w:t>
      </w:r>
      <w:r w:rsidR="00BC35A1">
        <w:t>-</w:t>
      </w:r>
      <w:r w:rsidRPr="00155D47">
        <w:t xml:space="preserve">a Provincial </w:t>
      </w:r>
      <w:r>
        <w:t>V</w:t>
      </w:r>
      <w:r w:rsidRPr="00155D47">
        <w:t>ersus a National Focus</w:t>
      </w:r>
    </w:p>
    <w:p w14:paraId="38DDBE9D" w14:textId="77777777" w:rsidR="00155D47" w:rsidRPr="00155D47" w:rsidRDefault="00155D47" w:rsidP="00155D47">
      <w:r w:rsidRPr="00155D47">
        <w:t xml:space="preserve">BACKGROUND </w:t>
      </w:r>
    </w:p>
    <w:p w14:paraId="2DE656C4" w14:textId="64F80BDC" w:rsidR="00155D47" w:rsidRPr="00155D47" w:rsidRDefault="00155D47" w:rsidP="00155D47">
      <w:r w:rsidRPr="00155D47">
        <w:t>At the December 10,</w:t>
      </w:r>
      <w:r>
        <w:t xml:space="preserve"> </w:t>
      </w:r>
      <w:r w:rsidRPr="00155D47">
        <w:t xml:space="preserve">2020 Board </w:t>
      </w:r>
      <w:r>
        <w:t>M</w:t>
      </w:r>
      <w:r w:rsidRPr="00155D47">
        <w:t>eeting</w:t>
      </w:r>
      <w:r>
        <w:t>,</w:t>
      </w:r>
      <w:r w:rsidRPr="00155D47">
        <w:t xml:space="preserve"> the directors in considering nominees to the Board posed the question as to whether out of province candidates should be considered. It was agreed that a b</w:t>
      </w:r>
      <w:r>
        <w:t>r</w:t>
      </w:r>
      <w:r w:rsidRPr="00155D47">
        <w:t xml:space="preserve">oader discussion on AMS having a provincial versus a national focus was required and additional information related to AMS </w:t>
      </w:r>
      <w:r>
        <w:t>B</w:t>
      </w:r>
      <w:r w:rsidRPr="00155D47">
        <w:t xml:space="preserve">ylaws and </w:t>
      </w:r>
      <w:r>
        <w:t>Le</w:t>
      </w:r>
      <w:r w:rsidRPr="00155D47">
        <w:t xml:space="preserve">tters </w:t>
      </w:r>
      <w:r>
        <w:t>P</w:t>
      </w:r>
      <w:r w:rsidRPr="00155D47">
        <w:t>atent be brought to the March meeting for discussion.</w:t>
      </w:r>
    </w:p>
    <w:p w14:paraId="789B6CD9" w14:textId="7A268B28" w:rsidR="00155D47" w:rsidRPr="00155D47" w:rsidRDefault="00155D47" w:rsidP="00155D47">
      <w:r w:rsidRPr="00155D47">
        <w:t>G. Paech contacted AMS legal counsel, Victoria Prince, to review AMS Letters Patent and Supplementary Letters Patent a</w:t>
      </w:r>
      <w:r>
        <w:t>s well as</w:t>
      </w:r>
      <w:r w:rsidRPr="00155D47">
        <w:t xml:space="preserve"> Bylaws to determine if there were any restrictions on AMS having a national versus a provincial focus for the appointment of Board Directors and the allocational of AMS funds. Ms</w:t>
      </w:r>
      <w:r>
        <w:t xml:space="preserve">. </w:t>
      </w:r>
      <w:r w:rsidRPr="00155D47">
        <w:t xml:space="preserve">Prince response follows: </w:t>
      </w:r>
    </w:p>
    <w:p w14:paraId="473CEA5C" w14:textId="174E5038" w:rsidR="007756BA" w:rsidRPr="007756BA" w:rsidRDefault="007756BA" w:rsidP="007756BA">
      <w:pPr>
        <w:spacing w:after="0"/>
        <w:rPr>
          <w:i/>
          <w:iCs/>
        </w:rPr>
      </w:pPr>
      <w:r w:rsidRPr="007756BA">
        <w:t> </w:t>
      </w:r>
      <w:r w:rsidRPr="007756BA">
        <w:rPr>
          <w:i/>
          <w:iCs/>
          <w:lang w:val="en-US"/>
        </w:rPr>
        <w:t>It appears that the objects of AMS are</w:t>
      </w:r>
      <w:r w:rsidRPr="007756BA">
        <w:rPr>
          <w:i/>
          <w:iCs/>
          <w:lang w:val="en-US"/>
        </w:rPr>
        <w:t>:</w:t>
      </w:r>
    </w:p>
    <w:p w14:paraId="06F79861" w14:textId="77777777" w:rsidR="007756BA" w:rsidRPr="007756BA" w:rsidRDefault="007756BA" w:rsidP="007756BA">
      <w:pPr>
        <w:spacing w:after="0"/>
        <w:rPr>
          <w:i/>
          <w:iCs/>
        </w:rPr>
      </w:pPr>
      <w:r w:rsidRPr="007756BA">
        <w:rPr>
          <w:i/>
          <w:iCs/>
          <w:lang w:val="en-US"/>
        </w:rPr>
        <w:t> </w:t>
      </w:r>
    </w:p>
    <w:p w14:paraId="639D6341" w14:textId="77777777" w:rsidR="007756BA" w:rsidRPr="007756BA" w:rsidRDefault="007756BA" w:rsidP="007756BA">
      <w:pPr>
        <w:spacing w:after="0"/>
        <w:rPr>
          <w:i/>
          <w:iCs/>
        </w:rPr>
      </w:pPr>
      <w:r w:rsidRPr="007756BA">
        <w:rPr>
          <w:i/>
          <w:iCs/>
          <w:lang w:val="en-US"/>
        </w:rPr>
        <w:t>(a)    To receive and maintain a fund or funds and to apply from time to time all or part thereof and the income therefrom for charitable purposes; </w:t>
      </w:r>
    </w:p>
    <w:p w14:paraId="27F5A049" w14:textId="77777777" w:rsidR="007756BA" w:rsidRPr="007756BA" w:rsidRDefault="007756BA" w:rsidP="007756BA">
      <w:pPr>
        <w:spacing w:after="0"/>
        <w:rPr>
          <w:i/>
          <w:iCs/>
        </w:rPr>
      </w:pPr>
      <w:r w:rsidRPr="007756BA">
        <w:rPr>
          <w:i/>
          <w:iCs/>
          <w:lang w:val="en-US"/>
        </w:rPr>
        <w:t>(b)    To establish, maintain and advance studies in the history of medical and related sciences by every available means;</w:t>
      </w:r>
    </w:p>
    <w:p w14:paraId="1512EB09" w14:textId="77777777" w:rsidR="007756BA" w:rsidRPr="007756BA" w:rsidRDefault="007756BA" w:rsidP="007756BA">
      <w:pPr>
        <w:spacing w:after="0"/>
        <w:rPr>
          <w:i/>
          <w:iCs/>
        </w:rPr>
      </w:pPr>
      <w:r w:rsidRPr="007756BA">
        <w:rPr>
          <w:i/>
          <w:iCs/>
          <w:lang w:val="en-US"/>
        </w:rPr>
        <w:t>(c)     To encourage medical research and preventive medicine;</w:t>
      </w:r>
    </w:p>
    <w:p w14:paraId="11CF7BEF" w14:textId="77777777" w:rsidR="007756BA" w:rsidRPr="007756BA" w:rsidRDefault="007756BA" w:rsidP="007756BA">
      <w:pPr>
        <w:spacing w:after="0"/>
        <w:rPr>
          <w:i/>
          <w:iCs/>
        </w:rPr>
      </w:pPr>
      <w:r w:rsidRPr="007756BA">
        <w:rPr>
          <w:i/>
          <w:iCs/>
          <w:lang w:val="en-US"/>
        </w:rPr>
        <w:t>(d)    To co-operate with organized medicine in the advancement of the standard of medical service.</w:t>
      </w:r>
    </w:p>
    <w:p w14:paraId="5FD2341F" w14:textId="77777777" w:rsidR="007756BA" w:rsidRPr="007756BA" w:rsidRDefault="007756BA" w:rsidP="007756BA">
      <w:pPr>
        <w:spacing w:after="0"/>
        <w:rPr>
          <w:i/>
          <w:iCs/>
        </w:rPr>
      </w:pPr>
      <w:r w:rsidRPr="007756BA">
        <w:rPr>
          <w:i/>
          <w:iCs/>
          <w:lang w:val="en-US"/>
        </w:rPr>
        <w:t> </w:t>
      </w:r>
    </w:p>
    <w:p w14:paraId="1E268139" w14:textId="77777777" w:rsidR="007756BA" w:rsidRPr="007756BA" w:rsidRDefault="007756BA" w:rsidP="007756BA">
      <w:pPr>
        <w:spacing w:after="0"/>
        <w:rPr>
          <w:i/>
          <w:iCs/>
        </w:rPr>
      </w:pPr>
      <w:r w:rsidRPr="007756BA">
        <w:rPr>
          <w:i/>
          <w:iCs/>
          <w:lang w:val="en-US"/>
        </w:rPr>
        <w:t>The other “objects” (e) to (g) on page 17 are special provisions and not actually objects. </w:t>
      </w:r>
    </w:p>
    <w:p w14:paraId="46383A21" w14:textId="77777777" w:rsidR="007756BA" w:rsidRPr="007756BA" w:rsidRDefault="007756BA" w:rsidP="007756BA">
      <w:pPr>
        <w:spacing w:after="0"/>
        <w:rPr>
          <w:i/>
          <w:iCs/>
        </w:rPr>
      </w:pPr>
      <w:r w:rsidRPr="007756BA">
        <w:rPr>
          <w:i/>
          <w:iCs/>
          <w:lang w:val="en-US"/>
        </w:rPr>
        <w:t> </w:t>
      </w:r>
    </w:p>
    <w:p w14:paraId="761AD655" w14:textId="77777777" w:rsidR="007756BA" w:rsidRPr="007756BA" w:rsidRDefault="007756BA" w:rsidP="007756BA">
      <w:pPr>
        <w:spacing w:after="0"/>
        <w:rPr>
          <w:i/>
          <w:iCs/>
        </w:rPr>
      </w:pPr>
      <w:r w:rsidRPr="007756BA">
        <w:rPr>
          <w:i/>
          <w:iCs/>
          <w:lang w:val="en-US"/>
        </w:rPr>
        <w:t>The above-noted objects are not Ontario centered and AMS could expand its activities across Canada based on the above-noted objects. We did want to take this opportunity to confirm that the activities of AMS still further the above-noted objects. It is unlikely that these objects would be accepted by the CRA today as they are too broad and vague, so if any changes are required, we would have to change all of the objects.  </w:t>
      </w:r>
    </w:p>
    <w:p w14:paraId="7E9D6C9E" w14:textId="77777777" w:rsidR="007756BA" w:rsidRPr="007756BA" w:rsidRDefault="007756BA" w:rsidP="007756BA">
      <w:pPr>
        <w:spacing w:after="0"/>
        <w:rPr>
          <w:i/>
          <w:iCs/>
        </w:rPr>
      </w:pPr>
      <w:r w:rsidRPr="007756BA">
        <w:rPr>
          <w:i/>
          <w:iCs/>
          <w:lang w:val="en-US"/>
        </w:rPr>
        <w:t> </w:t>
      </w:r>
    </w:p>
    <w:p w14:paraId="785CDF68" w14:textId="77777777" w:rsidR="007756BA" w:rsidRPr="007756BA" w:rsidRDefault="007756BA" w:rsidP="007756BA">
      <w:pPr>
        <w:spacing w:after="0"/>
        <w:rPr>
          <w:i/>
          <w:iCs/>
        </w:rPr>
      </w:pPr>
      <w:r w:rsidRPr="007756BA">
        <w:rPr>
          <w:i/>
          <w:iCs/>
          <w:lang w:val="en-US"/>
        </w:rPr>
        <w:t>We do note that under the dissolution clause, the remaining property shall be distributed or disposed of to promote medical education </w:t>
      </w:r>
      <w:r w:rsidRPr="007756BA">
        <w:rPr>
          <w:i/>
          <w:iCs/>
          <w:u w:val="single"/>
          <w:lang w:val="en-US"/>
        </w:rPr>
        <w:t>in the Province of Ontario</w:t>
      </w:r>
      <w:r w:rsidRPr="007756BA">
        <w:rPr>
          <w:i/>
          <w:iCs/>
          <w:lang w:val="en-US"/>
        </w:rPr>
        <w:t>.  (That does not limit activities in the meantime.)</w:t>
      </w:r>
    </w:p>
    <w:p w14:paraId="1DF39C48" w14:textId="77777777" w:rsidR="007756BA" w:rsidRPr="007756BA" w:rsidRDefault="007756BA" w:rsidP="007756BA">
      <w:pPr>
        <w:spacing w:after="0"/>
        <w:rPr>
          <w:i/>
          <w:iCs/>
        </w:rPr>
      </w:pPr>
      <w:r w:rsidRPr="007756BA">
        <w:rPr>
          <w:i/>
          <w:iCs/>
          <w:lang w:val="en-US"/>
        </w:rPr>
        <w:lastRenderedPageBreak/>
        <w:t> </w:t>
      </w:r>
    </w:p>
    <w:p w14:paraId="25BF479B" w14:textId="77777777" w:rsidR="007756BA" w:rsidRPr="007756BA" w:rsidRDefault="007756BA" w:rsidP="007756BA">
      <w:pPr>
        <w:spacing w:after="0"/>
        <w:rPr>
          <w:i/>
          <w:iCs/>
        </w:rPr>
      </w:pPr>
      <w:r w:rsidRPr="007756BA">
        <w:rPr>
          <w:i/>
          <w:iCs/>
          <w:lang w:val="en-US"/>
        </w:rPr>
        <w:t>A few other interesting things:</w:t>
      </w:r>
    </w:p>
    <w:p w14:paraId="362AC9CB" w14:textId="77777777" w:rsidR="007756BA" w:rsidRPr="007756BA" w:rsidRDefault="007756BA" w:rsidP="007756BA">
      <w:pPr>
        <w:spacing w:after="0"/>
        <w:rPr>
          <w:i/>
          <w:iCs/>
        </w:rPr>
      </w:pPr>
      <w:r w:rsidRPr="007756BA">
        <w:rPr>
          <w:i/>
          <w:iCs/>
          <w:lang w:val="en-US"/>
        </w:rPr>
        <w:t> </w:t>
      </w:r>
    </w:p>
    <w:p w14:paraId="228C4B56" w14:textId="20C07884" w:rsidR="007756BA" w:rsidRPr="007756BA" w:rsidRDefault="007756BA" w:rsidP="007756BA">
      <w:pPr>
        <w:pStyle w:val="ListParagraph"/>
        <w:numPr>
          <w:ilvl w:val="0"/>
          <w:numId w:val="2"/>
        </w:numPr>
        <w:spacing w:after="0"/>
        <w:rPr>
          <w:i/>
          <w:iCs/>
          <w:lang w:val="en-US"/>
        </w:rPr>
      </w:pPr>
      <w:r w:rsidRPr="007756BA">
        <w:rPr>
          <w:i/>
          <w:iCs/>
          <w:lang w:val="en-US"/>
        </w:rPr>
        <w:t>On page 19, section (c)(i) provides that “any director who is engaged in or is a member of a firm engaged in any business or profession may act in and be paid the usual professional costs and charges for any professional business required to be done in connection with the administration of the affairs of the Corporation”. This is contrary to the common law rule regarding payments to directors in Ontario. We had conversations with AMS several years ago about this issue and understood that the organization was not paying directors any fees or other amounts</w:t>
      </w:r>
      <w:r w:rsidRPr="007756BA">
        <w:rPr>
          <w:i/>
          <w:iCs/>
          <w:lang w:val="en-US"/>
        </w:rPr>
        <w:t>.</w:t>
      </w:r>
    </w:p>
    <w:p w14:paraId="4772F8D2" w14:textId="77777777" w:rsidR="007756BA" w:rsidRPr="007756BA" w:rsidRDefault="007756BA" w:rsidP="007756BA">
      <w:pPr>
        <w:pStyle w:val="ListParagraph"/>
        <w:spacing w:after="0"/>
        <w:ind w:left="880"/>
        <w:rPr>
          <w:i/>
          <w:iCs/>
        </w:rPr>
      </w:pPr>
    </w:p>
    <w:p w14:paraId="7B32ECDE" w14:textId="77777777" w:rsidR="007756BA" w:rsidRPr="007756BA" w:rsidRDefault="007756BA" w:rsidP="007756BA">
      <w:pPr>
        <w:spacing w:after="0"/>
        <w:rPr>
          <w:i/>
          <w:iCs/>
        </w:rPr>
      </w:pPr>
      <w:r w:rsidRPr="007756BA">
        <w:rPr>
          <w:i/>
          <w:iCs/>
          <w:lang w:val="en-US"/>
        </w:rPr>
        <w:t>2.       On page 20, section (c)(iii) provides that the Corporation shall not have the capacity of a natural person.   The Corporations Act now includes a provision that states that corporations do have the capacity of a natural person but the clause in the letters patent would take precedence.  </w:t>
      </w:r>
    </w:p>
    <w:p w14:paraId="6BB5FD8D" w14:textId="77777777" w:rsidR="007756BA" w:rsidRPr="007756BA" w:rsidRDefault="007756BA" w:rsidP="007756BA">
      <w:pPr>
        <w:spacing w:after="0"/>
      </w:pPr>
      <w:r w:rsidRPr="007756BA">
        <w:rPr>
          <w:lang w:val="en-US"/>
        </w:rPr>
        <w:t> </w:t>
      </w:r>
    </w:p>
    <w:p w14:paraId="07C34B0F" w14:textId="33614C22" w:rsidR="00155D47" w:rsidRPr="00155D47" w:rsidRDefault="00155D47" w:rsidP="00155D47">
      <w:r w:rsidRPr="00155D47">
        <w:t xml:space="preserve">In conclusion AMS can have a national focus and can nominate out of province directors to the </w:t>
      </w:r>
      <w:r>
        <w:t>b</w:t>
      </w:r>
      <w:r w:rsidRPr="00155D47">
        <w:t xml:space="preserve">oard. AMS can also allocate funds to out of province organizations and individuals. AMS currently funds/awards grants to national healthcare organizations and individuals out of province. </w:t>
      </w:r>
    </w:p>
    <w:p w14:paraId="6A233525" w14:textId="2EB6D752" w:rsidR="00155D47" w:rsidRPr="00155D47" w:rsidRDefault="00155D47" w:rsidP="00155D47">
      <w:pPr>
        <w:rPr>
          <w:b/>
          <w:bCs/>
        </w:rPr>
      </w:pPr>
      <w:r w:rsidRPr="00155D47">
        <w:rPr>
          <w:b/>
          <w:bCs/>
        </w:rPr>
        <w:t>The question to the Board is: Does the Board wish to designate the number of directors’ positions f</w:t>
      </w:r>
      <w:r w:rsidRPr="007756BA">
        <w:rPr>
          <w:b/>
          <w:bCs/>
        </w:rPr>
        <w:t>or</w:t>
      </w:r>
      <w:r w:rsidRPr="00155D47">
        <w:rPr>
          <w:b/>
          <w:bCs/>
        </w:rPr>
        <w:t xml:space="preserve"> out of province or leave it unspecified depended on the nominees being considered? Specification of a number of out</w:t>
      </w:r>
      <w:r w:rsidR="007756BA" w:rsidRPr="007756BA">
        <w:rPr>
          <w:b/>
          <w:bCs/>
        </w:rPr>
        <w:t xml:space="preserve"> </w:t>
      </w:r>
      <w:r w:rsidRPr="00155D47">
        <w:rPr>
          <w:b/>
          <w:bCs/>
        </w:rPr>
        <w:t xml:space="preserve">of province will require a bylaw change. </w:t>
      </w:r>
    </w:p>
    <w:p w14:paraId="63BABD35" w14:textId="77777777" w:rsidR="00155D47" w:rsidRPr="00155D47" w:rsidRDefault="00155D47" w:rsidP="00155D47"/>
    <w:p w14:paraId="0DF98242" w14:textId="77777777" w:rsidR="00155D47" w:rsidRPr="00155D47" w:rsidRDefault="00155D47" w:rsidP="00155D47">
      <w:r w:rsidRPr="00155D47">
        <w:t xml:space="preserve">  </w:t>
      </w:r>
    </w:p>
    <w:p w14:paraId="2E248EE8" w14:textId="77777777" w:rsidR="00155D47" w:rsidRDefault="00155D47"/>
    <w:p w14:paraId="15C69031" w14:textId="700CC633" w:rsidR="00B5472F" w:rsidRDefault="00B5472F"/>
    <w:sectPr w:rsidR="00B5472F" w:rsidSect="00352855">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5581F" w14:textId="77777777" w:rsidR="00F43D8D" w:rsidRDefault="00F43D8D" w:rsidP="00352855">
      <w:pPr>
        <w:spacing w:after="0" w:line="240" w:lineRule="auto"/>
      </w:pPr>
      <w:r>
        <w:separator/>
      </w:r>
    </w:p>
  </w:endnote>
  <w:endnote w:type="continuationSeparator" w:id="0">
    <w:p w14:paraId="56BBB811" w14:textId="77777777" w:rsidR="00F43D8D" w:rsidRDefault="00F43D8D" w:rsidP="00352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4D2C1" w14:textId="77777777" w:rsidR="00F43D8D" w:rsidRDefault="00F43D8D" w:rsidP="00352855">
      <w:pPr>
        <w:spacing w:after="0" w:line="240" w:lineRule="auto"/>
      </w:pPr>
      <w:r>
        <w:separator/>
      </w:r>
    </w:p>
  </w:footnote>
  <w:footnote w:type="continuationSeparator" w:id="0">
    <w:p w14:paraId="6307601E" w14:textId="77777777" w:rsidR="00F43D8D" w:rsidRDefault="00F43D8D" w:rsidP="00352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85E5D" w14:textId="6FC35C2E" w:rsidR="00352855" w:rsidRDefault="00352855">
    <w:pPr>
      <w:pStyle w:val="Header"/>
    </w:pPr>
    <w:r>
      <w:rPr>
        <w:noProof/>
      </w:rPr>
      <w:drawing>
        <wp:inline distT="0" distB="0" distL="0" distR="0" wp14:anchorId="34B44407" wp14:editId="4594377A">
          <wp:extent cx="5943600" cy="869950"/>
          <wp:effectExtent l="0" t="0" r="0" b="635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943600" cy="869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C23B0"/>
    <w:multiLevelType w:val="hybridMultilevel"/>
    <w:tmpl w:val="1F74157C"/>
    <w:lvl w:ilvl="0" w:tplc="9B1CE718">
      <w:start w:val="1"/>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005A1D"/>
    <w:multiLevelType w:val="hybridMultilevel"/>
    <w:tmpl w:val="A668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CD"/>
    <w:rsid w:val="000F03BB"/>
    <w:rsid w:val="00155D47"/>
    <w:rsid w:val="0017112A"/>
    <w:rsid w:val="00352855"/>
    <w:rsid w:val="00512466"/>
    <w:rsid w:val="00660CCD"/>
    <w:rsid w:val="00726BE3"/>
    <w:rsid w:val="007756BA"/>
    <w:rsid w:val="009425C4"/>
    <w:rsid w:val="009D3A00"/>
    <w:rsid w:val="00AC085B"/>
    <w:rsid w:val="00B232FF"/>
    <w:rsid w:val="00B5472F"/>
    <w:rsid w:val="00BA0876"/>
    <w:rsid w:val="00BC35A1"/>
    <w:rsid w:val="00BD427E"/>
    <w:rsid w:val="00EB04BF"/>
    <w:rsid w:val="00EC29A2"/>
    <w:rsid w:val="00F43D8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3535"/>
  <w15:chartTrackingRefBased/>
  <w15:docId w15:val="{B0BF9902-FE67-4C93-83F1-9CE12B80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855"/>
  </w:style>
  <w:style w:type="paragraph" w:styleId="Footer">
    <w:name w:val="footer"/>
    <w:basedOn w:val="Normal"/>
    <w:link w:val="FooterChar"/>
    <w:uiPriority w:val="99"/>
    <w:unhideWhenUsed/>
    <w:rsid w:val="00352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855"/>
  </w:style>
  <w:style w:type="paragraph" w:styleId="ListParagraph">
    <w:name w:val="List Paragraph"/>
    <w:basedOn w:val="Normal"/>
    <w:uiPriority w:val="34"/>
    <w:qFormat/>
    <w:rsid w:val="00775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03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Paech</dc:creator>
  <cp:keywords/>
  <dc:description/>
  <cp:lastModifiedBy>Anne Avery</cp:lastModifiedBy>
  <cp:revision>4</cp:revision>
  <dcterms:created xsi:type="dcterms:W3CDTF">2021-02-25T16:35:00Z</dcterms:created>
  <dcterms:modified xsi:type="dcterms:W3CDTF">2021-02-25T16:59:00Z</dcterms:modified>
</cp:coreProperties>
</file>