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E0D80" w14:textId="77777777" w:rsidR="00D50FA4" w:rsidRPr="00EC17F3" w:rsidRDefault="00D50FA4" w:rsidP="00CC5CC1">
      <w:pPr>
        <w:jc w:val="both"/>
        <w:outlineLvl w:val="0"/>
        <w:rPr>
          <w:rFonts w:ascii="Times New Roman" w:eastAsia="Cambria" w:hAnsi="Times New Roman" w:cs="Times New Roman"/>
          <w:b/>
        </w:rPr>
      </w:pPr>
      <w:bookmarkStart w:id="0" w:name="_GoBack"/>
      <w:bookmarkEnd w:id="0"/>
      <w:r w:rsidRPr="00DD2D9B">
        <w:rPr>
          <w:rFonts w:ascii="Times New Roman" w:eastAsia="Cambria" w:hAnsi="Times New Roman" w:cs="Times New Roman"/>
          <w:b/>
        </w:rPr>
        <w:t>Rising Inequality an</w:t>
      </w:r>
      <w:r w:rsidRPr="00EC17F3">
        <w:rPr>
          <w:rFonts w:ascii="Times New Roman" w:eastAsia="Cambria" w:hAnsi="Times New Roman" w:cs="Times New Roman"/>
          <w:b/>
        </w:rPr>
        <w:t>d the Implications for the Future of Private Insurance in Canada</w:t>
      </w:r>
    </w:p>
    <w:p w14:paraId="3638D20D" w14:textId="77777777" w:rsidR="00D50FA4" w:rsidRPr="00EC17F3" w:rsidRDefault="00D50FA4" w:rsidP="00D50FA4">
      <w:pPr>
        <w:jc w:val="both"/>
        <w:rPr>
          <w:rFonts w:ascii="Times New Roman" w:eastAsia="Cambria" w:hAnsi="Times New Roman" w:cs="Times New Roman"/>
          <w:b/>
        </w:rPr>
      </w:pPr>
    </w:p>
    <w:p w14:paraId="3CDEFB70" w14:textId="77777777" w:rsidR="00D50FA4" w:rsidRPr="00EC17F3" w:rsidRDefault="00D50FA4" w:rsidP="00CC5CC1">
      <w:pPr>
        <w:jc w:val="both"/>
        <w:outlineLvl w:val="0"/>
        <w:rPr>
          <w:rStyle w:val="FootnoteReference"/>
        </w:rPr>
      </w:pPr>
      <w:r w:rsidRPr="00EC17F3">
        <w:rPr>
          <w:rFonts w:ascii="Times New Roman" w:eastAsia="Cambria" w:hAnsi="Times New Roman" w:cs="Times New Roman"/>
        </w:rPr>
        <w:t xml:space="preserve">Mark Stabile and </w:t>
      </w:r>
      <w:proofErr w:type="spellStart"/>
      <w:r w:rsidRPr="00EC17F3">
        <w:rPr>
          <w:rFonts w:ascii="Times New Roman" w:eastAsia="Cambria" w:hAnsi="Times New Roman" w:cs="Times New Roman"/>
        </w:rPr>
        <w:t>Maripier</w:t>
      </w:r>
      <w:proofErr w:type="spellEnd"/>
      <w:r w:rsidRPr="00EC17F3">
        <w:rPr>
          <w:rFonts w:ascii="Times New Roman" w:eastAsia="Cambria" w:hAnsi="Times New Roman" w:cs="Times New Roman"/>
        </w:rPr>
        <w:t xml:space="preserve"> Isabelle</w:t>
      </w:r>
      <w:r w:rsidRPr="00EC17F3">
        <w:rPr>
          <w:rStyle w:val="FootnoteReference"/>
          <w:rFonts w:ascii="Times New Roman" w:eastAsia="Cambria" w:hAnsi="Times New Roman" w:cs="Times New Roman"/>
        </w:rPr>
        <w:footnoteReference w:customMarkFollows="1" w:id="1"/>
        <w:t>*</w:t>
      </w:r>
    </w:p>
    <w:p w14:paraId="5160D2CD" w14:textId="77777777" w:rsidR="00D50FA4" w:rsidRPr="00EC17F3" w:rsidRDefault="00D50FA4" w:rsidP="00D50FA4">
      <w:pPr>
        <w:jc w:val="both"/>
        <w:rPr>
          <w:rStyle w:val="FootnoteReference"/>
        </w:rPr>
      </w:pPr>
    </w:p>
    <w:p w14:paraId="0A83D785" w14:textId="77777777" w:rsidR="00D50FA4" w:rsidRPr="00EC17F3" w:rsidRDefault="00D50FA4" w:rsidP="00D50FA4">
      <w:pPr>
        <w:jc w:val="both"/>
        <w:rPr>
          <w:rStyle w:val="FootnoteReference"/>
        </w:rPr>
      </w:pPr>
    </w:p>
    <w:p w14:paraId="7EEFC302" w14:textId="77777777" w:rsidR="00542E81" w:rsidRDefault="005C1C2F" w:rsidP="00D50FA4">
      <w:pPr>
        <w:jc w:val="both"/>
        <w:rPr>
          <w:rStyle w:val="FootnoteReference"/>
        </w:rPr>
      </w:pPr>
      <w:r>
        <w:rPr>
          <w:rStyle w:val="FootnoteReference"/>
          <w:rFonts w:ascii="Times New Roman" w:eastAsia="Cambria" w:hAnsi="Times New Roman" w:cs="Times New Roman"/>
          <w:vertAlign w:val="baseline"/>
        </w:rPr>
        <w:t>May</w:t>
      </w:r>
      <w:r w:rsidR="00542E81">
        <w:rPr>
          <w:rStyle w:val="FootnoteReference"/>
          <w:rFonts w:ascii="Times New Roman" w:eastAsia="Cambria" w:hAnsi="Times New Roman" w:cs="Times New Roman"/>
          <w:vertAlign w:val="baseline"/>
        </w:rPr>
        <w:t>, 2017</w:t>
      </w:r>
    </w:p>
    <w:p w14:paraId="4F191EAF" w14:textId="77777777" w:rsidR="00542E81" w:rsidRDefault="00542E81" w:rsidP="00D50FA4">
      <w:pPr>
        <w:jc w:val="both"/>
        <w:rPr>
          <w:rStyle w:val="FootnoteReference"/>
        </w:rPr>
      </w:pPr>
    </w:p>
    <w:p w14:paraId="11BAFC43" w14:textId="77777777" w:rsidR="00542E81" w:rsidRPr="00542E81" w:rsidRDefault="00542E81" w:rsidP="00CC5CC1">
      <w:pPr>
        <w:jc w:val="center"/>
        <w:outlineLvl w:val="0"/>
        <w:rPr>
          <w:rStyle w:val="FootnoteReference"/>
        </w:rPr>
      </w:pPr>
      <w:r>
        <w:rPr>
          <w:rFonts w:ascii="Times New Roman" w:eastAsia="Cambria" w:hAnsi="Times New Roman" w:cs="Times New Roman"/>
        </w:rPr>
        <w:t>Abstract</w:t>
      </w:r>
    </w:p>
    <w:p w14:paraId="4D6C6444" w14:textId="77777777" w:rsidR="00D50FA4" w:rsidRPr="00EC17F3" w:rsidRDefault="00D50FA4" w:rsidP="00D50FA4">
      <w:pPr>
        <w:jc w:val="both"/>
        <w:rPr>
          <w:rStyle w:val="FootnoteReference"/>
        </w:rPr>
      </w:pPr>
    </w:p>
    <w:p w14:paraId="524F5AF2" w14:textId="5C341A41" w:rsidR="00542E81" w:rsidRDefault="00D50FA4" w:rsidP="00D50FA4">
      <w:pPr>
        <w:ind w:left="993"/>
        <w:jc w:val="both"/>
        <w:rPr>
          <w:rFonts w:ascii="Times New Roman" w:eastAsia="Cambria" w:hAnsi="Times New Roman" w:cs="Times New Roman"/>
        </w:rPr>
      </w:pPr>
      <w:r w:rsidRPr="00EC17F3">
        <w:rPr>
          <w:rFonts w:ascii="Times New Roman" w:eastAsia="Cambria" w:hAnsi="Times New Roman" w:cs="Times New Roman"/>
        </w:rPr>
        <w:t>Income and wealth inequality have risen</w:t>
      </w:r>
      <w:r w:rsidR="00E6693D">
        <w:rPr>
          <w:rFonts w:ascii="Times New Roman" w:eastAsia="Cambria" w:hAnsi="Times New Roman" w:cs="Times New Roman"/>
        </w:rPr>
        <w:t xml:space="preserve"> </w:t>
      </w:r>
      <w:r w:rsidRPr="00EC17F3">
        <w:rPr>
          <w:rFonts w:ascii="Times New Roman" w:eastAsia="Cambria" w:hAnsi="Times New Roman" w:cs="Times New Roman"/>
        </w:rPr>
        <w:t xml:space="preserve">in Canada </w:t>
      </w:r>
      <w:r w:rsidR="004A6396">
        <w:rPr>
          <w:rFonts w:ascii="Times New Roman" w:eastAsia="Cambria" w:hAnsi="Times New Roman" w:cs="Times New Roman"/>
        </w:rPr>
        <w:t xml:space="preserve">since </w:t>
      </w:r>
      <w:r w:rsidR="004B4DCF">
        <w:rPr>
          <w:rFonts w:ascii="Times New Roman" w:eastAsia="Cambria" w:hAnsi="Times New Roman" w:cs="Times New Roman"/>
        </w:rPr>
        <w:t>their</w:t>
      </w:r>
      <w:r w:rsidR="00E6693D">
        <w:rPr>
          <w:rFonts w:ascii="Times New Roman" w:eastAsia="Cambria" w:hAnsi="Times New Roman" w:cs="Times New Roman"/>
        </w:rPr>
        <w:t xml:space="preserve"> </w:t>
      </w:r>
      <w:r w:rsidR="004A6396">
        <w:rPr>
          <w:rFonts w:ascii="Times New Roman" w:eastAsia="Cambria" w:hAnsi="Times New Roman" w:cs="Times New Roman"/>
        </w:rPr>
        <w:t>low point in the 1980s</w:t>
      </w:r>
      <w:r w:rsidRPr="00EC17F3">
        <w:rPr>
          <w:rFonts w:ascii="Times New Roman" w:eastAsia="Cambria" w:hAnsi="Times New Roman" w:cs="Times New Roman"/>
        </w:rPr>
        <w:t>. Over that same period</w:t>
      </w:r>
      <w:r w:rsidR="006A1567">
        <w:rPr>
          <w:rFonts w:ascii="Times New Roman" w:eastAsia="Cambria" w:hAnsi="Times New Roman" w:cs="Times New Roman"/>
        </w:rPr>
        <w:t>,</w:t>
      </w:r>
      <w:r w:rsidRPr="00EC17F3">
        <w:rPr>
          <w:rFonts w:ascii="Times New Roman" w:eastAsia="Cambria" w:hAnsi="Times New Roman" w:cs="Times New Roman"/>
        </w:rPr>
        <w:t xml:space="preserve"> we have also seen an increase in the amount that Canadians spend on privately financed health care, both directly and through private health insurance. This paper will explore the relationship between these two trends using both comparative data across jurisdictions and household level data within Canada. </w:t>
      </w:r>
      <w:r w:rsidR="00F92F95">
        <w:rPr>
          <w:rFonts w:ascii="Times New Roman" w:eastAsia="Cambria" w:hAnsi="Times New Roman" w:cs="Times New Roman"/>
        </w:rPr>
        <w:t>The starting hypothesis</w:t>
      </w:r>
      <w:r w:rsidRPr="00EC17F3">
        <w:rPr>
          <w:rFonts w:ascii="Times New Roman" w:eastAsia="Cambria" w:hAnsi="Times New Roman" w:cs="Times New Roman"/>
        </w:rPr>
        <w:t xml:space="preserve"> is that the greater the level of inequality</w:t>
      </w:r>
      <w:r w:rsidR="003F7D1D">
        <w:rPr>
          <w:rFonts w:ascii="Times New Roman" w:eastAsia="Cambria" w:hAnsi="Times New Roman" w:cs="Times New Roman"/>
        </w:rPr>
        <w:t>,</w:t>
      </w:r>
      <w:r w:rsidRPr="00EC17F3">
        <w:rPr>
          <w:rFonts w:ascii="Times New Roman" w:eastAsia="Cambria" w:hAnsi="Times New Roman" w:cs="Times New Roman"/>
        </w:rPr>
        <w:t xml:space="preserve"> the more difficult it becomes for publicly provided insurance to satisfy the median voter. Thus, we should expect increased pressure to access privately financed alternatives as inequality increases. In </w:t>
      </w:r>
      <w:r w:rsidR="006F07CE">
        <w:rPr>
          <w:rFonts w:ascii="Times New Roman" w:eastAsia="Cambria" w:hAnsi="Times New Roman" w:cs="Times New Roman"/>
        </w:rPr>
        <w:t xml:space="preserve">the </w:t>
      </w:r>
      <w:r w:rsidRPr="00EC17F3">
        <w:rPr>
          <w:rFonts w:ascii="Times New Roman" w:eastAsia="Cambria" w:hAnsi="Times New Roman" w:cs="Times New Roman"/>
        </w:rPr>
        <w:t xml:space="preserve">light of these implications, the paper </w:t>
      </w:r>
      <w:r w:rsidR="002E7639">
        <w:rPr>
          <w:rFonts w:ascii="Times New Roman" w:eastAsia="Cambria" w:hAnsi="Times New Roman" w:cs="Times New Roman"/>
        </w:rPr>
        <w:t>considers</w:t>
      </w:r>
      <w:r w:rsidR="00C5198B">
        <w:rPr>
          <w:rFonts w:ascii="Times New Roman" w:eastAsia="Cambria" w:hAnsi="Times New Roman" w:cs="Times New Roman"/>
        </w:rPr>
        <w:t xml:space="preserve"> the implications for the future of private insurance in Canada</w:t>
      </w:r>
      <w:r w:rsidR="002E7639">
        <w:rPr>
          <w:rFonts w:ascii="Times New Roman" w:eastAsia="Cambria" w:hAnsi="Times New Roman" w:cs="Times New Roman"/>
        </w:rPr>
        <w:t>.</w:t>
      </w:r>
    </w:p>
    <w:p w14:paraId="4960D260" w14:textId="77777777" w:rsidR="00542E81" w:rsidRDefault="00542E81" w:rsidP="00D50FA4">
      <w:pPr>
        <w:ind w:left="993"/>
        <w:jc w:val="both"/>
        <w:rPr>
          <w:rFonts w:ascii="Times New Roman" w:eastAsia="Cambria" w:hAnsi="Times New Roman" w:cs="Times New Roman"/>
        </w:rPr>
      </w:pPr>
    </w:p>
    <w:p w14:paraId="22738C43" w14:textId="77777777" w:rsidR="00542E81" w:rsidRDefault="00542E81" w:rsidP="00D50FA4">
      <w:pPr>
        <w:ind w:left="993"/>
        <w:jc w:val="both"/>
        <w:rPr>
          <w:rFonts w:ascii="Times New Roman" w:eastAsia="Cambria" w:hAnsi="Times New Roman" w:cs="Times New Roman"/>
        </w:rPr>
      </w:pPr>
    </w:p>
    <w:p w14:paraId="45D8A295" w14:textId="77777777" w:rsidR="00542E81" w:rsidRDefault="00542E81" w:rsidP="00D50FA4">
      <w:pPr>
        <w:ind w:left="993"/>
        <w:jc w:val="both"/>
        <w:rPr>
          <w:rFonts w:ascii="Times New Roman" w:eastAsia="Cambria" w:hAnsi="Times New Roman" w:cs="Times New Roman"/>
        </w:rPr>
      </w:pPr>
    </w:p>
    <w:p w14:paraId="22E20978" w14:textId="77777777" w:rsidR="00542E81" w:rsidRDefault="00542E81" w:rsidP="00D50FA4">
      <w:pPr>
        <w:ind w:left="993"/>
        <w:jc w:val="both"/>
        <w:rPr>
          <w:rFonts w:ascii="Times New Roman" w:eastAsia="Cambria" w:hAnsi="Times New Roman" w:cs="Times New Roman"/>
        </w:rPr>
      </w:pPr>
    </w:p>
    <w:p w14:paraId="5492042E" w14:textId="77777777" w:rsidR="00542E81" w:rsidRDefault="00542E81" w:rsidP="00D50FA4">
      <w:pPr>
        <w:ind w:left="993"/>
        <w:jc w:val="both"/>
        <w:rPr>
          <w:rFonts w:ascii="Times New Roman" w:eastAsia="Cambria" w:hAnsi="Times New Roman" w:cs="Times New Roman"/>
        </w:rPr>
      </w:pPr>
    </w:p>
    <w:p w14:paraId="00B72C69" w14:textId="77777777" w:rsidR="00D50FA4" w:rsidRPr="00EC17F3" w:rsidRDefault="00D50FA4" w:rsidP="00542E81">
      <w:pPr>
        <w:ind w:left="993"/>
        <w:jc w:val="center"/>
        <w:rPr>
          <w:rFonts w:ascii="Times New Roman" w:eastAsia="Cambria" w:hAnsi="Times New Roman" w:cs="Times New Roman"/>
        </w:rPr>
      </w:pPr>
    </w:p>
    <w:p w14:paraId="0E2F6781" w14:textId="77777777" w:rsidR="00D50FA4" w:rsidRPr="00EC17F3" w:rsidRDefault="00D50FA4" w:rsidP="00D50FA4">
      <w:pPr>
        <w:jc w:val="both"/>
        <w:rPr>
          <w:rFonts w:ascii="Times New Roman" w:eastAsia="Cambria" w:hAnsi="Times New Roman" w:cs="Times New Roman"/>
        </w:rPr>
      </w:pPr>
    </w:p>
    <w:p w14:paraId="4BA26B8C" w14:textId="77777777" w:rsidR="00D50FA4" w:rsidRPr="00EC17F3" w:rsidRDefault="00D50FA4" w:rsidP="00D50FA4">
      <w:pPr>
        <w:jc w:val="both"/>
        <w:rPr>
          <w:rFonts w:ascii="Times New Roman" w:eastAsia="Cambria" w:hAnsi="Times New Roman" w:cs="Times New Roman"/>
          <w:b/>
        </w:rPr>
      </w:pPr>
      <w:r w:rsidRPr="00EC17F3">
        <w:rPr>
          <w:rFonts w:ascii="Times New Roman" w:eastAsia="Cambria" w:hAnsi="Times New Roman" w:cs="Times New Roman"/>
          <w:b/>
        </w:rPr>
        <w:br w:type="page"/>
      </w:r>
      <w:r w:rsidRPr="00EC17F3">
        <w:rPr>
          <w:rFonts w:ascii="Times New Roman" w:eastAsia="Cambria" w:hAnsi="Times New Roman" w:cs="Times New Roman"/>
          <w:b/>
        </w:rPr>
        <w:lastRenderedPageBreak/>
        <w:t xml:space="preserve">1. Introduction </w:t>
      </w:r>
    </w:p>
    <w:p w14:paraId="3104BB3B" w14:textId="77777777" w:rsidR="00D50FA4" w:rsidRDefault="00D50FA4" w:rsidP="00D50FA4">
      <w:pPr>
        <w:jc w:val="both"/>
        <w:rPr>
          <w:rFonts w:ascii="Times New Roman" w:eastAsia="Cambria" w:hAnsi="Times New Roman" w:cs="Times New Roman"/>
          <w:b/>
        </w:rPr>
      </w:pPr>
    </w:p>
    <w:p w14:paraId="1D8F8EAB" w14:textId="55E028FF" w:rsidR="00B41EC5" w:rsidRDefault="00F50A18" w:rsidP="00D50FA4">
      <w:pPr>
        <w:jc w:val="both"/>
        <w:rPr>
          <w:rFonts w:ascii="Times New Roman" w:eastAsia="Cambria" w:hAnsi="Times New Roman" w:cs="Times New Roman"/>
        </w:rPr>
      </w:pPr>
      <w:r w:rsidRPr="005117D8">
        <w:rPr>
          <w:rFonts w:ascii="Times New Roman" w:eastAsia="Cambria" w:hAnsi="Times New Roman" w:cs="Times New Roman"/>
        </w:rPr>
        <w:t xml:space="preserve">The share of </w:t>
      </w:r>
      <w:r w:rsidR="0099166B">
        <w:rPr>
          <w:rFonts w:ascii="Times New Roman" w:eastAsia="Cambria" w:hAnsi="Times New Roman" w:cs="Times New Roman"/>
        </w:rPr>
        <w:t xml:space="preserve">earned </w:t>
      </w:r>
      <w:r w:rsidRPr="005117D8">
        <w:rPr>
          <w:rFonts w:ascii="Times New Roman" w:eastAsia="Cambria" w:hAnsi="Times New Roman" w:cs="Times New Roman"/>
        </w:rPr>
        <w:t xml:space="preserve">income held by the top 1 percent of Canadians has doubled since the late </w:t>
      </w:r>
      <w:proofErr w:type="spellStart"/>
      <w:r w:rsidRPr="005117D8">
        <w:rPr>
          <w:rFonts w:ascii="Times New Roman" w:eastAsia="Cambria" w:hAnsi="Times New Roman" w:cs="Times New Roman"/>
        </w:rPr>
        <w:t>1970s</w:t>
      </w:r>
      <w:proofErr w:type="spellEnd"/>
      <w:r w:rsidRPr="005117D8">
        <w:rPr>
          <w:rFonts w:ascii="Times New Roman" w:eastAsia="Cambria" w:hAnsi="Times New Roman" w:cs="Times New Roman"/>
        </w:rPr>
        <w:t xml:space="preserve"> from 8 percent to 16 percent</w:t>
      </w:r>
      <w:r w:rsidR="0099166B">
        <w:rPr>
          <w:rFonts w:ascii="Times New Roman" w:eastAsia="Cambria" w:hAnsi="Times New Roman" w:cs="Times New Roman"/>
        </w:rPr>
        <w:t xml:space="preserve">. </w:t>
      </w:r>
      <w:r w:rsidR="00C77B14">
        <w:rPr>
          <w:rFonts w:ascii="Times New Roman" w:eastAsia="Cambria" w:hAnsi="Times New Roman" w:cs="Times New Roman"/>
        </w:rPr>
        <w:t>By</w:t>
      </w:r>
      <w:r w:rsidR="00F10AF9">
        <w:rPr>
          <w:rFonts w:ascii="Times New Roman" w:eastAsia="Cambria" w:hAnsi="Times New Roman" w:cs="Times New Roman"/>
        </w:rPr>
        <w:t xml:space="preserve"> 2008 </w:t>
      </w:r>
      <w:r w:rsidR="0099166B">
        <w:rPr>
          <w:rFonts w:ascii="Times New Roman" w:eastAsia="Cambria" w:hAnsi="Times New Roman" w:cs="Times New Roman"/>
        </w:rPr>
        <w:t xml:space="preserve">top income earners </w:t>
      </w:r>
      <w:r w:rsidR="005117D8">
        <w:rPr>
          <w:rFonts w:ascii="Times New Roman" w:eastAsia="Cambria" w:hAnsi="Times New Roman" w:cs="Times New Roman"/>
        </w:rPr>
        <w:t>earn</w:t>
      </w:r>
      <w:r w:rsidR="00F10AF9">
        <w:rPr>
          <w:rFonts w:ascii="Times New Roman" w:eastAsia="Cambria" w:hAnsi="Times New Roman" w:cs="Times New Roman"/>
        </w:rPr>
        <w:t>ed</w:t>
      </w:r>
      <w:r w:rsidR="0099166B">
        <w:rPr>
          <w:rFonts w:ascii="Times New Roman" w:eastAsia="Cambria" w:hAnsi="Times New Roman" w:cs="Times New Roman"/>
        </w:rPr>
        <w:t xml:space="preserve"> a bigger share of national income than at any point since the 1940s</w:t>
      </w:r>
      <w:r w:rsidR="0036734D">
        <w:rPr>
          <w:rFonts w:ascii="Times New Roman" w:eastAsia="Cambria" w:hAnsi="Times New Roman" w:cs="Times New Roman"/>
        </w:rPr>
        <w:t xml:space="preserve"> (see Figure 1)</w:t>
      </w:r>
      <w:r w:rsidRPr="005117D8">
        <w:rPr>
          <w:rFonts w:ascii="Times New Roman" w:eastAsia="Cambria" w:hAnsi="Times New Roman" w:cs="Times New Roman"/>
        </w:rPr>
        <w:t xml:space="preserve">. </w:t>
      </w:r>
      <w:r w:rsidR="00A53621">
        <w:rPr>
          <w:rFonts w:ascii="Times New Roman" w:eastAsia="Cambria" w:hAnsi="Times New Roman" w:cs="Times New Roman"/>
        </w:rPr>
        <w:t xml:space="preserve">The extent to which this growth in inequality should be of concern to citizens depends on how </w:t>
      </w:r>
      <w:r w:rsidR="0035098B">
        <w:rPr>
          <w:rFonts w:ascii="Times New Roman" w:eastAsia="Cambria" w:hAnsi="Times New Roman" w:cs="Times New Roman"/>
        </w:rPr>
        <w:t xml:space="preserve">the </w:t>
      </w:r>
      <w:r w:rsidR="0036734D">
        <w:rPr>
          <w:rFonts w:ascii="Times New Roman" w:eastAsia="Cambria" w:hAnsi="Times New Roman" w:cs="Times New Roman"/>
        </w:rPr>
        <w:t xml:space="preserve">concentration of income </w:t>
      </w:r>
      <w:r w:rsidR="00A53621">
        <w:rPr>
          <w:rFonts w:ascii="Times New Roman" w:eastAsia="Cambria" w:hAnsi="Times New Roman" w:cs="Times New Roman"/>
        </w:rPr>
        <w:t xml:space="preserve">among a small share of </w:t>
      </w:r>
      <w:r w:rsidR="0036734D">
        <w:rPr>
          <w:rFonts w:ascii="Times New Roman" w:eastAsia="Cambria" w:hAnsi="Times New Roman" w:cs="Times New Roman"/>
        </w:rPr>
        <w:t>the population</w:t>
      </w:r>
      <w:r w:rsidR="005117D8">
        <w:rPr>
          <w:rFonts w:ascii="Times New Roman" w:eastAsia="Cambria" w:hAnsi="Times New Roman" w:cs="Times New Roman"/>
        </w:rPr>
        <w:t xml:space="preserve"> affect</w:t>
      </w:r>
      <w:r w:rsidR="0035098B">
        <w:rPr>
          <w:rFonts w:ascii="Times New Roman" w:eastAsia="Cambria" w:hAnsi="Times New Roman" w:cs="Times New Roman"/>
        </w:rPr>
        <w:t>s</w:t>
      </w:r>
      <w:r w:rsidR="005117D8">
        <w:rPr>
          <w:rFonts w:ascii="Times New Roman" w:eastAsia="Cambria" w:hAnsi="Times New Roman" w:cs="Times New Roman"/>
        </w:rPr>
        <w:t xml:space="preserve"> several</w:t>
      </w:r>
      <w:r w:rsidR="00A53621">
        <w:rPr>
          <w:rFonts w:ascii="Times New Roman" w:eastAsia="Cambria" w:hAnsi="Times New Roman" w:cs="Times New Roman"/>
        </w:rPr>
        <w:t xml:space="preserve"> dimensions of wellbeing. </w:t>
      </w:r>
      <w:r w:rsidR="0036734D">
        <w:rPr>
          <w:rFonts w:ascii="Times New Roman" w:eastAsia="Cambria" w:hAnsi="Times New Roman" w:cs="Times New Roman"/>
        </w:rPr>
        <w:t xml:space="preserve">The list of </w:t>
      </w:r>
      <w:r w:rsidR="0035098B">
        <w:rPr>
          <w:rFonts w:ascii="Times New Roman" w:eastAsia="Cambria" w:hAnsi="Times New Roman" w:cs="Times New Roman"/>
        </w:rPr>
        <w:t xml:space="preserve">potential </w:t>
      </w:r>
      <w:r w:rsidR="0036734D">
        <w:rPr>
          <w:rFonts w:ascii="Times New Roman" w:eastAsia="Cambria" w:hAnsi="Times New Roman" w:cs="Times New Roman"/>
        </w:rPr>
        <w:t>areas of concern is significant: r</w:t>
      </w:r>
      <w:r w:rsidR="00A53621">
        <w:rPr>
          <w:rFonts w:ascii="Times New Roman" w:eastAsia="Cambria" w:hAnsi="Times New Roman" w:cs="Times New Roman"/>
        </w:rPr>
        <w:t xml:space="preserve">esearchers have </w:t>
      </w:r>
      <w:r w:rsidR="0035098B">
        <w:rPr>
          <w:rFonts w:ascii="Times New Roman" w:eastAsia="Cambria" w:hAnsi="Times New Roman" w:cs="Times New Roman"/>
        </w:rPr>
        <w:t xml:space="preserve">explored </w:t>
      </w:r>
      <w:r w:rsidR="00A53621">
        <w:rPr>
          <w:rFonts w:ascii="Times New Roman" w:eastAsia="Cambria" w:hAnsi="Times New Roman" w:cs="Times New Roman"/>
        </w:rPr>
        <w:t xml:space="preserve">the connection between income inequality (as separate </w:t>
      </w:r>
      <w:r w:rsidR="00A53621" w:rsidRPr="00FA66F0">
        <w:rPr>
          <w:rFonts w:ascii="Times New Roman" w:eastAsia="Cambria" w:hAnsi="Times New Roman" w:cs="Times New Roman"/>
        </w:rPr>
        <w:t>from poverty) on economic growth, social mobility, crime, and social cohesion among other areas (</w:t>
      </w:r>
      <w:r w:rsidR="009A2050">
        <w:rPr>
          <w:rFonts w:ascii="Times New Roman" w:eastAsia="Cambria" w:hAnsi="Times New Roman" w:cs="Times New Roman"/>
        </w:rPr>
        <w:t>Wilkinson and Pickett</w:t>
      </w:r>
      <w:r w:rsidR="00CC5CC1" w:rsidRPr="00FA66F0">
        <w:rPr>
          <w:rFonts w:ascii="Times New Roman" w:eastAsia="Cambria" w:hAnsi="Times New Roman" w:cs="Times New Roman"/>
        </w:rPr>
        <w:t xml:space="preserve"> 2009,</w:t>
      </w:r>
      <w:r w:rsidR="00CC5CC1">
        <w:rPr>
          <w:rFonts w:ascii="Times New Roman" w:eastAsia="Cambria" w:hAnsi="Times New Roman" w:cs="Times New Roman"/>
        </w:rPr>
        <w:t xml:space="preserve"> </w:t>
      </w:r>
      <w:r w:rsidR="00A53621">
        <w:rPr>
          <w:rFonts w:ascii="Times New Roman" w:eastAsia="Cambria" w:hAnsi="Times New Roman" w:cs="Times New Roman"/>
        </w:rPr>
        <w:t xml:space="preserve">Stiglitz </w:t>
      </w:r>
      <w:r w:rsidR="00643E50">
        <w:rPr>
          <w:rFonts w:ascii="Times New Roman" w:eastAsia="Cambria" w:hAnsi="Times New Roman" w:cs="Times New Roman"/>
        </w:rPr>
        <w:t xml:space="preserve">2013, Deaton </w:t>
      </w:r>
      <w:r w:rsidR="003B055A">
        <w:rPr>
          <w:rFonts w:ascii="Times New Roman" w:eastAsia="Cambria" w:hAnsi="Times New Roman" w:cs="Times New Roman"/>
        </w:rPr>
        <w:t xml:space="preserve">2013). </w:t>
      </w:r>
      <w:r w:rsidR="0036734D">
        <w:rPr>
          <w:rFonts w:ascii="Times New Roman" w:eastAsia="Cambria" w:hAnsi="Times New Roman" w:cs="Times New Roman"/>
        </w:rPr>
        <w:t xml:space="preserve"> </w:t>
      </w:r>
    </w:p>
    <w:p w14:paraId="2760ED7F" w14:textId="77777777" w:rsidR="00A43B2A" w:rsidRDefault="00A43B2A" w:rsidP="00D50FA4">
      <w:pPr>
        <w:jc w:val="both"/>
        <w:rPr>
          <w:rFonts w:ascii="Times New Roman" w:eastAsia="Cambria" w:hAnsi="Times New Roman" w:cs="Times New Roman"/>
        </w:rPr>
      </w:pPr>
    </w:p>
    <w:p w14:paraId="4C83DD87" w14:textId="1391A25F" w:rsidR="00EB45B7" w:rsidRDefault="004F24A8" w:rsidP="00D50FA4">
      <w:pPr>
        <w:jc w:val="both"/>
        <w:rPr>
          <w:rFonts w:ascii="Times New Roman" w:eastAsia="Cambria" w:hAnsi="Times New Roman" w:cs="Times New Roman"/>
        </w:rPr>
      </w:pPr>
      <w:r>
        <w:rPr>
          <w:rFonts w:ascii="Times New Roman" w:eastAsia="Cambria" w:hAnsi="Times New Roman" w:cs="Times New Roman"/>
        </w:rPr>
        <w:t xml:space="preserve">One channel through which inequality, </w:t>
      </w:r>
      <w:r w:rsidR="003523FE">
        <w:rPr>
          <w:rFonts w:ascii="Times New Roman" w:eastAsia="Cambria" w:hAnsi="Times New Roman" w:cs="Times New Roman"/>
        </w:rPr>
        <w:t>and in particular</w:t>
      </w:r>
      <w:r>
        <w:rPr>
          <w:rFonts w:ascii="Times New Roman" w:eastAsia="Cambria" w:hAnsi="Times New Roman" w:cs="Times New Roman"/>
        </w:rPr>
        <w:t xml:space="preserve"> income concentration among the top earners, might harm public institutions is by weakening support for public programs</w:t>
      </w:r>
      <w:r w:rsidR="006627F1">
        <w:rPr>
          <w:rFonts w:ascii="Times New Roman" w:eastAsia="Cambria" w:hAnsi="Times New Roman" w:cs="Times New Roman"/>
        </w:rPr>
        <w:t xml:space="preserve"> or the financing of public programs</w:t>
      </w:r>
      <w:r>
        <w:rPr>
          <w:rFonts w:ascii="Times New Roman" w:eastAsia="Cambria" w:hAnsi="Times New Roman" w:cs="Times New Roman"/>
        </w:rPr>
        <w:t xml:space="preserve"> </w:t>
      </w:r>
      <w:r w:rsidR="003858D6">
        <w:rPr>
          <w:rFonts w:ascii="Times New Roman" w:eastAsia="Cambria" w:hAnsi="Times New Roman" w:cs="Times New Roman"/>
        </w:rPr>
        <w:t xml:space="preserve">for which alternatives or supplements can be found in private markets. </w:t>
      </w:r>
      <w:r w:rsidR="005117D8">
        <w:rPr>
          <w:rFonts w:ascii="Times New Roman" w:eastAsia="Cambria" w:hAnsi="Times New Roman" w:cs="Times New Roman"/>
        </w:rPr>
        <w:t>Public</w:t>
      </w:r>
      <w:r>
        <w:rPr>
          <w:rFonts w:ascii="Times New Roman" w:eastAsia="Cambria" w:hAnsi="Times New Roman" w:cs="Times New Roman"/>
        </w:rPr>
        <w:t xml:space="preserve"> programs which aim to provide a universal benefit to a </w:t>
      </w:r>
      <w:r w:rsidR="00617C81">
        <w:rPr>
          <w:rFonts w:ascii="Times New Roman" w:eastAsia="Cambria" w:hAnsi="Times New Roman" w:cs="Times New Roman"/>
        </w:rPr>
        <w:t>heterogeneous</w:t>
      </w:r>
      <w:r>
        <w:rPr>
          <w:rFonts w:ascii="Times New Roman" w:eastAsia="Cambria" w:hAnsi="Times New Roman" w:cs="Times New Roman"/>
        </w:rPr>
        <w:t xml:space="preserve"> population often target (implicitly or explicitly) the “median voter”.</w:t>
      </w:r>
      <w:r w:rsidR="003858D6">
        <w:rPr>
          <w:rStyle w:val="FootnoteReference"/>
          <w:rFonts w:ascii="Times New Roman" w:eastAsia="Cambria" w:hAnsi="Times New Roman" w:cs="Times New Roman"/>
        </w:rPr>
        <w:footnoteReference w:id="2"/>
      </w:r>
      <w:r>
        <w:rPr>
          <w:rFonts w:ascii="Times New Roman" w:eastAsia="Cambria" w:hAnsi="Times New Roman" w:cs="Times New Roman"/>
        </w:rPr>
        <w:t xml:space="preserve"> That is, they provide a level of benefit that may not reflect the desired benefit level for any single voter or group of voters, but rather</w:t>
      </w:r>
      <w:r w:rsidR="006627F1">
        <w:rPr>
          <w:rFonts w:ascii="Times New Roman" w:eastAsia="Cambria" w:hAnsi="Times New Roman" w:cs="Times New Roman"/>
        </w:rPr>
        <w:t xml:space="preserve"> aim for a level of benefit</w:t>
      </w:r>
      <w:r>
        <w:rPr>
          <w:rFonts w:ascii="Times New Roman" w:eastAsia="Cambria" w:hAnsi="Times New Roman" w:cs="Times New Roman"/>
        </w:rPr>
        <w:t xml:space="preserve"> that is close enough to what most voters desire </w:t>
      </w:r>
      <w:r w:rsidR="006627F1">
        <w:rPr>
          <w:rFonts w:ascii="Times New Roman" w:eastAsia="Cambria" w:hAnsi="Times New Roman" w:cs="Times New Roman"/>
        </w:rPr>
        <w:t>such that</w:t>
      </w:r>
      <w:r>
        <w:rPr>
          <w:rFonts w:ascii="Times New Roman" w:eastAsia="Cambria" w:hAnsi="Times New Roman" w:cs="Times New Roman"/>
        </w:rPr>
        <w:t xml:space="preserve"> it</w:t>
      </w:r>
      <w:r w:rsidR="003F7D1D">
        <w:rPr>
          <w:rFonts w:ascii="Times New Roman" w:eastAsia="Cambria" w:hAnsi="Times New Roman" w:cs="Times New Roman"/>
        </w:rPr>
        <w:t xml:space="preserve"> becomes</w:t>
      </w:r>
      <w:r>
        <w:rPr>
          <w:rFonts w:ascii="Times New Roman" w:eastAsia="Cambria" w:hAnsi="Times New Roman" w:cs="Times New Roman"/>
        </w:rPr>
        <w:t xml:space="preserve"> acceptable to many. Publicly financed health programs such as Canadian Medicare would be an example of such a benefit – a universal program funded through general tax revenues that aims to provide a </w:t>
      </w:r>
      <w:r w:rsidR="006627F1">
        <w:rPr>
          <w:rFonts w:ascii="Times New Roman" w:eastAsia="Cambria" w:hAnsi="Times New Roman" w:cs="Times New Roman"/>
        </w:rPr>
        <w:t>level and quality of service that is acceptable to a majority, but that</w:t>
      </w:r>
      <w:r>
        <w:rPr>
          <w:rFonts w:ascii="Times New Roman" w:eastAsia="Cambria" w:hAnsi="Times New Roman" w:cs="Times New Roman"/>
        </w:rPr>
        <w:t xml:space="preserve"> given budgetary </w:t>
      </w:r>
      <w:r w:rsidR="006627F1">
        <w:rPr>
          <w:rFonts w:ascii="Times New Roman" w:eastAsia="Cambria" w:hAnsi="Times New Roman" w:cs="Times New Roman"/>
        </w:rPr>
        <w:t>realities,</w:t>
      </w:r>
      <w:r>
        <w:rPr>
          <w:rFonts w:ascii="Times New Roman" w:eastAsia="Cambria" w:hAnsi="Times New Roman" w:cs="Times New Roman"/>
        </w:rPr>
        <w:t xml:space="preserve"> must make trade-offs in terms of the quantity and quality of services funded.  Publicly financed health care in Canada has</w:t>
      </w:r>
      <w:r w:rsidR="00B63911">
        <w:rPr>
          <w:rFonts w:ascii="Times New Roman" w:eastAsia="Cambria" w:hAnsi="Times New Roman" w:cs="Times New Roman"/>
        </w:rPr>
        <w:t xml:space="preserve"> historically managed this trade-off reasonabl</w:t>
      </w:r>
      <w:r w:rsidR="003858D6">
        <w:rPr>
          <w:rFonts w:ascii="Times New Roman" w:eastAsia="Cambria" w:hAnsi="Times New Roman" w:cs="Times New Roman"/>
        </w:rPr>
        <w:t>y</w:t>
      </w:r>
      <w:r w:rsidR="00B63911">
        <w:rPr>
          <w:rFonts w:ascii="Times New Roman" w:eastAsia="Cambria" w:hAnsi="Times New Roman" w:cs="Times New Roman"/>
        </w:rPr>
        <w:t xml:space="preserve"> well and continues to receive</w:t>
      </w:r>
      <w:r>
        <w:rPr>
          <w:rFonts w:ascii="Times New Roman" w:eastAsia="Cambria" w:hAnsi="Times New Roman" w:cs="Times New Roman"/>
        </w:rPr>
        <w:t xml:space="preserve"> high (albeit </w:t>
      </w:r>
      <w:r w:rsidR="006627F1">
        <w:rPr>
          <w:rFonts w:ascii="Times New Roman" w:eastAsia="Cambria" w:hAnsi="Times New Roman" w:cs="Times New Roman"/>
        </w:rPr>
        <w:t>time</w:t>
      </w:r>
      <w:r w:rsidR="004A2F8D">
        <w:rPr>
          <w:rFonts w:ascii="Times New Roman" w:eastAsia="Cambria" w:hAnsi="Times New Roman" w:cs="Times New Roman"/>
        </w:rPr>
        <w:t>-</w:t>
      </w:r>
      <w:r>
        <w:rPr>
          <w:rFonts w:ascii="Times New Roman" w:eastAsia="Cambria" w:hAnsi="Times New Roman" w:cs="Times New Roman"/>
        </w:rPr>
        <w:t xml:space="preserve">varying) </w:t>
      </w:r>
      <w:r w:rsidR="006627F1">
        <w:rPr>
          <w:rFonts w:ascii="Times New Roman" w:eastAsia="Cambria" w:hAnsi="Times New Roman" w:cs="Times New Roman"/>
        </w:rPr>
        <w:t xml:space="preserve">levels </w:t>
      </w:r>
      <w:r>
        <w:rPr>
          <w:rFonts w:ascii="Times New Roman" w:eastAsia="Cambria" w:hAnsi="Times New Roman" w:cs="Times New Roman"/>
        </w:rPr>
        <w:t xml:space="preserve">of support by </w:t>
      </w:r>
      <w:r w:rsidR="005117D8">
        <w:rPr>
          <w:rFonts w:ascii="Times New Roman" w:eastAsia="Cambria" w:hAnsi="Times New Roman" w:cs="Times New Roman"/>
        </w:rPr>
        <w:t>most</w:t>
      </w:r>
      <w:r>
        <w:rPr>
          <w:rFonts w:ascii="Times New Roman" w:eastAsia="Cambria" w:hAnsi="Times New Roman" w:cs="Times New Roman"/>
        </w:rPr>
        <w:t xml:space="preserve"> Canadians</w:t>
      </w:r>
      <w:r w:rsidR="00B63911">
        <w:rPr>
          <w:rFonts w:ascii="Times New Roman" w:eastAsia="Cambria" w:hAnsi="Times New Roman" w:cs="Times New Roman"/>
        </w:rPr>
        <w:t>.</w:t>
      </w:r>
    </w:p>
    <w:p w14:paraId="79D66D50" w14:textId="77777777" w:rsidR="00B63911" w:rsidRDefault="00B63911" w:rsidP="00D50FA4">
      <w:pPr>
        <w:jc w:val="both"/>
        <w:rPr>
          <w:rFonts w:ascii="Times New Roman" w:eastAsia="Cambria" w:hAnsi="Times New Roman" w:cs="Times New Roman"/>
        </w:rPr>
      </w:pPr>
    </w:p>
    <w:p w14:paraId="322C9E22" w14:textId="320BF03B" w:rsidR="00B63911" w:rsidRDefault="00B63911" w:rsidP="00D50FA4">
      <w:pPr>
        <w:jc w:val="both"/>
        <w:rPr>
          <w:rFonts w:ascii="Times New Roman" w:eastAsia="Cambria" w:hAnsi="Times New Roman" w:cs="Times New Roman"/>
        </w:rPr>
      </w:pPr>
      <w:r>
        <w:rPr>
          <w:rFonts w:ascii="Times New Roman" w:eastAsia="Cambria" w:hAnsi="Times New Roman" w:cs="Times New Roman"/>
        </w:rPr>
        <w:t>As the</w:t>
      </w:r>
      <w:r w:rsidR="005C1A1F">
        <w:rPr>
          <w:rFonts w:ascii="Times New Roman" w:eastAsia="Cambria" w:hAnsi="Times New Roman" w:cs="Times New Roman"/>
        </w:rPr>
        <w:t xml:space="preserve"> distance between the</w:t>
      </w:r>
      <w:r>
        <w:rPr>
          <w:rFonts w:ascii="Times New Roman" w:eastAsia="Cambria" w:hAnsi="Times New Roman" w:cs="Times New Roman"/>
        </w:rPr>
        <w:t xml:space="preserve"> incomes of the top income earners in Canada</w:t>
      </w:r>
      <w:r w:rsidR="005C1A1F">
        <w:rPr>
          <w:rFonts w:ascii="Times New Roman" w:eastAsia="Cambria" w:hAnsi="Times New Roman" w:cs="Times New Roman"/>
        </w:rPr>
        <w:t xml:space="preserve"> and the median income grows, any benefit that targets the preferences of </w:t>
      </w:r>
      <w:r w:rsidR="003858D6">
        <w:rPr>
          <w:rFonts w:ascii="Times New Roman" w:eastAsia="Cambria" w:hAnsi="Times New Roman" w:cs="Times New Roman"/>
        </w:rPr>
        <w:t>the latter</w:t>
      </w:r>
      <w:r w:rsidR="005C1A1F">
        <w:rPr>
          <w:rFonts w:ascii="Times New Roman" w:eastAsia="Cambria" w:hAnsi="Times New Roman" w:cs="Times New Roman"/>
        </w:rPr>
        <w:t xml:space="preserve"> may </w:t>
      </w:r>
      <w:r w:rsidR="00C77B14">
        <w:rPr>
          <w:rFonts w:ascii="Times New Roman" w:eastAsia="Cambria" w:hAnsi="Times New Roman" w:cs="Times New Roman"/>
        </w:rPr>
        <w:t xml:space="preserve">move </w:t>
      </w:r>
      <w:r w:rsidR="005C1A1F">
        <w:rPr>
          <w:rFonts w:ascii="Times New Roman" w:eastAsia="Cambria" w:hAnsi="Times New Roman" w:cs="Times New Roman"/>
        </w:rPr>
        <w:t>further away from the desired level of benefits for th</w:t>
      </w:r>
      <w:r w:rsidR="003858D6">
        <w:rPr>
          <w:rFonts w:ascii="Times New Roman" w:eastAsia="Cambria" w:hAnsi="Times New Roman" w:cs="Times New Roman"/>
        </w:rPr>
        <w:t>e</w:t>
      </w:r>
      <w:r w:rsidR="005C1A1F">
        <w:rPr>
          <w:rFonts w:ascii="Times New Roman" w:eastAsia="Cambria" w:hAnsi="Times New Roman" w:cs="Times New Roman"/>
        </w:rPr>
        <w:t xml:space="preserve"> </w:t>
      </w:r>
      <w:r w:rsidR="005C1A1F" w:rsidRPr="00FA66F0">
        <w:rPr>
          <w:rFonts w:ascii="Times New Roman" w:eastAsia="Cambria" w:hAnsi="Times New Roman" w:cs="Times New Roman"/>
        </w:rPr>
        <w:t>top group.</w:t>
      </w:r>
      <w:r w:rsidR="00C71651" w:rsidRPr="00FA66F0">
        <w:rPr>
          <w:rFonts w:ascii="Times New Roman" w:eastAsia="Cambria" w:hAnsi="Times New Roman" w:cs="Times New Roman"/>
        </w:rPr>
        <w:t xml:space="preserve"> P</w:t>
      </w:r>
      <w:r w:rsidR="005C1A1F" w:rsidRPr="00FA66F0">
        <w:rPr>
          <w:rFonts w:ascii="Times New Roman" w:eastAsia="Cambria" w:hAnsi="Times New Roman" w:cs="Times New Roman"/>
        </w:rPr>
        <w:t xml:space="preserve">references for the level and quality of health care desired are </w:t>
      </w:r>
      <w:r w:rsidR="00C77B14">
        <w:rPr>
          <w:rFonts w:ascii="Times New Roman" w:eastAsia="Cambria" w:hAnsi="Times New Roman" w:cs="Times New Roman"/>
        </w:rPr>
        <w:t>likely to increase with income</w:t>
      </w:r>
      <w:r w:rsidR="00C71651" w:rsidRPr="00FA66F0">
        <w:rPr>
          <w:rFonts w:ascii="Times New Roman" w:eastAsia="Cambria" w:hAnsi="Times New Roman" w:cs="Times New Roman"/>
        </w:rPr>
        <w:t>.</w:t>
      </w:r>
      <w:r w:rsidR="005C1A1F" w:rsidRPr="00FA66F0">
        <w:rPr>
          <w:rFonts w:ascii="Times New Roman" w:eastAsia="Cambria" w:hAnsi="Times New Roman" w:cs="Times New Roman"/>
        </w:rPr>
        <w:t xml:space="preserve"> </w:t>
      </w:r>
      <w:r w:rsidR="00C71651" w:rsidRPr="00FA66F0">
        <w:rPr>
          <w:rFonts w:ascii="Times New Roman" w:eastAsia="Cambria" w:hAnsi="Times New Roman" w:cs="Times New Roman"/>
        </w:rPr>
        <w:t>M</w:t>
      </w:r>
      <w:r w:rsidR="005C1A1F" w:rsidRPr="00FA66F0">
        <w:rPr>
          <w:rFonts w:ascii="Times New Roman" w:eastAsia="Cambria" w:hAnsi="Times New Roman" w:cs="Times New Roman"/>
        </w:rPr>
        <w:t>echanically</w:t>
      </w:r>
      <w:r w:rsidR="00C71651" w:rsidRPr="00FA66F0">
        <w:rPr>
          <w:rFonts w:ascii="Times New Roman" w:eastAsia="Cambria" w:hAnsi="Times New Roman" w:cs="Times New Roman"/>
        </w:rPr>
        <w:t>,</w:t>
      </w:r>
      <w:r w:rsidR="005C1A1F" w:rsidRPr="00FA66F0">
        <w:rPr>
          <w:rFonts w:ascii="Times New Roman" w:eastAsia="Cambria" w:hAnsi="Times New Roman" w:cs="Times New Roman"/>
        </w:rPr>
        <w:t xml:space="preserve"> an increase in income and wealth concentration among t</w:t>
      </w:r>
      <w:r w:rsidR="00C77B14">
        <w:rPr>
          <w:rFonts w:ascii="Times New Roman" w:eastAsia="Cambria" w:hAnsi="Times New Roman" w:cs="Times New Roman"/>
        </w:rPr>
        <w:t xml:space="preserve">op earners </w:t>
      </w:r>
      <w:r w:rsidR="005C1A1F" w:rsidRPr="00FA66F0">
        <w:rPr>
          <w:rFonts w:ascii="Times New Roman" w:eastAsia="Cambria" w:hAnsi="Times New Roman" w:cs="Times New Roman"/>
        </w:rPr>
        <w:t>will</w:t>
      </w:r>
      <w:r w:rsidR="00C71651" w:rsidRPr="00FA66F0">
        <w:rPr>
          <w:rFonts w:ascii="Times New Roman" w:eastAsia="Cambria" w:hAnsi="Times New Roman" w:cs="Times New Roman"/>
        </w:rPr>
        <w:t xml:space="preserve"> then</w:t>
      </w:r>
      <w:r w:rsidR="005C1A1F" w:rsidRPr="00FA66F0">
        <w:rPr>
          <w:rFonts w:ascii="Times New Roman" w:eastAsia="Cambria" w:hAnsi="Times New Roman" w:cs="Times New Roman"/>
        </w:rPr>
        <w:t xml:space="preserve"> lead to a desired level of health care services that </w:t>
      </w:r>
      <w:r w:rsidR="00463486" w:rsidRPr="00FA66F0">
        <w:rPr>
          <w:rFonts w:ascii="Times New Roman" w:eastAsia="Cambria" w:hAnsi="Times New Roman" w:cs="Times New Roman"/>
        </w:rPr>
        <w:t xml:space="preserve">is </w:t>
      </w:r>
      <w:r w:rsidR="005C1A1F" w:rsidRPr="00FA66F0">
        <w:rPr>
          <w:rFonts w:ascii="Times New Roman" w:eastAsia="Cambria" w:hAnsi="Times New Roman" w:cs="Times New Roman"/>
        </w:rPr>
        <w:t>ever distant from what publicly financed health care provides. This paper aims to explore whether there is evidence of such a relationship based on the changes</w:t>
      </w:r>
      <w:r w:rsidR="005C1A1F">
        <w:rPr>
          <w:rFonts w:ascii="Times New Roman" w:eastAsia="Cambria" w:hAnsi="Times New Roman" w:cs="Times New Roman"/>
        </w:rPr>
        <w:t xml:space="preserve"> in concentration of </w:t>
      </w:r>
      <w:r w:rsidR="002C25B9">
        <w:rPr>
          <w:rFonts w:ascii="Times New Roman" w:eastAsia="Cambria" w:hAnsi="Times New Roman" w:cs="Times New Roman"/>
        </w:rPr>
        <w:t xml:space="preserve">income at the top of the distribution </w:t>
      </w:r>
      <w:r w:rsidR="005C1A1F">
        <w:rPr>
          <w:rFonts w:ascii="Times New Roman" w:eastAsia="Cambria" w:hAnsi="Times New Roman" w:cs="Times New Roman"/>
        </w:rPr>
        <w:t>and</w:t>
      </w:r>
      <w:r w:rsidR="002C25B9">
        <w:rPr>
          <w:rFonts w:ascii="Times New Roman" w:eastAsia="Cambria" w:hAnsi="Times New Roman" w:cs="Times New Roman"/>
        </w:rPr>
        <w:t xml:space="preserve"> on the evolution of</w:t>
      </w:r>
      <w:r w:rsidR="005C1A1F">
        <w:rPr>
          <w:rFonts w:ascii="Times New Roman" w:eastAsia="Cambria" w:hAnsi="Times New Roman" w:cs="Times New Roman"/>
        </w:rPr>
        <w:t xml:space="preserve"> expenditures on </w:t>
      </w:r>
      <w:r w:rsidR="00C77B14">
        <w:rPr>
          <w:rFonts w:ascii="Times New Roman" w:eastAsia="Cambria" w:hAnsi="Times New Roman" w:cs="Times New Roman"/>
        </w:rPr>
        <w:t>privately</w:t>
      </w:r>
      <w:r w:rsidR="001A23C5">
        <w:rPr>
          <w:rFonts w:ascii="Times New Roman" w:eastAsia="Cambria" w:hAnsi="Times New Roman" w:cs="Times New Roman"/>
        </w:rPr>
        <w:t xml:space="preserve"> </w:t>
      </w:r>
      <w:r w:rsidR="005C1A1F">
        <w:rPr>
          <w:rFonts w:ascii="Times New Roman" w:eastAsia="Cambria" w:hAnsi="Times New Roman" w:cs="Times New Roman"/>
        </w:rPr>
        <w:t>financed health care services both across the OECD and</w:t>
      </w:r>
      <w:r w:rsidR="006F07CE">
        <w:rPr>
          <w:rFonts w:ascii="Times New Roman" w:eastAsia="Cambria" w:hAnsi="Times New Roman" w:cs="Times New Roman"/>
        </w:rPr>
        <w:t>,</w:t>
      </w:r>
      <w:r w:rsidR="005C1A1F">
        <w:rPr>
          <w:rFonts w:ascii="Times New Roman" w:eastAsia="Cambria" w:hAnsi="Times New Roman" w:cs="Times New Roman"/>
        </w:rPr>
        <w:t xml:space="preserve"> in </w:t>
      </w:r>
      <w:r w:rsidR="006F07CE">
        <w:rPr>
          <w:rFonts w:ascii="Times New Roman" w:eastAsia="Cambria" w:hAnsi="Times New Roman" w:cs="Times New Roman"/>
        </w:rPr>
        <w:t xml:space="preserve">particular, in </w:t>
      </w:r>
      <w:r w:rsidR="005C1A1F">
        <w:rPr>
          <w:rFonts w:ascii="Times New Roman" w:eastAsia="Cambria" w:hAnsi="Times New Roman" w:cs="Times New Roman"/>
        </w:rPr>
        <w:t xml:space="preserve">Canada. </w:t>
      </w:r>
      <w:r w:rsidR="00F10AF9">
        <w:rPr>
          <w:rFonts w:ascii="Times New Roman" w:eastAsia="Cambria" w:hAnsi="Times New Roman" w:cs="Times New Roman"/>
        </w:rPr>
        <w:t xml:space="preserve"> It builds on a considerable literature (partially reviewed below) looking at the effects of changes in the income distribution on the provision and financing of public goods, but instead focuses on the effects of changes in the income distribution on the use of private services. </w:t>
      </w:r>
    </w:p>
    <w:p w14:paraId="74BB52CB" w14:textId="77777777" w:rsidR="005C1A1F" w:rsidRDefault="005C1A1F" w:rsidP="00D50FA4">
      <w:pPr>
        <w:jc w:val="both"/>
        <w:rPr>
          <w:rFonts w:ascii="Times New Roman" w:eastAsia="Cambria" w:hAnsi="Times New Roman" w:cs="Times New Roman"/>
        </w:rPr>
      </w:pPr>
    </w:p>
    <w:p w14:paraId="51642AC9" w14:textId="77777777" w:rsidR="0082485A" w:rsidRPr="007066E0" w:rsidRDefault="005C1A1F" w:rsidP="00D50FA4">
      <w:pPr>
        <w:jc w:val="both"/>
        <w:rPr>
          <w:rFonts w:ascii="Times New Roman" w:eastAsia="Cambria" w:hAnsi="Times New Roman" w:cs="Times New Roman"/>
          <w:lang w:val="en-CA"/>
        </w:rPr>
      </w:pPr>
      <w:r>
        <w:rPr>
          <w:rFonts w:ascii="Times New Roman" w:eastAsia="Cambria" w:hAnsi="Times New Roman" w:cs="Times New Roman"/>
        </w:rPr>
        <w:t xml:space="preserve">It is </w:t>
      </w:r>
      <w:r w:rsidR="0035098B">
        <w:rPr>
          <w:rFonts w:ascii="Times New Roman" w:eastAsia="Cambria" w:hAnsi="Times New Roman" w:cs="Times New Roman"/>
        </w:rPr>
        <w:t>worth noting</w:t>
      </w:r>
      <w:r>
        <w:rPr>
          <w:rFonts w:ascii="Times New Roman" w:eastAsia="Cambria" w:hAnsi="Times New Roman" w:cs="Times New Roman"/>
        </w:rPr>
        <w:t xml:space="preserve"> that preferences to use more or higher quality health </w:t>
      </w:r>
      <w:r w:rsidR="00637D8E">
        <w:rPr>
          <w:rFonts w:ascii="Times New Roman" w:eastAsia="Cambria" w:hAnsi="Times New Roman" w:cs="Times New Roman"/>
        </w:rPr>
        <w:t xml:space="preserve">care </w:t>
      </w:r>
      <w:r>
        <w:rPr>
          <w:rFonts w:ascii="Times New Roman" w:eastAsia="Cambria" w:hAnsi="Times New Roman" w:cs="Times New Roman"/>
        </w:rPr>
        <w:t xml:space="preserve">do not need to </w:t>
      </w:r>
      <w:r w:rsidR="005117D8">
        <w:rPr>
          <w:rFonts w:ascii="Times New Roman" w:eastAsia="Cambria" w:hAnsi="Times New Roman" w:cs="Times New Roman"/>
        </w:rPr>
        <w:t>translate</w:t>
      </w:r>
      <w:r>
        <w:rPr>
          <w:rFonts w:ascii="Times New Roman" w:eastAsia="Cambria" w:hAnsi="Times New Roman" w:cs="Times New Roman"/>
        </w:rPr>
        <w:t xml:space="preserve"> into people </w:t>
      </w:r>
      <w:r w:rsidR="00637D8E">
        <w:rPr>
          <w:rFonts w:ascii="Times New Roman" w:eastAsia="Cambria" w:hAnsi="Times New Roman" w:cs="Times New Roman"/>
        </w:rPr>
        <w:t xml:space="preserve">actually </w:t>
      </w:r>
      <w:r w:rsidR="00C24101">
        <w:rPr>
          <w:rFonts w:ascii="Times New Roman" w:eastAsia="Cambria" w:hAnsi="Times New Roman" w:cs="Times New Roman"/>
        </w:rPr>
        <w:t>receiving better quality care. Indeed, t</w:t>
      </w:r>
      <w:r>
        <w:rPr>
          <w:rFonts w:ascii="Times New Roman" w:eastAsia="Cambria" w:hAnsi="Times New Roman" w:cs="Times New Roman"/>
        </w:rPr>
        <w:t>here is considerable research suggesting that more care</w:t>
      </w:r>
      <w:r w:rsidR="002A7BE9">
        <w:rPr>
          <w:rFonts w:ascii="Times New Roman" w:eastAsia="Cambria" w:hAnsi="Times New Roman" w:cs="Times New Roman"/>
        </w:rPr>
        <w:t xml:space="preserve"> is not always better care </w:t>
      </w:r>
      <w:r w:rsidR="00C24101">
        <w:rPr>
          <w:rFonts w:ascii="Times New Roman" w:eastAsia="Cambria" w:hAnsi="Times New Roman" w:cs="Times New Roman"/>
        </w:rPr>
        <w:t xml:space="preserve">and can often end up causing harm </w:t>
      </w:r>
      <w:r w:rsidR="002A7BE9">
        <w:rPr>
          <w:rFonts w:ascii="Times New Roman" w:eastAsia="Cambria" w:hAnsi="Times New Roman" w:cs="Times New Roman"/>
        </w:rPr>
        <w:t>(</w:t>
      </w:r>
      <w:r w:rsidR="00825D1C">
        <w:rPr>
          <w:rFonts w:ascii="Times New Roman" w:eastAsia="Cambria" w:hAnsi="Times New Roman" w:cs="Times New Roman"/>
        </w:rPr>
        <w:t>Welch</w:t>
      </w:r>
      <w:r w:rsidR="009A2050">
        <w:rPr>
          <w:rFonts w:ascii="Times New Roman" w:eastAsia="Cambria" w:hAnsi="Times New Roman" w:cs="Times New Roman"/>
        </w:rPr>
        <w:t xml:space="preserve"> </w:t>
      </w:r>
      <w:r w:rsidR="00825D1C">
        <w:rPr>
          <w:rFonts w:ascii="Times New Roman" w:eastAsia="Cambria" w:hAnsi="Times New Roman" w:cs="Times New Roman"/>
        </w:rPr>
        <w:t>2015</w:t>
      </w:r>
      <w:r>
        <w:rPr>
          <w:rFonts w:ascii="Times New Roman" w:eastAsia="Cambria" w:hAnsi="Times New Roman" w:cs="Times New Roman"/>
        </w:rPr>
        <w:t>). For the purpose</w:t>
      </w:r>
      <w:r w:rsidR="00594ACD">
        <w:rPr>
          <w:rFonts w:ascii="Times New Roman" w:eastAsia="Cambria" w:hAnsi="Times New Roman" w:cs="Times New Roman"/>
        </w:rPr>
        <w:t>s</w:t>
      </w:r>
      <w:r>
        <w:rPr>
          <w:rFonts w:ascii="Times New Roman" w:eastAsia="Cambria" w:hAnsi="Times New Roman" w:cs="Times New Roman"/>
        </w:rPr>
        <w:t xml:space="preserve"> of this analysis, it is sufficient that </w:t>
      </w:r>
      <w:r w:rsidR="0082485A">
        <w:rPr>
          <w:rFonts w:ascii="Times New Roman" w:eastAsia="Cambria" w:hAnsi="Times New Roman" w:cs="Times New Roman"/>
        </w:rPr>
        <w:t>individuals</w:t>
      </w:r>
      <w:r>
        <w:rPr>
          <w:rFonts w:ascii="Times New Roman" w:eastAsia="Cambria" w:hAnsi="Times New Roman" w:cs="Times New Roman"/>
        </w:rPr>
        <w:t xml:space="preserve"> choose to seek private alternatives to publicly financed health care, signalling a departure </w:t>
      </w:r>
      <w:r w:rsidR="0082485A">
        <w:rPr>
          <w:rFonts w:ascii="Times New Roman" w:eastAsia="Cambria" w:hAnsi="Times New Roman" w:cs="Times New Roman"/>
        </w:rPr>
        <w:t xml:space="preserve">between their preferences and the care provided by the publicly financed system.  </w:t>
      </w:r>
    </w:p>
    <w:p w14:paraId="0ACA305F" w14:textId="77777777" w:rsidR="0082485A" w:rsidRPr="00C71651" w:rsidRDefault="0082485A" w:rsidP="00D50FA4">
      <w:pPr>
        <w:jc w:val="both"/>
        <w:rPr>
          <w:rFonts w:ascii="Times New Roman" w:eastAsia="Cambria" w:hAnsi="Times New Roman" w:cs="Times New Roman"/>
        </w:rPr>
      </w:pPr>
    </w:p>
    <w:p w14:paraId="09AE6DB4" w14:textId="77777777" w:rsidR="00F10AF9" w:rsidRDefault="0082485A" w:rsidP="00400B04">
      <w:pPr>
        <w:jc w:val="both"/>
        <w:rPr>
          <w:rFonts w:ascii="Times New Roman" w:eastAsia="Cambria" w:hAnsi="Times New Roman" w:cs="Times New Roman"/>
        </w:rPr>
      </w:pPr>
      <w:r w:rsidRPr="00C71651">
        <w:rPr>
          <w:rFonts w:ascii="Times New Roman" w:eastAsia="Cambria" w:hAnsi="Times New Roman" w:cs="Times New Roman"/>
        </w:rPr>
        <w:t xml:space="preserve">We explore whether there is evidence of such a relationship by looking </w:t>
      </w:r>
      <w:r w:rsidR="009B7282" w:rsidRPr="00C71651">
        <w:rPr>
          <w:rFonts w:ascii="Times New Roman" w:eastAsia="Cambria" w:hAnsi="Times New Roman" w:cs="Times New Roman"/>
        </w:rPr>
        <w:t xml:space="preserve">at the </w:t>
      </w:r>
      <w:r w:rsidR="00A10AC0">
        <w:rPr>
          <w:rFonts w:ascii="Times New Roman" w:eastAsia="Cambria" w:hAnsi="Times New Roman" w:cs="Times New Roman"/>
        </w:rPr>
        <w:t xml:space="preserve">within-country </w:t>
      </w:r>
      <w:r w:rsidR="008B7479" w:rsidRPr="00C71651">
        <w:rPr>
          <w:rFonts w:ascii="Times New Roman" w:eastAsia="Cambria" w:hAnsi="Times New Roman" w:cs="Times New Roman"/>
        </w:rPr>
        <w:t>correlation</w:t>
      </w:r>
      <w:r w:rsidR="009B7282" w:rsidRPr="00C71651">
        <w:rPr>
          <w:rFonts w:ascii="Times New Roman" w:eastAsia="Cambria" w:hAnsi="Times New Roman" w:cs="Times New Roman"/>
        </w:rPr>
        <w:t xml:space="preserve"> between top income shares and spending on private care and private insurance using panel data from OECD countries </w:t>
      </w:r>
      <w:r w:rsidR="008B7479" w:rsidRPr="00C71651">
        <w:rPr>
          <w:rFonts w:ascii="Times New Roman" w:eastAsia="Cambria" w:hAnsi="Times New Roman" w:cs="Times New Roman"/>
        </w:rPr>
        <w:t>over a 35-</w:t>
      </w:r>
      <w:r w:rsidR="009B7282" w:rsidRPr="00C71651">
        <w:rPr>
          <w:rFonts w:ascii="Times New Roman" w:eastAsia="Cambria" w:hAnsi="Times New Roman" w:cs="Times New Roman"/>
        </w:rPr>
        <w:t xml:space="preserve">year period. We then look specifically within Canada </w:t>
      </w:r>
      <w:r w:rsidR="009B7282" w:rsidRPr="00C71651">
        <w:rPr>
          <w:rFonts w:ascii="Times New Roman" w:eastAsia="Cambria" w:hAnsi="Times New Roman" w:cs="Times New Roman"/>
        </w:rPr>
        <w:lastRenderedPageBreak/>
        <w:t xml:space="preserve">at the relationship between changes in income concentration and spending on both private </w:t>
      </w:r>
      <w:r w:rsidR="00D6782A" w:rsidRPr="00C71651">
        <w:rPr>
          <w:rFonts w:ascii="Times New Roman" w:eastAsia="Cambria" w:hAnsi="Times New Roman" w:cs="Times New Roman"/>
        </w:rPr>
        <w:t>health care</w:t>
      </w:r>
      <w:r w:rsidR="009B7282" w:rsidRPr="00C71651">
        <w:rPr>
          <w:rFonts w:ascii="Times New Roman" w:eastAsia="Cambria" w:hAnsi="Times New Roman" w:cs="Times New Roman"/>
        </w:rPr>
        <w:t xml:space="preserve"> and private insurance</w:t>
      </w:r>
      <w:r w:rsidR="007F583C" w:rsidRPr="00C71651">
        <w:rPr>
          <w:rFonts w:ascii="Times New Roman" w:eastAsia="Cambria" w:hAnsi="Times New Roman" w:cs="Times New Roman"/>
        </w:rPr>
        <w:t xml:space="preserve"> using household expenditure data</w:t>
      </w:r>
      <w:r w:rsidR="009B7282" w:rsidRPr="00C71651">
        <w:rPr>
          <w:rFonts w:ascii="Times New Roman" w:eastAsia="Cambria" w:hAnsi="Times New Roman" w:cs="Times New Roman"/>
        </w:rPr>
        <w:t>.</w:t>
      </w:r>
      <w:r w:rsidR="00F10AF9">
        <w:rPr>
          <w:rFonts w:ascii="Times New Roman" w:eastAsia="Cambria" w:hAnsi="Times New Roman" w:cs="Times New Roman"/>
        </w:rPr>
        <w:t xml:space="preserve"> Canada’s public system allows for individuals to insure privately for services not covered under the public system, and has also come under increasing pressure recently to allow individuals to spend privately on otherwise publicly available services. The potential effects of changes in the income distribution could come through either of these two channels. </w:t>
      </w:r>
    </w:p>
    <w:p w14:paraId="03B346EB" w14:textId="77777777" w:rsidR="00F10AF9" w:rsidRDefault="00F10AF9" w:rsidP="00400B04">
      <w:pPr>
        <w:jc w:val="both"/>
        <w:rPr>
          <w:rFonts w:ascii="Times New Roman" w:eastAsia="Cambria" w:hAnsi="Times New Roman" w:cs="Times New Roman"/>
        </w:rPr>
      </w:pPr>
    </w:p>
    <w:p w14:paraId="0FB46583" w14:textId="77777777" w:rsidR="00A43B2A" w:rsidRPr="00C71651" w:rsidRDefault="00D6782A" w:rsidP="00400B04">
      <w:pPr>
        <w:jc w:val="both"/>
        <w:rPr>
          <w:rFonts w:ascii="Times New Roman" w:eastAsia="Cambria" w:hAnsi="Times New Roman" w:cs="Times New Roman"/>
        </w:rPr>
      </w:pPr>
      <w:r w:rsidRPr="00C71651">
        <w:rPr>
          <w:rFonts w:ascii="Times New Roman" w:eastAsia="Cambria" w:hAnsi="Times New Roman" w:cs="Times New Roman"/>
        </w:rPr>
        <w:t>Our country</w:t>
      </w:r>
      <w:r w:rsidR="00205DAE">
        <w:rPr>
          <w:rFonts w:ascii="Times New Roman" w:eastAsia="Cambria" w:hAnsi="Times New Roman" w:cs="Times New Roman"/>
        </w:rPr>
        <w:t>-level</w:t>
      </w:r>
      <w:r w:rsidRPr="00C71651">
        <w:rPr>
          <w:rFonts w:ascii="Times New Roman" w:eastAsia="Cambria" w:hAnsi="Times New Roman" w:cs="Times New Roman"/>
        </w:rPr>
        <w:t xml:space="preserve"> findings suggest that </w:t>
      </w:r>
      <w:r w:rsidRPr="00E27584">
        <w:rPr>
          <w:rFonts w:ascii="Times New Roman" w:hAnsi="Times New Roman" w:cs="Times New Roman"/>
        </w:rPr>
        <w:t xml:space="preserve">private </w:t>
      </w:r>
      <w:r w:rsidR="00067BE9">
        <w:rPr>
          <w:rFonts w:ascii="Times New Roman" w:hAnsi="Times New Roman" w:cs="Times New Roman"/>
        </w:rPr>
        <w:t xml:space="preserve">health </w:t>
      </w:r>
      <w:r w:rsidRPr="00E27584">
        <w:rPr>
          <w:rFonts w:ascii="Times New Roman" w:hAnsi="Times New Roman" w:cs="Times New Roman"/>
        </w:rPr>
        <w:t>expenditure increases</w:t>
      </w:r>
      <w:r w:rsidR="001A23C5">
        <w:rPr>
          <w:rFonts w:ascii="Times New Roman" w:hAnsi="Times New Roman" w:cs="Times New Roman"/>
        </w:rPr>
        <w:t>,</w:t>
      </w:r>
      <w:r w:rsidRPr="00E27584">
        <w:rPr>
          <w:rFonts w:ascii="Times New Roman" w:hAnsi="Times New Roman" w:cs="Times New Roman"/>
        </w:rPr>
        <w:t xml:space="preserve"> with lagged increases in the top 1% share</w:t>
      </w:r>
      <w:r w:rsidR="001A23C5">
        <w:rPr>
          <w:rFonts w:ascii="Times New Roman" w:hAnsi="Times New Roman" w:cs="Times New Roman"/>
        </w:rPr>
        <w:t>,</w:t>
      </w:r>
      <w:r w:rsidRPr="00E27584">
        <w:rPr>
          <w:rFonts w:ascii="Times New Roman" w:hAnsi="Times New Roman" w:cs="Times New Roman"/>
        </w:rPr>
        <w:t xml:space="preserve"> as does spending on private </w:t>
      </w:r>
      <w:r w:rsidR="00067BE9">
        <w:rPr>
          <w:rFonts w:ascii="Times New Roman" w:hAnsi="Times New Roman" w:cs="Times New Roman"/>
        </w:rPr>
        <w:t xml:space="preserve">health </w:t>
      </w:r>
      <w:r w:rsidRPr="00E27584">
        <w:rPr>
          <w:rFonts w:ascii="Times New Roman" w:hAnsi="Times New Roman" w:cs="Times New Roman"/>
        </w:rPr>
        <w:t xml:space="preserve">insurance. We find somewhat weaker evidence of a relationship between lagged top income shares and out of pocket </w:t>
      </w:r>
      <w:r w:rsidR="00067BE9">
        <w:rPr>
          <w:rFonts w:ascii="Times New Roman" w:hAnsi="Times New Roman" w:cs="Times New Roman"/>
        </w:rPr>
        <w:t xml:space="preserve">health care </w:t>
      </w:r>
      <w:r w:rsidRPr="00E27584">
        <w:rPr>
          <w:rFonts w:ascii="Times New Roman" w:hAnsi="Times New Roman" w:cs="Times New Roman"/>
        </w:rPr>
        <w:t>costs. Within Canada we find evidence of increases over time in the relative spending of top income</w:t>
      </w:r>
      <w:r w:rsidR="00745F0D">
        <w:rPr>
          <w:rFonts w:ascii="Times New Roman" w:hAnsi="Times New Roman" w:cs="Times New Roman"/>
        </w:rPr>
        <w:t xml:space="preserve"> earners</w:t>
      </w:r>
      <w:r w:rsidRPr="00E27584">
        <w:rPr>
          <w:rFonts w:ascii="Times New Roman" w:hAnsi="Times New Roman" w:cs="Times New Roman"/>
        </w:rPr>
        <w:t xml:space="preserve"> on health care and private </w:t>
      </w:r>
      <w:r w:rsidR="00067BE9">
        <w:rPr>
          <w:rFonts w:ascii="Times New Roman" w:hAnsi="Times New Roman" w:cs="Times New Roman"/>
        </w:rPr>
        <w:t xml:space="preserve">health </w:t>
      </w:r>
      <w:r w:rsidRPr="00E27584">
        <w:rPr>
          <w:rFonts w:ascii="Times New Roman" w:hAnsi="Times New Roman" w:cs="Times New Roman"/>
        </w:rPr>
        <w:t xml:space="preserve">insurance controlling for the direct income-health care spending relationship as well as general changes in private health care spending over time. </w:t>
      </w:r>
      <w:r w:rsidR="00C24101" w:rsidRPr="00E27584">
        <w:rPr>
          <w:rFonts w:ascii="Times New Roman" w:hAnsi="Times New Roman" w:cs="Times New Roman"/>
        </w:rPr>
        <w:t xml:space="preserve">That is, there is a fanning out </w:t>
      </w:r>
      <w:r w:rsidR="00067BE9">
        <w:rPr>
          <w:rFonts w:ascii="Times New Roman" w:hAnsi="Times New Roman" w:cs="Times New Roman"/>
        </w:rPr>
        <w:t>of</w:t>
      </w:r>
      <w:r w:rsidR="00067BE9" w:rsidRPr="00E27584">
        <w:rPr>
          <w:rFonts w:ascii="Times New Roman" w:hAnsi="Times New Roman" w:cs="Times New Roman"/>
        </w:rPr>
        <w:t xml:space="preserve"> </w:t>
      </w:r>
      <w:r w:rsidR="00C24101" w:rsidRPr="00E27584">
        <w:rPr>
          <w:rFonts w:ascii="Times New Roman" w:hAnsi="Times New Roman" w:cs="Times New Roman"/>
        </w:rPr>
        <w:t xml:space="preserve">the relationship between private health spending </w:t>
      </w:r>
      <w:r w:rsidR="00745F0D">
        <w:rPr>
          <w:rFonts w:ascii="Times New Roman" w:hAnsi="Times New Roman" w:cs="Times New Roman"/>
        </w:rPr>
        <w:t xml:space="preserve">of </w:t>
      </w:r>
      <w:r w:rsidR="00C24101" w:rsidRPr="00E27584">
        <w:rPr>
          <w:rFonts w:ascii="Times New Roman" w:hAnsi="Times New Roman" w:cs="Times New Roman"/>
        </w:rPr>
        <w:t xml:space="preserve">those in the top income decile relative to the rest of the population over time. </w:t>
      </w:r>
      <w:r w:rsidRPr="00E27584">
        <w:rPr>
          <w:rFonts w:ascii="Times New Roman" w:hAnsi="Times New Roman" w:cs="Times New Roman"/>
        </w:rPr>
        <w:t xml:space="preserve"> Both these findings suggest that there may be reason for concern about the relationship between growing income concentration and the ability of publicly financed health care to provide a universally acceptable benefit. </w:t>
      </w:r>
      <w:r w:rsidR="00C24101" w:rsidRPr="00E27584">
        <w:rPr>
          <w:rFonts w:ascii="Times New Roman" w:hAnsi="Times New Roman" w:cs="Times New Roman"/>
        </w:rPr>
        <w:t xml:space="preserve">They also suggest that continued </w:t>
      </w:r>
      <w:r w:rsidR="00D72C50">
        <w:rPr>
          <w:rFonts w:ascii="Times New Roman" w:hAnsi="Times New Roman" w:cs="Times New Roman"/>
        </w:rPr>
        <w:t xml:space="preserve">growth in </w:t>
      </w:r>
      <w:r w:rsidR="00C24101" w:rsidRPr="00E27584">
        <w:rPr>
          <w:rFonts w:ascii="Times New Roman" w:hAnsi="Times New Roman" w:cs="Times New Roman"/>
        </w:rPr>
        <w:t xml:space="preserve">income </w:t>
      </w:r>
      <w:r w:rsidR="00AC3705">
        <w:rPr>
          <w:rFonts w:ascii="Times New Roman" w:hAnsi="Times New Roman" w:cs="Times New Roman"/>
        </w:rPr>
        <w:t>concentration at the top of the distribution</w:t>
      </w:r>
      <w:r w:rsidR="00D72C50">
        <w:rPr>
          <w:rFonts w:ascii="Times New Roman" w:hAnsi="Times New Roman" w:cs="Times New Roman"/>
        </w:rPr>
        <w:t xml:space="preserve"> </w:t>
      </w:r>
      <w:r w:rsidR="00C24101" w:rsidRPr="00E27584">
        <w:rPr>
          <w:rFonts w:ascii="Times New Roman" w:hAnsi="Times New Roman" w:cs="Times New Roman"/>
        </w:rPr>
        <w:t xml:space="preserve">may result in a greater demand for private health spending and insurance. </w:t>
      </w:r>
    </w:p>
    <w:p w14:paraId="16A718A7" w14:textId="77777777" w:rsidR="00D50FA4" w:rsidRPr="00C71651" w:rsidRDefault="00D50FA4" w:rsidP="00D50FA4">
      <w:pPr>
        <w:jc w:val="both"/>
        <w:rPr>
          <w:rFonts w:ascii="Times New Roman" w:eastAsia="Cambria" w:hAnsi="Times New Roman" w:cs="Times New Roman"/>
          <w:b/>
        </w:rPr>
      </w:pPr>
    </w:p>
    <w:p w14:paraId="23696BC7" w14:textId="77777777" w:rsidR="00E41A1B" w:rsidRDefault="00E41A1B" w:rsidP="00D50FA4">
      <w:pPr>
        <w:jc w:val="both"/>
        <w:rPr>
          <w:rFonts w:ascii="Times New Roman" w:eastAsia="Cambria" w:hAnsi="Times New Roman" w:cs="Times New Roman"/>
          <w:b/>
        </w:rPr>
      </w:pPr>
    </w:p>
    <w:p w14:paraId="1E58721C" w14:textId="77777777" w:rsidR="00E41A1B" w:rsidRDefault="00E41A1B" w:rsidP="00CC5CC1">
      <w:pPr>
        <w:jc w:val="both"/>
        <w:outlineLvl w:val="0"/>
        <w:rPr>
          <w:rFonts w:ascii="Times New Roman" w:eastAsia="Cambria" w:hAnsi="Times New Roman" w:cs="Times New Roman"/>
          <w:b/>
        </w:rPr>
      </w:pPr>
      <w:r>
        <w:rPr>
          <w:rFonts w:ascii="Times New Roman" w:eastAsia="Cambria" w:hAnsi="Times New Roman" w:cs="Times New Roman"/>
          <w:b/>
        </w:rPr>
        <w:t>2. Previous Literature</w:t>
      </w:r>
    </w:p>
    <w:p w14:paraId="421E5438" w14:textId="77777777" w:rsidR="00F01683" w:rsidRDefault="00F01683" w:rsidP="00CC5CC1">
      <w:pPr>
        <w:jc w:val="both"/>
        <w:outlineLvl w:val="0"/>
        <w:rPr>
          <w:rFonts w:ascii="Times New Roman" w:eastAsia="Cambria" w:hAnsi="Times New Roman" w:cs="Times New Roman"/>
          <w:b/>
        </w:rPr>
      </w:pPr>
    </w:p>
    <w:p w14:paraId="2091BD17" w14:textId="77777777" w:rsidR="00F01683" w:rsidRDefault="00F01683" w:rsidP="00D50FA4">
      <w:pPr>
        <w:jc w:val="both"/>
        <w:rPr>
          <w:rFonts w:ascii="Times New Roman" w:eastAsia="Cambria" w:hAnsi="Times New Roman" w:cs="Times New Roman"/>
        </w:rPr>
      </w:pPr>
      <w:r>
        <w:rPr>
          <w:rFonts w:ascii="Times New Roman" w:eastAsia="Cambria" w:hAnsi="Times New Roman" w:cs="Times New Roman"/>
        </w:rPr>
        <w:t xml:space="preserve">Combining existing estimates of the income elasticity of health expenditure with the insights from the literature on inequality and social spending raises questions on the relationship between trends in inequality and </w:t>
      </w:r>
      <w:r w:rsidR="00FC21B5">
        <w:rPr>
          <w:rFonts w:ascii="Times New Roman" w:eastAsia="Cambria" w:hAnsi="Times New Roman" w:cs="Times New Roman"/>
        </w:rPr>
        <w:t>the use of</w:t>
      </w:r>
      <w:r>
        <w:rPr>
          <w:rFonts w:ascii="Times New Roman" w:eastAsia="Cambria" w:hAnsi="Times New Roman" w:cs="Times New Roman"/>
        </w:rPr>
        <w:t xml:space="preserve"> privately financed health care.</w:t>
      </w:r>
    </w:p>
    <w:p w14:paraId="120FDF8B" w14:textId="77777777" w:rsidR="00F01683" w:rsidRPr="00C22A89" w:rsidRDefault="00F01683" w:rsidP="00D50FA4">
      <w:pPr>
        <w:jc w:val="both"/>
        <w:rPr>
          <w:rFonts w:ascii="Times New Roman" w:eastAsia="Cambria" w:hAnsi="Times New Roman" w:cs="Times New Roman"/>
        </w:rPr>
      </w:pPr>
    </w:p>
    <w:p w14:paraId="05FF9637" w14:textId="77777777" w:rsidR="00647546" w:rsidRDefault="009E1F04" w:rsidP="00271D0B">
      <w:pPr>
        <w:jc w:val="both"/>
        <w:rPr>
          <w:rFonts w:ascii="Times New Roman" w:eastAsia="Cambria" w:hAnsi="Times New Roman" w:cs="Times New Roman"/>
        </w:rPr>
      </w:pPr>
      <w:r>
        <w:rPr>
          <w:rFonts w:ascii="Times New Roman" w:eastAsia="Cambria" w:hAnsi="Times New Roman" w:cs="Times New Roman"/>
        </w:rPr>
        <w:t>First, and</w:t>
      </w:r>
      <w:r w:rsidR="00271D0B">
        <w:rPr>
          <w:rFonts w:ascii="Times New Roman" w:eastAsia="Cambria" w:hAnsi="Times New Roman" w:cs="Times New Roman"/>
        </w:rPr>
        <w:t xml:space="preserve"> </w:t>
      </w:r>
      <w:r>
        <w:rPr>
          <w:rFonts w:ascii="Times New Roman" w:eastAsia="Cambria" w:hAnsi="Times New Roman" w:cs="Times New Roman"/>
        </w:rPr>
        <w:t xml:space="preserve">fuelled </w:t>
      </w:r>
      <w:r w:rsidR="00271D0B">
        <w:rPr>
          <w:rFonts w:ascii="Times New Roman" w:eastAsia="Cambria" w:hAnsi="Times New Roman" w:cs="Times New Roman"/>
        </w:rPr>
        <w:t xml:space="preserve">by recent trends in developed countries suggesting that aggregate income growth has been paralleled by marked increases in health expenditure (both in levels and as a share of GDP), </w:t>
      </w:r>
      <w:r w:rsidR="001562E9">
        <w:rPr>
          <w:rFonts w:ascii="Times New Roman" w:eastAsia="Cambria" w:hAnsi="Times New Roman" w:cs="Times New Roman"/>
        </w:rPr>
        <w:t>research h</w:t>
      </w:r>
      <w:r w:rsidR="00271D0B">
        <w:rPr>
          <w:rFonts w:ascii="Times New Roman" w:eastAsia="Cambria" w:hAnsi="Times New Roman" w:cs="Times New Roman"/>
        </w:rPr>
        <w:t>as focused on</w:t>
      </w:r>
      <w:r w:rsidR="001562E9">
        <w:rPr>
          <w:rFonts w:ascii="Times New Roman" w:eastAsia="Cambria" w:hAnsi="Times New Roman" w:cs="Times New Roman"/>
        </w:rPr>
        <w:t xml:space="preserve"> uncovering</w:t>
      </w:r>
      <w:r w:rsidR="00271D0B">
        <w:rPr>
          <w:rFonts w:ascii="Times New Roman" w:eastAsia="Cambria" w:hAnsi="Times New Roman" w:cs="Times New Roman"/>
        </w:rPr>
        <w:t xml:space="preserve"> the income el</w:t>
      </w:r>
      <w:r w:rsidR="001562E9">
        <w:rPr>
          <w:rFonts w:ascii="Times New Roman" w:eastAsia="Cambria" w:hAnsi="Times New Roman" w:cs="Times New Roman"/>
        </w:rPr>
        <w:t xml:space="preserve">asticity of health expenditure. </w:t>
      </w:r>
      <w:r w:rsidR="00271D0B">
        <w:rPr>
          <w:rFonts w:ascii="Times New Roman" w:eastAsia="Cambria" w:hAnsi="Times New Roman" w:cs="Times New Roman"/>
        </w:rPr>
        <w:t xml:space="preserve">Although the range </w:t>
      </w:r>
      <w:r w:rsidR="00FC21B5">
        <w:rPr>
          <w:rFonts w:ascii="Times New Roman" w:eastAsia="Cambria" w:hAnsi="Times New Roman" w:cs="Times New Roman"/>
        </w:rPr>
        <w:t xml:space="preserve">of </w:t>
      </w:r>
      <w:r w:rsidR="00271D0B">
        <w:rPr>
          <w:rFonts w:ascii="Times New Roman" w:eastAsia="Cambria" w:hAnsi="Times New Roman" w:cs="Times New Roman"/>
        </w:rPr>
        <w:t>estimates in household-level and country-level empirical analyses is quite wide, the evidence points towards positive income elasticities (e.g. OECD 2006,</w:t>
      </w:r>
      <w:r w:rsidR="00271D0B" w:rsidRPr="004A015F">
        <w:rPr>
          <w:rFonts w:ascii="Times New Roman" w:eastAsia="Cambria" w:hAnsi="Times New Roman" w:cs="Times New Roman"/>
        </w:rPr>
        <w:t xml:space="preserve"> </w:t>
      </w:r>
      <w:proofErr w:type="spellStart"/>
      <w:r w:rsidR="00271D0B">
        <w:rPr>
          <w:rFonts w:ascii="Times New Roman" w:eastAsia="Cambria" w:hAnsi="Times New Roman" w:cs="Times New Roman"/>
        </w:rPr>
        <w:t>Acemoglu</w:t>
      </w:r>
      <w:proofErr w:type="spellEnd"/>
      <w:r w:rsidR="00271D0B">
        <w:rPr>
          <w:rFonts w:ascii="Times New Roman" w:eastAsia="Cambria" w:hAnsi="Times New Roman" w:cs="Times New Roman"/>
        </w:rPr>
        <w:t xml:space="preserve"> et al 2013 for the U.S and D'Amico and D'Amico 1998 for Canada), some work even presenting health care as a potential </w:t>
      </w:r>
      <w:r w:rsidR="00EB3F7D">
        <w:rPr>
          <w:rFonts w:ascii="Times New Roman" w:eastAsia="Cambria" w:hAnsi="Times New Roman" w:cs="Times New Roman"/>
        </w:rPr>
        <w:t>superior/</w:t>
      </w:r>
      <w:r w:rsidR="00271D0B">
        <w:rPr>
          <w:rFonts w:ascii="Times New Roman" w:eastAsia="Cambria" w:hAnsi="Times New Roman" w:cs="Times New Roman"/>
        </w:rPr>
        <w:t>luxury good (Hall and Jones 2007, Li et al 2016)</w:t>
      </w:r>
      <w:r w:rsidR="00271D0B">
        <w:rPr>
          <w:rStyle w:val="FootnoteReference"/>
          <w:rFonts w:ascii="Times New Roman" w:eastAsia="Cambria" w:hAnsi="Times New Roman" w:cs="Times New Roman"/>
        </w:rPr>
        <w:footnoteReference w:id="3"/>
      </w:r>
      <w:r w:rsidR="00271D0B">
        <w:rPr>
          <w:rFonts w:ascii="Times New Roman" w:eastAsia="Cambria" w:hAnsi="Times New Roman" w:cs="Times New Roman"/>
        </w:rPr>
        <w:t>.</w:t>
      </w:r>
      <w:r w:rsidR="00271D0B" w:rsidRPr="00271D0B">
        <w:rPr>
          <w:rFonts w:ascii="Times New Roman" w:eastAsia="Cambria" w:hAnsi="Times New Roman" w:cs="Times New Roman"/>
        </w:rPr>
        <w:t xml:space="preserve"> </w:t>
      </w:r>
      <w:r>
        <w:rPr>
          <w:rFonts w:ascii="Times New Roman" w:eastAsia="Cambria" w:hAnsi="Times New Roman" w:cs="Times New Roman"/>
        </w:rPr>
        <w:t>Such p</w:t>
      </w:r>
      <w:r w:rsidR="005251D9">
        <w:rPr>
          <w:rFonts w:ascii="Times New Roman" w:eastAsia="Cambria" w:hAnsi="Times New Roman" w:cs="Times New Roman"/>
        </w:rPr>
        <w:t>ositive income elasticities of health expenditure, especially at the household level, suggest that other factors held constant, inequality coming from income growth concentrated among high income earners may disproportionately raise the demand for health-related goods at the top of the income distribution. The demand for health care at the bottom of the distribution may remain relatively unchanged as inequality rises if middle- and low-income earners' wages stagnate, and even if they slightly decline (</w:t>
      </w:r>
      <w:proofErr w:type="spellStart"/>
      <w:r w:rsidR="005251D9">
        <w:rPr>
          <w:rFonts w:ascii="Times New Roman" w:eastAsia="Cambria" w:hAnsi="Times New Roman" w:cs="Times New Roman"/>
        </w:rPr>
        <w:t>Culyer</w:t>
      </w:r>
      <w:proofErr w:type="spellEnd"/>
      <w:r w:rsidR="005251D9">
        <w:rPr>
          <w:rFonts w:ascii="Times New Roman" w:eastAsia="Cambria" w:hAnsi="Times New Roman" w:cs="Times New Roman"/>
        </w:rPr>
        <w:t xml:space="preserve"> 1988). </w:t>
      </w:r>
    </w:p>
    <w:p w14:paraId="393270BB" w14:textId="77777777" w:rsidR="00647546" w:rsidRDefault="00647546" w:rsidP="00271D0B">
      <w:pPr>
        <w:jc w:val="both"/>
        <w:rPr>
          <w:rFonts w:ascii="Times New Roman" w:eastAsia="Cambria" w:hAnsi="Times New Roman" w:cs="Times New Roman"/>
        </w:rPr>
      </w:pPr>
    </w:p>
    <w:p w14:paraId="5F1B8AFA" w14:textId="55B9ED01" w:rsidR="003858D6" w:rsidRDefault="005251D9" w:rsidP="00271D0B">
      <w:pPr>
        <w:jc w:val="both"/>
        <w:rPr>
          <w:rFonts w:ascii="Times New Roman" w:eastAsia="Cambria" w:hAnsi="Times New Roman" w:cs="Times New Roman"/>
          <w:lang w:val="en-CA"/>
        </w:rPr>
      </w:pPr>
      <w:r>
        <w:rPr>
          <w:rFonts w:ascii="Times New Roman" w:eastAsia="Cambria" w:hAnsi="Times New Roman" w:cs="Times New Roman"/>
        </w:rPr>
        <w:t xml:space="preserve">However, </w:t>
      </w:r>
      <w:r w:rsidR="00E06958">
        <w:rPr>
          <w:rFonts w:ascii="Times New Roman" w:eastAsia="Cambria" w:hAnsi="Times New Roman" w:cs="Times New Roman"/>
        </w:rPr>
        <w:t xml:space="preserve">important work on the determination of publicly provided goods and services through democratic processes suggest that the preferences of high income earners may remain unmet by </w:t>
      </w:r>
      <w:r w:rsidR="00E06958">
        <w:rPr>
          <w:rFonts w:ascii="Times New Roman" w:eastAsia="Cambria" w:hAnsi="Times New Roman" w:cs="Times New Roman"/>
        </w:rPr>
        <w:lastRenderedPageBreak/>
        <w:t xml:space="preserve">the </w:t>
      </w:r>
      <w:r w:rsidR="00DB6E47">
        <w:rPr>
          <w:rFonts w:ascii="Times New Roman" w:eastAsia="Cambria" w:hAnsi="Times New Roman" w:cs="Times New Roman"/>
        </w:rPr>
        <w:t xml:space="preserve">tax-financed </w:t>
      </w:r>
      <w:r w:rsidR="00E06958">
        <w:rPr>
          <w:rFonts w:ascii="Times New Roman" w:eastAsia="Cambria" w:hAnsi="Times New Roman" w:cs="Times New Roman"/>
        </w:rPr>
        <w:t xml:space="preserve">programs receiving enough popular support to be implemented. </w:t>
      </w:r>
      <w:r w:rsidR="00647546">
        <w:rPr>
          <w:rFonts w:ascii="Times New Roman" w:eastAsia="Cambria" w:hAnsi="Times New Roman" w:cs="Times New Roman"/>
        </w:rPr>
        <w:t>Indeed, m</w:t>
      </w:r>
      <w:proofErr w:type="spellStart"/>
      <w:r w:rsidR="00271D0B">
        <w:rPr>
          <w:rFonts w:ascii="Times New Roman" w:eastAsia="Cambria" w:hAnsi="Times New Roman" w:cs="Times New Roman"/>
          <w:lang w:val="en-CA"/>
        </w:rPr>
        <w:t>ajority</w:t>
      </w:r>
      <w:proofErr w:type="spellEnd"/>
      <w:r w:rsidR="00271D0B">
        <w:rPr>
          <w:rFonts w:ascii="Times New Roman" w:eastAsia="Cambria" w:hAnsi="Times New Roman" w:cs="Times New Roman"/>
          <w:lang w:val="en-CA"/>
        </w:rPr>
        <w:t xml:space="preserve"> voting models have been suggested in which </w:t>
      </w:r>
      <w:r w:rsidR="00647546">
        <w:rPr>
          <w:rFonts w:ascii="Times New Roman" w:eastAsia="Cambria" w:hAnsi="Times New Roman" w:cs="Times New Roman"/>
          <w:lang w:val="en-CA"/>
        </w:rPr>
        <w:t>the</w:t>
      </w:r>
      <w:r w:rsidR="00DB6E47">
        <w:rPr>
          <w:rFonts w:ascii="Times New Roman" w:eastAsia="Cambria" w:hAnsi="Times New Roman" w:cs="Times New Roman"/>
          <w:lang w:val="en-CA"/>
        </w:rPr>
        <w:t xml:space="preserve"> level</w:t>
      </w:r>
      <w:r w:rsidR="00271D0B">
        <w:rPr>
          <w:rFonts w:ascii="Times New Roman" w:eastAsia="Cambria" w:hAnsi="Times New Roman" w:cs="Times New Roman"/>
          <w:lang w:val="en-CA"/>
        </w:rPr>
        <w:t xml:space="preserve"> </w:t>
      </w:r>
      <w:r w:rsidR="00647546">
        <w:rPr>
          <w:rFonts w:ascii="Times New Roman" w:eastAsia="Cambria" w:hAnsi="Times New Roman" w:cs="Times New Roman"/>
          <w:lang w:val="en-CA"/>
        </w:rPr>
        <w:t xml:space="preserve">and nature </w:t>
      </w:r>
      <w:r w:rsidR="00271D0B">
        <w:rPr>
          <w:rFonts w:ascii="Times New Roman" w:eastAsia="Cambria" w:hAnsi="Times New Roman" w:cs="Times New Roman"/>
          <w:lang w:val="en-CA"/>
        </w:rPr>
        <w:t xml:space="preserve">of publicly provided </w:t>
      </w:r>
      <w:r w:rsidR="00647546">
        <w:rPr>
          <w:rFonts w:ascii="Times New Roman" w:eastAsia="Cambria" w:hAnsi="Times New Roman" w:cs="Times New Roman"/>
          <w:lang w:val="en-CA"/>
        </w:rPr>
        <w:t>goods and services (including health care)</w:t>
      </w:r>
      <w:r w:rsidR="00DB6E47">
        <w:rPr>
          <w:rFonts w:ascii="Times New Roman" w:eastAsia="Cambria" w:hAnsi="Times New Roman" w:cs="Times New Roman"/>
          <w:lang w:val="en-CA"/>
        </w:rPr>
        <w:t xml:space="preserve"> and the corresponding tax rate</w:t>
      </w:r>
      <w:r w:rsidR="00647546">
        <w:rPr>
          <w:rFonts w:ascii="Times New Roman" w:eastAsia="Cambria" w:hAnsi="Times New Roman" w:cs="Times New Roman"/>
          <w:lang w:val="en-CA"/>
        </w:rPr>
        <w:t xml:space="preserve"> are influenced by the shape of the income distribution. </w:t>
      </w:r>
      <w:r w:rsidR="00413857">
        <w:rPr>
          <w:rFonts w:ascii="Times New Roman" w:eastAsia="Cambria" w:hAnsi="Times New Roman" w:cs="Times New Roman"/>
          <w:lang w:val="en-CA"/>
        </w:rPr>
        <w:t xml:space="preserve">If preferences </w:t>
      </w:r>
      <w:r w:rsidR="00647546">
        <w:rPr>
          <w:rFonts w:ascii="Times New Roman" w:eastAsia="Cambria" w:hAnsi="Times New Roman" w:cs="Times New Roman"/>
          <w:lang w:val="en-CA"/>
        </w:rPr>
        <w:t xml:space="preserve">differ between income </w:t>
      </w:r>
      <w:r w:rsidR="00E933DD">
        <w:rPr>
          <w:rFonts w:ascii="Times New Roman" w:eastAsia="Cambria" w:hAnsi="Times New Roman" w:cs="Times New Roman"/>
          <w:lang w:val="en-CA"/>
        </w:rPr>
        <w:t xml:space="preserve">levels, </w:t>
      </w:r>
      <w:r w:rsidR="00844113">
        <w:rPr>
          <w:rFonts w:ascii="Times New Roman" w:eastAsia="Cambria" w:hAnsi="Times New Roman" w:cs="Times New Roman"/>
          <w:lang w:val="en-CA"/>
        </w:rPr>
        <w:t>theoretical work suggests that (</w:t>
      </w:r>
      <w:proofErr w:type="spellStart"/>
      <w:r w:rsidR="00844113">
        <w:rPr>
          <w:rFonts w:ascii="Times New Roman" w:eastAsia="Cambria" w:hAnsi="Times New Roman" w:cs="Times New Roman"/>
          <w:lang w:val="en-CA"/>
        </w:rPr>
        <w:t>i</w:t>
      </w:r>
      <w:proofErr w:type="spellEnd"/>
      <w:r w:rsidR="00844113">
        <w:rPr>
          <w:rFonts w:ascii="Times New Roman" w:eastAsia="Cambria" w:hAnsi="Times New Roman" w:cs="Times New Roman"/>
          <w:lang w:val="en-CA"/>
        </w:rPr>
        <w:t xml:space="preserve">) </w:t>
      </w:r>
      <w:r w:rsidR="00DB6E47">
        <w:rPr>
          <w:rFonts w:ascii="Times New Roman" w:eastAsia="Cambria" w:hAnsi="Times New Roman" w:cs="Times New Roman"/>
          <w:lang w:val="en-CA"/>
        </w:rPr>
        <w:t>a</w:t>
      </w:r>
      <w:r w:rsidR="00271D0B">
        <w:rPr>
          <w:rFonts w:ascii="Times New Roman" w:eastAsia="Cambria" w:hAnsi="Times New Roman" w:cs="Times New Roman"/>
          <w:lang w:val="en-CA"/>
        </w:rPr>
        <w:t xml:space="preserve"> two-tier (</w:t>
      </w:r>
      <w:proofErr w:type="spellStart"/>
      <w:r w:rsidR="00271D0B">
        <w:rPr>
          <w:rFonts w:ascii="Times New Roman" w:eastAsia="Cambria" w:hAnsi="Times New Roman" w:cs="Times New Roman"/>
          <w:lang w:val="en-CA"/>
        </w:rPr>
        <w:t>Epple</w:t>
      </w:r>
      <w:proofErr w:type="spellEnd"/>
      <w:r w:rsidR="00271D0B">
        <w:rPr>
          <w:rFonts w:ascii="Times New Roman" w:eastAsia="Cambria" w:hAnsi="Times New Roman" w:cs="Times New Roman"/>
          <w:lang w:val="en-CA"/>
        </w:rPr>
        <w:t xml:space="preserve"> and Romano </w:t>
      </w:r>
      <w:proofErr w:type="spellStart"/>
      <w:r w:rsidR="00271D0B">
        <w:rPr>
          <w:rFonts w:ascii="Times New Roman" w:eastAsia="Cambria" w:hAnsi="Times New Roman" w:cs="Times New Roman"/>
          <w:lang w:val="en-CA"/>
        </w:rPr>
        <w:t>1996a</w:t>
      </w:r>
      <w:proofErr w:type="spellEnd"/>
      <w:r w:rsidR="00271D0B">
        <w:rPr>
          <w:rFonts w:ascii="Times New Roman" w:eastAsia="Cambria" w:hAnsi="Times New Roman" w:cs="Times New Roman"/>
          <w:lang w:val="en-CA"/>
        </w:rPr>
        <w:t xml:space="preserve">, </w:t>
      </w:r>
      <w:proofErr w:type="spellStart"/>
      <w:r w:rsidR="00271D0B">
        <w:rPr>
          <w:rFonts w:ascii="Times New Roman" w:eastAsia="Cambria" w:hAnsi="Times New Roman" w:cs="Times New Roman"/>
          <w:lang w:val="en-CA"/>
        </w:rPr>
        <w:t>Lülfesmann</w:t>
      </w:r>
      <w:proofErr w:type="spellEnd"/>
      <w:r w:rsidR="00271D0B">
        <w:rPr>
          <w:rFonts w:ascii="Times New Roman" w:eastAsia="Cambria" w:hAnsi="Times New Roman" w:cs="Times New Roman"/>
          <w:lang w:val="en-CA"/>
        </w:rPr>
        <w:t xml:space="preserve"> and Myers 2011) or dual-provision health </w:t>
      </w:r>
      <w:r w:rsidR="00DB6E47">
        <w:rPr>
          <w:rFonts w:ascii="Times New Roman" w:eastAsia="Cambria" w:hAnsi="Times New Roman" w:cs="Times New Roman"/>
          <w:lang w:val="en-CA"/>
        </w:rPr>
        <w:t>care system</w:t>
      </w:r>
      <w:r w:rsidR="00271D0B">
        <w:rPr>
          <w:rFonts w:ascii="Times New Roman" w:eastAsia="Cambria" w:hAnsi="Times New Roman" w:cs="Times New Roman"/>
          <w:lang w:val="en-CA"/>
        </w:rPr>
        <w:t xml:space="preserve"> (</w:t>
      </w:r>
      <w:proofErr w:type="spellStart"/>
      <w:r w:rsidR="00271D0B">
        <w:rPr>
          <w:rFonts w:ascii="Times New Roman" w:eastAsia="Cambria" w:hAnsi="Times New Roman" w:cs="Times New Roman"/>
          <w:lang w:val="en-CA"/>
        </w:rPr>
        <w:t>Epple</w:t>
      </w:r>
      <w:proofErr w:type="spellEnd"/>
      <w:r w:rsidR="00271D0B">
        <w:rPr>
          <w:rFonts w:ascii="Times New Roman" w:eastAsia="Cambria" w:hAnsi="Times New Roman" w:cs="Times New Roman"/>
          <w:lang w:val="en-CA"/>
        </w:rPr>
        <w:t xml:space="preserve"> and Romano </w:t>
      </w:r>
      <w:proofErr w:type="spellStart"/>
      <w:r w:rsidR="00271D0B">
        <w:rPr>
          <w:rFonts w:ascii="Times New Roman" w:eastAsia="Cambria" w:hAnsi="Times New Roman" w:cs="Times New Roman"/>
          <w:lang w:val="en-CA"/>
        </w:rPr>
        <w:t>1996b</w:t>
      </w:r>
      <w:proofErr w:type="spellEnd"/>
      <w:r w:rsidR="00271D0B">
        <w:rPr>
          <w:rFonts w:ascii="Times New Roman" w:eastAsia="Cambria" w:hAnsi="Times New Roman" w:cs="Times New Roman"/>
          <w:lang w:val="en-CA"/>
        </w:rPr>
        <w:t xml:space="preserve">) </w:t>
      </w:r>
      <w:r w:rsidR="00844113">
        <w:rPr>
          <w:rFonts w:ascii="Times New Roman" w:eastAsia="Cambria" w:hAnsi="Times New Roman" w:cs="Times New Roman"/>
          <w:lang w:val="en-CA"/>
        </w:rPr>
        <w:t>will</w:t>
      </w:r>
      <w:r w:rsidR="00DB6E47">
        <w:rPr>
          <w:rFonts w:ascii="Times New Roman" w:eastAsia="Cambria" w:hAnsi="Times New Roman" w:cs="Times New Roman"/>
          <w:lang w:val="en-CA"/>
        </w:rPr>
        <w:t xml:space="preserve"> </w:t>
      </w:r>
      <w:r w:rsidR="00D27667">
        <w:rPr>
          <w:rFonts w:ascii="Times New Roman" w:eastAsia="Cambria" w:hAnsi="Times New Roman" w:cs="Times New Roman"/>
          <w:lang w:val="en-CA"/>
        </w:rPr>
        <w:t xml:space="preserve">likely </w:t>
      </w:r>
      <w:r w:rsidR="00DB6E47">
        <w:rPr>
          <w:rFonts w:ascii="Times New Roman" w:eastAsia="Cambria" w:hAnsi="Times New Roman" w:cs="Times New Roman"/>
          <w:lang w:val="en-CA"/>
        </w:rPr>
        <w:t xml:space="preserve">emerge as a stable policy choice, </w:t>
      </w:r>
      <w:r w:rsidR="00844113">
        <w:rPr>
          <w:rFonts w:ascii="Times New Roman" w:eastAsia="Cambria" w:hAnsi="Times New Roman" w:cs="Times New Roman"/>
          <w:lang w:val="en-CA"/>
        </w:rPr>
        <w:t xml:space="preserve">and (ii) </w:t>
      </w:r>
      <w:r w:rsidR="00DB6E47">
        <w:rPr>
          <w:rFonts w:ascii="Times New Roman" w:eastAsia="Cambria" w:hAnsi="Times New Roman" w:cs="Times New Roman"/>
          <w:lang w:val="en-CA"/>
        </w:rPr>
        <w:t xml:space="preserve">the scope </w:t>
      </w:r>
      <w:r w:rsidR="00647546">
        <w:rPr>
          <w:rFonts w:ascii="Times New Roman" w:eastAsia="Cambria" w:hAnsi="Times New Roman" w:cs="Times New Roman"/>
          <w:lang w:val="en-CA"/>
        </w:rPr>
        <w:t>of the chosen program</w:t>
      </w:r>
      <w:r w:rsidR="003858D6">
        <w:rPr>
          <w:rFonts w:ascii="Times New Roman" w:eastAsia="Cambria" w:hAnsi="Times New Roman" w:cs="Times New Roman"/>
          <w:lang w:val="en-CA"/>
        </w:rPr>
        <w:t xml:space="preserve"> or its level of care</w:t>
      </w:r>
      <w:r w:rsidR="00647546">
        <w:rPr>
          <w:rFonts w:ascii="Times New Roman" w:eastAsia="Cambria" w:hAnsi="Times New Roman" w:cs="Times New Roman"/>
          <w:lang w:val="en-CA"/>
        </w:rPr>
        <w:t xml:space="preserve"> </w:t>
      </w:r>
      <w:r w:rsidR="003858D6">
        <w:rPr>
          <w:rFonts w:ascii="Times New Roman" w:eastAsia="Cambria" w:hAnsi="Times New Roman" w:cs="Times New Roman"/>
          <w:lang w:val="en-CA"/>
        </w:rPr>
        <w:t>will</w:t>
      </w:r>
      <w:r w:rsidR="00844113">
        <w:rPr>
          <w:rFonts w:ascii="Times New Roman" w:eastAsia="Cambria" w:hAnsi="Times New Roman" w:cs="Times New Roman"/>
          <w:lang w:val="en-CA"/>
        </w:rPr>
        <w:t xml:space="preserve"> meet the preference of a median voter whose income will be close to (</w:t>
      </w:r>
      <w:r w:rsidR="00F55C58">
        <w:rPr>
          <w:rFonts w:ascii="Times New Roman" w:eastAsia="Cambria" w:hAnsi="Times New Roman" w:cs="Times New Roman"/>
          <w:lang w:val="en-CA"/>
        </w:rPr>
        <w:t xml:space="preserve">in the case of progressive taxes) </w:t>
      </w:r>
      <w:r w:rsidR="00844113">
        <w:rPr>
          <w:rFonts w:ascii="Times New Roman" w:eastAsia="Cambria" w:hAnsi="Times New Roman" w:cs="Times New Roman"/>
          <w:lang w:val="en-CA"/>
        </w:rPr>
        <w:t xml:space="preserve">or below </w:t>
      </w:r>
      <w:r w:rsidR="00F55C58">
        <w:rPr>
          <w:rFonts w:ascii="Times New Roman" w:eastAsia="Cambria" w:hAnsi="Times New Roman" w:cs="Times New Roman"/>
          <w:lang w:val="en-CA"/>
        </w:rPr>
        <w:t>(</w:t>
      </w:r>
      <w:r w:rsidR="00844113">
        <w:rPr>
          <w:rFonts w:ascii="Times New Roman" w:eastAsia="Cambria" w:hAnsi="Times New Roman" w:cs="Times New Roman"/>
          <w:lang w:val="en-CA"/>
        </w:rPr>
        <w:t>in the case of linear taxes) the median income</w:t>
      </w:r>
      <w:r w:rsidR="00271D0B">
        <w:rPr>
          <w:rFonts w:ascii="Times New Roman" w:eastAsia="Cambria" w:hAnsi="Times New Roman" w:cs="Times New Roman"/>
          <w:lang w:val="en-CA"/>
        </w:rPr>
        <w:t>. A common thread in the</w:t>
      </w:r>
      <w:r w:rsidR="00647546">
        <w:rPr>
          <w:rFonts w:ascii="Times New Roman" w:eastAsia="Cambria" w:hAnsi="Times New Roman" w:cs="Times New Roman"/>
          <w:lang w:val="en-CA"/>
        </w:rPr>
        <w:t>se</w:t>
      </w:r>
      <w:r w:rsidR="00271D0B">
        <w:rPr>
          <w:rFonts w:ascii="Times New Roman" w:eastAsia="Cambria" w:hAnsi="Times New Roman" w:cs="Times New Roman"/>
          <w:lang w:val="en-CA"/>
        </w:rPr>
        <w:t xml:space="preserve"> models </w:t>
      </w:r>
      <w:r w:rsidR="00647546">
        <w:rPr>
          <w:rFonts w:ascii="Times New Roman" w:eastAsia="Cambria" w:hAnsi="Times New Roman" w:cs="Times New Roman"/>
          <w:lang w:val="en-CA"/>
        </w:rPr>
        <w:t>is</w:t>
      </w:r>
      <w:r w:rsidR="00271D0B">
        <w:rPr>
          <w:rFonts w:ascii="Times New Roman" w:eastAsia="Cambria" w:hAnsi="Times New Roman" w:cs="Times New Roman"/>
          <w:lang w:val="en-CA"/>
        </w:rPr>
        <w:t xml:space="preserve"> that </w:t>
      </w:r>
      <w:r w:rsidR="004D38EA">
        <w:rPr>
          <w:rFonts w:ascii="Times New Roman" w:eastAsia="Cambria" w:hAnsi="Times New Roman" w:cs="Times New Roman"/>
          <w:lang w:val="en-CA"/>
        </w:rPr>
        <w:t>if health care is a normal (or superior/luxury)</w:t>
      </w:r>
      <w:r w:rsidR="00440CBB">
        <w:rPr>
          <w:rFonts w:ascii="Times New Roman" w:eastAsia="Cambria" w:hAnsi="Times New Roman" w:cs="Times New Roman"/>
          <w:lang w:val="en-CA"/>
        </w:rPr>
        <w:t xml:space="preserve"> good</w:t>
      </w:r>
      <w:r w:rsidR="004D38EA">
        <w:rPr>
          <w:rFonts w:ascii="Times New Roman" w:eastAsia="Cambria" w:hAnsi="Times New Roman" w:cs="Times New Roman"/>
          <w:lang w:val="en-CA"/>
        </w:rPr>
        <w:t xml:space="preserve">, </w:t>
      </w:r>
      <w:r w:rsidR="00271D0B">
        <w:rPr>
          <w:rFonts w:ascii="Times New Roman" w:eastAsia="Cambria" w:hAnsi="Times New Roman" w:cs="Times New Roman"/>
          <w:lang w:val="en-CA"/>
        </w:rPr>
        <w:t xml:space="preserve">the preferences of top income earners will </w:t>
      </w:r>
      <w:r w:rsidR="00F36271">
        <w:rPr>
          <w:rFonts w:ascii="Times New Roman" w:eastAsia="Cambria" w:hAnsi="Times New Roman" w:cs="Times New Roman"/>
          <w:lang w:val="en-CA"/>
        </w:rPr>
        <w:t>exceed</w:t>
      </w:r>
      <w:r w:rsidR="00271D0B">
        <w:rPr>
          <w:rFonts w:ascii="Times New Roman" w:eastAsia="Cambria" w:hAnsi="Times New Roman" w:cs="Times New Roman"/>
          <w:lang w:val="en-CA"/>
        </w:rPr>
        <w:t xml:space="preserve"> the </w:t>
      </w:r>
      <w:r w:rsidR="00F36271">
        <w:rPr>
          <w:rFonts w:ascii="Times New Roman" w:eastAsia="Cambria" w:hAnsi="Times New Roman" w:cs="Times New Roman"/>
          <w:lang w:val="en-CA"/>
        </w:rPr>
        <w:t xml:space="preserve">level of publicly </w:t>
      </w:r>
      <w:r w:rsidR="004D38EA">
        <w:rPr>
          <w:rFonts w:ascii="Times New Roman" w:eastAsia="Cambria" w:hAnsi="Times New Roman" w:cs="Times New Roman"/>
          <w:lang w:val="en-CA"/>
        </w:rPr>
        <w:t xml:space="preserve">provided </w:t>
      </w:r>
      <w:r w:rsidR="00647546">
        <w:rPr>
          <w:rFonts w:ascii="Times New Roman" w:eastAsia="Cambria" w:hAnsi="Times New Roman" w:cs="Times New Roman"/>
          <w:lang w:val="en-CA"/>
        </w:rPr>
        <w:t xml:space="preserve">care </w:t>
      </w:r>
      <w:r w:rsidR="00271D0B">
        <w:rPr>
          <w:rFonts w:ascii="Times New Roman" w:eastAsia="Cambria" w:hAnsi="Times New Roman" w:cs="Times New Roman"/>
          <w:lang w:val="en-CA"/>
        </w:rPr>
        <w:t>and this, even if the equilibrium reached is stable</w:t>
      </w:r>
      <w:r w:rsidR="00D4366F">
        <w:rPr>
          <w:rFonts w:ascii="Times New Roman" w:eastAsia="Cambria" w:hAnsi="Times New Roman" w:cs="Times New Roman"/>
          <w:lang w:val="en-CA"/>
        </w:rPr>
        <w:t>.</w:t>
      </w:r>
    </w:p>
    <w:p w14:paraId="3EAF78E1" w14:textId="77777777" w:rsidR="003858D6" w:rsidRDefault="003858D6" w:rsidP="00271D0B">
      <w:pPr>
        <w:jc w:val="both"/>
        <w:rPr>
          <w:rFonts w:ascii="Times New Roman" w:eastAsia="Cambria" w:hAnsi="Times New Roman" w:cs="Times New Roman"/>
          <w:lang w:val="en-CA"/>
        </w:rPr>
      </w:pPr>
    </w:p>
    <w:p w14:paraId="6CBD2454" w14:textId="77777777" w:rsidR="00271D0B" w:rsidRDefault="00271D0B" w:rsidP="00271D0B">
      <w:pPr>
        <w:jc w:val="both"/>
        <w:rPr>
          <w:rFonts w:ascii="Times New Roman" w:eastAsia="Cambria" w:hAnsi="Times New Roman" w:cs="Times New Roman"/>
          <w:lang w:val="en-CA"/>
        </w:rPr>
      </w:pPr>
      <w:r>
        <w:rPr>
          <w:rFonts w:ascii="Times New Roman" w:eastAsia="Cambria" w:hAnsi="Times New Roman" w:cs="Times New Roman"/>
          <w:lang w:val="en-CA"/>
        </w:rPr>
        <w:t>While substantive attention has been given to understand the impact of changes in the income distribution on populations’ choices of tax rates and levels of publicly funded services</w:t>
      </w:r>
      <w:r>
        <w:rPr>
          <w:rStyle w:val="FootnoteReference"/>
          <w:rFonts w:ascii="Times New Roman" w:eastAsia="Cambria" w:hAnsi="Times New Roman" w:cs="Times New Roman"/>
          <w:lang w:val="en-CA"/>
        </w:rPr>
        <w:footnoteReference w:id="4"/>
      </w:r>
      <w:r>
        <w:rPr>
          <w:rFonts w:ascii="Times New Roman" w:eastAsia="Cambria" w:hAnsi="Times New Roman" w:cs="Times New Roman"/>
          <w:lang w:val="en-CA"/>
        </w:rPr>
        <w:t>, our aim in this paper is different. We do not seek to</w:t>
      </w:r>
      <w:r w:rsidR="003858D6">
        <w:rPr>
          <w:rFonts w:ascii="Times New Roman" w:eastAsia="Cambria" w:hAnsi="Times New Roman" w:cs="Times New Roman"/>
          <w:lang w:val="en-CA"/>
        </w:rPr>
        <w:t xml:space="preserve"> test</w:t>
      </w:r>
      <w:r>
        <w:rPr>
          <w:rFonts w:ascii="Times New Roman" w:eastAsia="Cambria" w:hAnsi="Times New Roman" w:cs="Times New Roman"/>
          <w:lang w:val="en-CA"/>
        </w:rPr>
        <w:t xml:space="preserve"> how top income earners choose their preferred tax rates or their preferred level of publicly provided health care, but rather </w:t>
      </w:r>
      <w:r w:rsidR="00A551E4">
        <w:rPr>
          <w:rFonts w:ascii="Times New Roman" w:eastAsia="Cambria" w:hAnsi="Times New Roman" w:cs="Times New Roman"/>
          <w:lang w:val="en-CA"/>
        </w:rPr>
        <w:t xml:space="preserve">whether and </w:t>
      </w:r>
      <w:r>
        <w:rPr>
          <w:rFonts w:ascii="Times New Roman" w:eastAsia="Cambria" w:hAnsi="Times New Roman" w:cs="Times New Roman"/>
          <w:lang w:val="en-CA"/>
        </w:rPr>
        <w:t xml:space="preserve">how they respond </w:t>
      </w:r>
      <w:r w:rsidR="00A551E4">
        <w:rPr>
          <w:rFonts w:ascii="Times New Roman" w:eastAsia="Cambria" w:hAnsi="Times New Roman" w:cs="Times New Roman"/>
          <w:lang w:val="en-CA"/>
        </w:rPr>
        <w:t xml:space="preserve">through the use of </w:t>
      </w:r>
      <w:r>
        <w:rPr>
          <w:rFonts w:ascii="Times New Roman" w:eastAsia="Cambria" w:hAnsi="Times New Roman" w:cs="Times New Roman"/>
          <w:lang w:val="en-CA"/>
        </w:rPr>
        <w:t xml:space="preserve">privately financed care when the </w:t>
      </w:r>
      <w:r w:rsidR="003858D6">
        <w:rPr>
          <w:rFonts w:ascii="Times New Roman" w:eastAsia="Cambria" w:hAnsi="Times New Roman" w:cs="Times New Roman"/>
          <w:lang w:val="en-CA"/>
        </w:rPr>
        <w:t>public health care system</w:t>
      </w:r>
      <w:r>
        <w:rPr>
          <w:rFonts w:ascii="Times New Roman" w:eastAsia="Cambria" w:hAnsi="Times New Roman" w:cs="Times New Roman"/>
          <w:lang w:val="en-CA"/>
        </w:rPr>
        <w:t xml:space="preserve"> moves further away from their own preferences. </w:t>
      </w:r>
    </w:p>
    <w:p w14:paraId="2F27AD7E" w14:textId="77777777" w:rsidR="00112F92" w:rsidRPr="00C22A89" w:rsidRDefault="00112F92" w:rsidP="00C85383">
      <w:pPr>
        <w:jc w:val="both"/>
        <w:rPr>
          <w:rFonts w:ascii="Times New Roman" w:eastAsia="Cambria" w:hAnsi="Times New Roman" w:cs="Times New Roman"/>
        </w:rPr>
      </w:pPr>
    </w:p>
    <w:p w14:paraId="203781BC" w14:textId="77777777" w:rsidR="00D50FA4" w:rsidRPr="00EC17F3" w:rsidRDefault="00A10AC0" w:rsidP="00CC5CC1">
      <w:pPr>
        <w:jc w:val="both"/>
        <w:outlineLvl w:val="0"/>
        <w:rPr>
          <w:rFonts w:ascii="Times New Roman" w:eastAsia="Cambria" w:hAnsi="Times New Roman" w:cs="Times New Roman"/>
          <w:b/>
        </w:rPr>
      </w:pPr>
      <w:r w:rsidRPr="00C22A89">
        <w:rPr>
          <w:rFonts w:ascii="Times New Roman" w:eastAsia="Cambria" w:hAnsi="Times New Roman" w:cs="Times New Roman"/>
          <w:b/>
          <w:lang w:val="en-CA"/>
        </w:rPr>
        <w:t xml:space="preserve">3. </w:t>
      </w:r>
      <w:r w:rsidR="00D50FA4">
        <w:rPr>
          <w:rFonts w:ascii="Times New Roman" w:eastAsia="Cambria" w:hAnsi="Times New Roman" w:cs="Times New Roman"/>
          <w:b/>
        </w:rPr>
        <w:t>Country</w:t>
      </w:r>
      <w:r w:rsidR="006334E5">
        <w:rPr>
          <w:rFonts w:ascii="Times New Roman" w:eastAsia="Cambria" w:hAnsi="Times New Roman" w:cs="Times New Roman"/>
          <w:b/>
        </w:rPr>
        <w:t>-level</w:t>
      </w:r>
      <w:r w:rsidR="00D50FA4">
        <w:rPr>
          <w:rFonts w:ascii="Times New Roman" w:eastAsia="Cambria" w:hAnsi="Times New Roman" w:cs="Times New Roman"/>
          <w:b/>
        </w:rPr>
        <w:t xml:space="preserve"> analysis</w:t>
      </w:r>
    </w:p>
    <w:p w14:paraId="0C78BD4D" w14:textId="77777777" w:rsidR="00D50FA4" w:rsidRDefault="00D50FA4" w:rsidP="00D50FA4">
      <w:pPr>
        <w:jc w:val="both"/>
        <w:rPr>
          <w:rFonts w:ascii="Times New Roman" w:eastAsia="Cambria" w:hAnsi="Times New Roman" w:cs="Times New Roman"/>
          <w:b/>
        </w:rPr>
      </w:pPr>
    </w:p>
    <w:p w14:paraId="0F02E8B3" w14:textId="58C63599" w:rsidR="00AC6BCE" w:rsidRDefault="00EE687F" w:rsidP="000F4B13">
      <w:pPr>
        <w:jc w:val="both"/>
        <w:rPr>
          <w:rFonts w:ascii="Times New Roman" w:eastAsia="Cambria" w:hAnsi="Times New Roman" w:cs="Times New Roman"/>
        </w:rPr>
      </w:pPr>
      <w:r>
        <w:rPr>
          <w:rFonts w:ascii="Times New Roman" w:eastAsia="Cambria" w:hAnsi="Times New Roman" w:cs="Times New Roman"/>
        </w:rPr>
        <w:t xml:space="preserve">We first </w:t>
      </w:r>
      <w:r w:rsidR="00CB0D8F">
        <w:rPr>
          <w:rFonts w:ascii="Times New Roman" w:eastAsia="Cambria" w:hAnsi="Times New Roman" w:cs="Times New Roman"/>
        </w:rPr>
        <w:t>empirically</w:t>
      </w:r>
      <w:r>
        <w:rPr>
          <w:rFonts w:ascii="Times New Roman" w:eastAsia="Cambria" w:hAnsi="Times New Roman" w:cs="Times New Roman"/>
        </w:rPr>
        <w:t xml:space="preserve"> investigate the potential relationship within countries over time between income concentration at the top of the distribution and changes in the </w:t>
      </w:r>
      <w:r w:rsidR="00982E3F">
        <w:rPr>
          <w:rFonts w:ascii="Times New Roman" w:eastAsia="Cambria" w:hAnsi="Times New Roman" w:cs="Times New Roman"/>
        </w:rPr>
        <w:t>role of</w:t>
      </w:r>
      <w:r>
        <w:rPr>
          <w:rFonts w:ascii="Times New Roman" w:eastAsia="Cambria" w:hAnsi="Times New Roman" w:cs="Times New Roman"/>
        </w:rPr>
        <w:t xml:space="preserve"> private finance in health expenditures and health insurance. To do so, we </w:t>
      </w:r>
      <w:r w:rsidR="00AC6BCE" w:rsidRPr="00EC17F3">
        <w:rPr>
          <w:rFonts w:ascii="Times New Roman" w:eastAsia="Cambria" w:hAnsi="Times New Roman" w:cs="Times New Roman"/>
        </w:rPr>
        <w:t>focu</w:t>
      </w:r>
      <w:r w:rsidR="00AC6BCE">
        <w:rPr>
          <w:rFonts w:ascii="Times New Roman" w:eastAsia="Cambria" w:hAnsi="Times New Roman" w:cs="Times New Roman"/>
        </w:rPr>
        <w:t>s</w:t>
      </w:r>
      <w:r w:rsidR="000F4B13">
        <w:rPr>
          <w:rFonts w:ascii="Times New Roman" w:eastAsia="Cambria" w:hAnsi="Times New Roman" w:cs="Times New Roman"/>
        </w:rPr>
        <w:t xml:space="preserve"> on a group of OECD countries</w:t>
      </w:r>
      <w:r>
        <w:rPr>
          <w:rFonts w:ascii="Times New Roman" w:eastAsia="Cambria" w:hAnsi="Times New Roman" w:cs="Times New Roman"/>
        </w:rPr>
        <w:t xml:space="preserve"> which we</w:t>
      </w:r>
      <w:r w:rsidR="000F4B13">
        <w:rPr>
          <w:rFonts w:ascii="Times New Roman" w:eastAsia="Cambria" w:hAnsi="Times New Roman" w:cs="Times New Roman"/>
        </w:rPr>
        <w:t xml:space="preserve"> </w:t>
      </w:r>
      <w:r>
        <w:rPr>
          <w:rFonts w:ascii="Times New Roman" w:eastAsia="Cambria" w:hAnsi="Times New Roman" w:cs="Times New Roman"/>
        </w:rPr>
        <w:t xml:space="preserve">observe </w:t>
      </w:r>
      <w:r w:rsidR="000F4B13">
        <w:rPr>
          <w:rFonts w:ascii="Times New Roman" w:eastAsia="Cambria" w:hAnsi="Times New Roman" w:cs="Times New Roman"/>
        </w:rPr>
        <w:t>between</w:t>
      </w:r>
      <w:r w:rsidR="00AC6BCE">
        <w:rPr>
          <w:rFonts w:ascii="Times New Roman" w:eastAsia="Cambria" w:hAnsi="Times New Roman" w:cs="Times New Roman"/>
        </w:rPr>
        <w:t xml:space="preserve"> </w:t>
      </w:r>
      <w:r w:rsidR="00AC6BCE" w:rsidRPr="00EC17F3">
        <w:rPr>
          <w:rFonts w:ascii="Times New Roman" w:eastAsia="Cambria" w:hAnsi="Times New Roman" w:cs="Times New Roman"/>
        </w:rPr>
        <w:t xml:space="preserve">1980 to 2015, </w:t>
      </w:r>
      <w:r w:rsidR="000F4B13">
        <w:rPr>
          <w:rFonts w:ascii="Times New Roman" w:eastAsia="Cambria" w:hAnsi="Times New Roman" w:cs="Times New Roman"/>
        </w:rPr>
        <w:t xml:space="preserve">a period over which the degree of inequality has varied substantially in many developed countries. </w:t>
      </w:r>
      <w:r w:rsidR="00AC6BCE">
        <w:rPr>
          <w:rFonts w:ascii="Times New Roman" w:eastAsia="Cambria" w:hAnsi="Times New Roman" w:cs="Times New Roman"/>
        </w:rPr>
        <w:t xml:space="preserve">While such an analysis </w:t>
      </w:r>
      <w:r w:rsidR="0044438A">
        <w:rPr>
          <w:rFonts w:ascii="Times New Roman" w:eastAsia="Cambria" w:hAnsi="Times New Roman" w:cs="Times New Roman"/>
        </w:rPr>
        <w:t xml:space="preserve">does not </w:t>
      </w:r>
      <w:r>
        <w:rPr>
          <w:rFonts w:ascii="Times New Roman" w:eastAsia="Cambria" w:hAnsi="Times New Roman" w:cs="Times New Roman"/>
        </w:rPr>
        <w:t xml:space="preserve">allow for an in-depth investigation of the impact of growing </w:t>
      </w:r>
      <w:r w:rsidR="00E70A7D">
        <w:rPr>
          <w:rFonts w:ascii="Times New Roman" w:eastAsia="Cambria" w:hAnsi="Times New Roman" w:cs="Times New Roman"/>
        </w:rPr>
        <w:t>income concentration on households’</w:t>
      </w:r>
      <w:r>
        <w:rPr>
          <w:rFonts w:ascii="Times New Roman" w:eastAsia="Cambria" w:hAnsi="Times New Roman" w:cs="Times New Roman"/>
        </w:rPr>
        <w:t xml:space="preserve"> demand </w:t>
      </w:r>
      <w:r w:rsidR="00E70A7D">
        <w:rPr>
          <w:rFonts w:ascii="Times New Roman" w:eastAsia="Cambria" w:hAnsi="Times New Roman" w:cs="Times New Roman"/>
        </w:rPr>
        <w:t>for health care and</w:t>
      </w:r>
      <w:r w:rsidR="00AC6BCE">
        <w:rPr>
          <w:rFonts w:ascii="Times New Roman" w:eastAsia="Cambria" w:hAnsi="Times New Roman" w:cs="Times New Roman"/>
        </w:rPr>
        <w:t xml:space="preserve"> private health insurance</w:t>
      </w:r>
      <w:r w:rsidR="00367CD7">
        <w:rPr>
          <w:rFonts w:ascii="Times New Roman" w:eastAsia="Cambria" w:hAnsi="Times New Roman" w:cs="Times New Roman"/>
        </w:rPr>
        <w:t>,</w:t>
      </w:r>
      <w:r>
        <w:rPr>
          <w:rFonts w:ascii="Times New Roman" w:eastAsia="Cambria" w:hAnsi="Times New Roman" w:cs="Times New Roman"/>
        </w:rPr>
        <w:t xml:space="preserve"> </w:t>
      </w:r>
      <w:r w:rsidR="0003265F">
        <w:rPr>
          <w:rFonts w:ascii="Times New Roman" w:eastAsia="Cambria" w:hAnsi="Times New Roman" w:cs="Times New Roman"/>
        </w:rPr>
        <w:t xml:space="preserve">it provides an </w:t>
      </w:r>
      <w:r w:rsidR="009A2163">
        <w:rPr>
          <w:rFonts w:ascii="Times New Roman" w:eastAsia="Cambria" w:hAnsi="Times New Roman" w:cs="Times New Roman"/>
        </w:rPr>
        <w:t xml:space="preserve">opportunity </w:t>
      </w:r>
      <w:r w:rsidR="0003265F">
        <w:rPr>
          <w:rFonts w:ascii="Times New Roman" w:eastAsia="Cambria" w:hAnsi="Times New Roman" w:cs="Times New Roman"/>
        </w:rPr>
        <w:t>to uncover</w:t>
      </w:r>
      <w:r w:rsidR="00CB0D8F">
        <w:rPr>
          <w:rFonts w:ascii="Times New Roman" w:eastAsia="Cambria" w:hAnsi="Times New Roman" w:cs="Times New Roman"/>
        </w:rPr>
        <w:t xml:space="preserve"> broader patterns</w:t>
      </w:r>
      <w:r w:rsidR="00142BE3">
        <w:rPr>
          <w:rFonts w:ascii="Times New Roman" w:eastAsia="Cambria" w:hAnsi="Times New Roman" w:cs="Times New Roman"/>
        </w:rPr>
        <w:t>,</w:t>
      </w:r>
      <w:r w:rsidR="00CB0D8F">
        <w:rPr>
          <w:rFonts w:ascii="Times New Roman" w:eastAsia="Cambria" w:hAnsi="Times New Roman" w:cs="Times New Roman"/>
        </w:rPr>
        <w:t xml:space="preserve"> which </w:t>
      </w:r>
      <w:r w:rsidR="0003265F">
        <w:rPr>
          <w:rFonts w:ascii="Times New Roman" w:eastAsia="Cambria" w:hAnsi="Times New Roman" w:cs="Times New Roman"/>
        </w:rPr>
        <w:t>we further unpack</w:t>
      </w:r>
      <w:r w:rsidR="008D1DB8">
        <w:rPr>
          <w:rFonts w:ascii="Times New Roman" w:eastAsia="Cambria" w:hAnsi="Times New Roman" w:cs="Times New Roman"/>
        </w:rPr>
        <w:t xml:space="preserve"> </w:t>
      </w:r>
      <w:r w:rsidR="003D6204">
        <w:rPr>
          <w:rFonts w:ascii="Times New Roman" w:eastAsia="Cambria" w:hAnsi="Times New Roman" w:cs="Times New Roman"/>
        </w:rPr>
        <w:t>by looking at individual spending data</w:t>
      </w:r>
      <w:r w:rsidR="008D1DB8">
        <w:rPr>
          <w:rFonts w:ascii="Times New Roman" w:eastAsia="Cambria" w:hAnsi="Times New Roman" w:cs="Times New Roman"/>
        </w:rPr>
        <w:t xml:space="preserve"> in section 4. </w:t>
      </w:r>
    </w:p>
    <w:p w14:paraId="7DA5D791" w14:textId="77777777" w:rsidR="00CB41E5" w:rsidRPr="00EC17F3" w:rsidRDefault="00CB41E5" w:rsidP="00D50FA4">
      <w:pPr>
        <w:jc w:val="both"/>
        <w:rPr>
          <w:rFonts w:ascii="Times New Roman" w:eastAsia="Cambria" w:hAnsi="Times New Roman" w:cs="Times New Roman"/>
          <w:b/>
        </w:rPr>
      </w:pPr>
    </w:p>
    <w:p w14:paraId="5E4BCCE3" w14:textId="77777777" w:rsidR="00D50FA4" w:rsidRPr="00EC17F3" w:rsidRDefault="00E41A1B" w:rsidP="00CC5CC1">
      <w:pPr>
        <w:jc w:val="both"/>
        <w:outlineLvl w:val="0"/>
        <w:rPr>
          <w:rFonts w:ascii="Times New Roman" w:eastAsia="Cambria" w:hAnsi="Times New Roman" w:cs="Times New Roman"/>
          <w:b/>
        </w:rPr>
      </w:pPr>
      <w:r>
        <w:rPr>
          <w:rFonts w:ascii="Times New Roman" w:eastAsia="Cambria" w:hAnsi="Times New Roman" w:cs="Times New Roman"/>
          <w:b/>
        </w:rPr>
        <w:t>3</w:t>
      </w:r>
      <w:r w:rsidR="00D50FA4" w:rsidRPr="00EC17F3">
        <w:rPr>
          <w:rFonts w:ascii="Times New Roman" w:eastAsia="Cambria" w:hAnsi="Times New Roman" w:cs="Times New Roman"/>
          <w:b/>
        </w:rPr>
        <w:t xml:space="preserve">.1 </w:t>
      </w:r>
      <w:r w:rsidR="00D50FA4">
        <w:rPr>
          <w:rFonts w:ascii="Times New Roman" w:eastAsia="Cambria" w:hAnsi="Times New Roman" w:cs="Times New Roman"/>
          <w:b/>
        </w:rPr>
        <w:t>Data</w:t>
      </w:r>
    </w:p>
    <w:p w14:paraId="1CFFFA02" w14:textId="77777777" w:rsidR="00D50FA4" w:rsidRPr="00EC17F3" w:rsidRDefault="00D50FA4" w:rsidP="00D50FA4">
      <w:pPr>
        <w:jc w:val="both"/>
        <w:rPr>
          <w:rFonts w:ascii="Times New Roman" w:eastAsia="Cambria" w:hAnsi="Times New Roman" w:cs="Times New Roman"/>
        </w:rPr>
      </w:pPr>
    </w:p>
    <w:p w14:paraId="2326D487" w14:textId="77777777" w:rsidR="00D50FA4" w:rsidRPr="00EC17F3" w:rsidRDefault="00D50FA4" w:rsidP="00D50FA4">
      <w:pPr>
        <w:jc w:val="both"/>
        <w:rPr>
          <w:rFonts w:ascii="Times New Roman" w:eastAsia="Cambria" w:hAnsi="Times New Roman" w:cs="Times New Roman"/>
        </w:rPr>
      </w:pPr>
      <w:r w:rsidRPr="00EC17F3">
        <w:rPr>
          <w:rFonts w:ascii="Times New Roman" w:eastAsia="Cambria" w:hAnsi="Times New Roman" w:cs="Times New Roman"/>
        </w:rPr>
        <w:t xml:space="preserve">We </w:t>
      </w:r>
      <w:r w:rsidR="00CB0D8F">
        <w:rPr>
          <w:rFonts w:ascii="Times New Roman" w:eastAsia="Cambria" w:hAnsi="Times New Roman" w:cs="Times New Roman"/>
        </w:rPr>
        <w:t>use</w:t>
      </w:r>
      <w:r w:rsidRPr="00EC17F3">
        <w:rPr>
          <w:rFonts w:ascii="Times New Roman" w:eastAsia="Cambria" w:hAnsi="Times New Roman" w:cs="Times New Roman"/>
        </w:rPr>
        <w:t xml:space="preserve"> country-level data from the Organization for Economic Co-operation and Development (OECD), the World Bank and the World Wealth and Income Database (WID). We restrict our analysis to a set of twenty countries for which some consistent and comparable data on income inequality and health care expenditure is available: Australia, Canada, Colombia, Denmark, Finland, France, Germany, Ireland, Italy, Japan, Korea, the Netherlands, New Zealand, Norway, Portugal, Spain, Sweden, Switzerland, the United Kingdom and the United States.</w:t>
      </w:r>
      <w:r w:rsidRPr="00EC17F3">
        <w:rPr>
          <w:rStyle w:val="FootnoteReference"/>
          <w:rFonts w:ascii="Times New Roman" w:eastAsia="Cambria" w:hAnsi="Times New Roman" w:cs="Times New Roman"/>
        </w:rPr>
        <w:footnoteReference w:id="5"/>
      </w:r>
      <w:r w:rsidR="00EF3350">
        <w:rPr>
          <w:rFonts w:ascii="Times New Roman" w:eastAsia="Cambria" w:hAnsi="Times New Roman" w:cs="Times New Roman"/>
        </w:rPr>
        <w:t xml:space="preserve"> </w:t>
      </w:r>
      <w:r w:rsidR="00CB0D8F">
        <w:rPr>
          <w:rFonts w:ascii="Times New Roman" w:eastAsia="Cambria" w:hAnsi="Times New Roman" w:cs="Times New Roman"/>
        </w:rPr>
        <w:t>These countries are</w:t>
      </w:r>
      <w:r w:rsidR="00367CD7">
        <w:rPr>
          <w:rFonts w:ascii="Times New Roman" w:eastAsia="Cambria" w:hAnsi="Times New Roman" w:cs="Times New Roman"/>
        </w:rPr>
        <w:t xml:space="preserve"> characterized by substantial heterogeneity in terms of health care systems, </w:t>
      </w:r>
      <w:r w:rsidR="00712325">
        <w:rPr>
          <w:rFonts w:ascii="Times New Roman" w:eastAsia="Cambria" w:hAnsi="Times New Roman" w:cs="Times New Roman"/>
        </w:rPr>
        <w:t xml:space="preserve">including in </w:t>
      </w:r>
      <w:r w:rsidR="00367CD7">
        <w:rPr>
          <w:rFonts w:ascii="Times New Roman" w:eastAsia="Cambria" w:hAnsi="Times New Roman" w:cs="Times New Roman"/>
        </w:rPr>
        <w:t>the structure of their private health insurance markets.</w:t>
      </w:r>
      <w:r w:rsidR="00A100A9">
        <w:rPr>
          <w:rFonts w:ascii="Times New Roman" w:eastAsia="Cambria" w:hAnsi="Times New Roman" w:cs="Times New Roman"/>
        </w:rPr>
        <w:t xml:space="preserve"> While such</w:t>
      </w:r>
      <w:r w:rsidR="00367CD7">
        <w:rPr>
          <w:rFonts w:ascii="Times New Roman" w:eastAsia="Cambria" w:hAnsi="Times New Roman" w:cs="Times New Roman"/>
        </w:rPr>
        <w:t xml:space="preserve"> difference</w:t>
      </w:r>
      <w:r w:rsidR="006051FB">
        <w:rPr>
          <w:rFonts w:ascii="Times New Roman" w:eastAsia="Cambria" w:hAnsi="Times New Roman" w:cs="Times New Roman"/>
        </w:rPr>
        <w:t>s</w:t>
      </w:r>
      <w:r w:rsidR="00367CD7">
        <w:rPr>
          <w:rFonts w:ascii="Times New Roman" w:eastAsia="Cambria" w:hAnsi="Times New Roman" w:cs="Times New Roman"/>
        </w:rPr>
        <w:t xml:space="preserve"> likely affect how </w:t>
      </w:r>
      <w:r w:rsidR="00DC436B">
        <w:rPr>
          <w:rFonts w:ascii="Times New Roman" w:eastAsia="Cambria" w:hAnsi="Times New Roman" w:cs="Times New Roman"/>
        </w:rPr>
        <w:t>changing inequality</w:t>
      </w:r>
      <w:r w:rsidR="006051FB">
        <w:rPr>
          <w:rFonts w:ascii="Times New Roman" w:eastAsia="Cambria" w:hAnsi="Times New Roman" w:cs="Times New Roman"/>
        </w:rPr>
        <w:t xml:space="preserve"> will </w:t>
      </w:r>
      <w:r w:rsidR="005B28A9">
        <w:rPr>
          <w:rFonts w:ascii="Times New Roman" w:eastAsia="Cambria" w:hAnsi="Times New Roman" w:cs="Times New Roman"/>
        </w:rPr>
        <w:t>influence private health spending</w:t>
      </w:r>
      <w:r w:rsidR="00DC436B">
        <w:rPr>
          <w:rFonts w:ascii="Times New Roman" w:eastAsia="Cambria" w:hAnsi="Times New Roman" w:cs="Times New Roman"/>
        </w:rPr>
        <w:t xml:space="preserve">, our main empirical analysis focuses on </w:t>
      </w:r>
      <w:r w:rsidR="005B28A9">
        <w:rPr>
          <w:rFonts w:ascii="Times New Roman" w:eastAsia="Cambria" w:hAnsi="Times New Roman" w:cs="Times New Roman"/>
        </w:rPr>
        <w:t>changes in income concentration</w:t>
      </w:r>
      <w:r w:rsidR="00DC436B">
        <w:rPr>
          <w:rFonts w:ascii="Times New Roman" w:eastAsia="Cambria" w:hAnsi="Times New Roman" w:cs="Times New Roman"/>
        </w:rPr>
        <w:t xml:space="preserve"> within countries over time. Nevertheless, </w:t>
      </w:r>
      <w:r w:rsidR="005B28A9">
        <w:rPr>
          <w:rFonts w:ascii="Times New Roman" w:eastAsia="Cambria" w:hAnsi="Times New Roman" w:cs="Times New Roman"/>
        </w:rPr>
        <w:t xml:space="preserve">we note that </w:t>
      </w:r>
      <w:r w:rsidR="00DC436B">
        <w:rPr>
          <w:rFonts w:ascii="Times New Roman" w:eastAsia="Cambria" w:hAnsi="Times New Roman" w:cs="Times New Roman"/>
        </w:rPr>
        <w:t xml:space="preserve">the </w:t>
      </w:r>
      <w:r w:rsidR="00DC436B">
        <w:rPr>
          <w:rFonts w:ascii="Times New Roman" w:eastAsia="Cambria" w:hAnsi="Times New Roman" w:cs="Times New Roman"/>
        </w:rPr>
        <w:lastRenderedPageBreak/>
        <w:t xml:space="preserve">patterns emerging from </w:t>
      </w:r>
      <w:r w:rsidR="005B28A9">
        <w:rPr>
          <w:rFonts w:ascii="Times New Roman" w:eastAsia="Cambria" w:hAnsi="Times New Roman" w:cs="Times New Roman"/>
        </w:rPr>
        <w:t>the analysis conducted in this section</w:t>
      </w:r>
      <w:r w:rsidR="00DC436B">
        <w:rPr>
          <w:rFonts w:ascii="Times New Roman" w:eastAsia="Cambria" w:hAnsi="Times New Roman" w:cs="Times New Roman"/>
        </w:rPr>
        <w:t xml:space="preserve"> represent an average estimated relationship across the systems represented in the sample.</w:t>
      </w:r>
      <w:r w:rsidR="00367CD7">
        <w:rPr>
          <w:rFonts w:ascii="Times New Roman" w:eastAsia="Cambria" w:hAnsi="Times New Roman" w:cs="Times New Roman"/>
        </w:rPr>
        <w:t xml:space="preserve"> </w:t>
      </w:r>
    </w:p>
    <w:p w14:paraId="23B4028E" w14:textId="77777777" w:rsidR="00D50FA4" w:rsidRPr="00EC17F3" w:rsidRDefault="00D50FA4" w:rsidP="00D50FA4">
      <w:pPr>
        <w:jc w:val="both"/>
        <w:rPr>
          <w:rFonts w:ascii="Times New Roman" w:eastAsia="Cambria" w:hAnsi="Times New Roman" w:cs="Times New Roman"/>
        </w:rPr>
      </w:pPr>
    </w:p>
    <w:p w14:paraId="4BD2CE50" w14:textId="77777777" w:rsidR="00D50FA4" w:rsidRPr="00EC17F3" w:rsidRDefault="00E41A1B" w:rsidP="00CC5CC1">
      <w:pPr>
        <w:jc w:val="both"/>
        <w:outlineLvl w:val="0"/>
        <w:rPr>
          <w:rFonts w:ascii="Times New Roman" w:eastAsia="Cambria" w:hAnsi="Times New Roman" w:cs="Times New Roman"/>
        </w:rPr>
      </w:pPr>
      <w:r>
        <w:rPr>
          <w:rFonts w:ascii="Times New Roman" w:eastAsia="Cambria" w:hAnsi="Times New Roman" w:cs="Times New Roman"/>
        </w:rPr>
        <w:t>3</w:t>
      </w:r>
      <w:r w:rsidR="00D50FA4" w:rsidRPr="00EC17F3">
        <w:rPr>
          <w:rFonts w:ascii="Times New Roman" w:eastAsia="Cambria" w:hAnsi="Times New Roman" w:cs="Times New Roman"/>
        </w:rPr>
        <w:t xml:space="preserve">.1.1 Inequality measures </w:t>
      </w:r>
    </w:p>
    <w:p w14:paraId="7141ACE6" w14:textId="77777777" w:rsidR="00D50FA4" w:rsidRPr="00EC17F3" w:rsidRDefault="00D50FA4" w:rsidP="00D50FA4">
      <w:pPr>
        <w:jc w:val="both"/>
        <w:rPr>
          <w:rFonts w:ascii="Times New Roman" w:eastAsia="Cambria" w:hAnsi="Times New Roman" w:cs="Times New Roman"/>
        </w:rPr>
      </w:pPr>
    </w:p>
    <w:p w14:paraId="7F92EB96" w14:textId="77777777" w:rsidR="00FA0A42" w:rsidRPr="00EC17F3" w:rsidRDefault="00A100A9" w:rsidP="00FA0A42">
      <w:pPr>
        <w:jc w:val="both"/>
        <w:rPr>
          <w:rFonts w:ascii="Times New Roman" w:eastAsia="Cambria" w:hAnsi="Times New Roman" w:cs="Times New Roman"/>
        </w:rPr>
      </w:pPr>
      <w:r>
        <w:rPr>
          <w:rFonts w:ascii="Times New Roman" w:eastAsia="Cambria" w:hAnsi="Times New Roman" w:cs="Times New Roman"/>
        </w:rPr>
        <w:t>O</w:t>
      </w:r>
      <w:r w:rsidR="00D50FA4" w:rsidRPr="00EC17F3">
        <w:rPr>
          <w:rFonts w:ascii="Times New Roman" w:eastAsia="Cambria" w:hAnsi="Times New Roman" w:cs="Times New Roman"/>
        </w:rPr>
        <w:t>ur main measure</w:t>
      </w:r>
      <w:r>
        <w:rPr>
          <w:rFonts w:ascii="Times New Roman" w:eastAsia="Cambria" w:hAnsi="Times New Roman" w:cs="Times New Roman"/>
        </w:rPr>
        <w:t xml:space="preserve"> of inequality</w:t>
      </w:r>
      <w:r w:rsidR="00EB3022">
        <w:rPr>
          <w:rFonts w:ascii="Times New Roman" w:eastAsia="Cambria" w:hAnsi="Times New Roman" w:cs="Times New Roman"/>
        </w:rPr>
        <w:t xml:space="preserve"> is </w:t>
      </w:r>
      <w:r w:rsidR="00D50FA4" w:rsidRPr="00EC17F3">
        <w:rPr>
          <w:rFonts w:ascii="Times New Roman" w:eastAsia="Cambria" w:hAnsi="Times New Roman" w:cs="Times New Roman"/>
        </w:rPr>
        <w:t xml:space="preserve">the annual income share going to the top 1% income earners in each country from the World Wealth and Income </w:t>
      </w:r>
      <w:r w:rsidR="00FF0415">
        <w:rPr>
          <w:rFonts w:ascii="Times New Roman" w:eastAsia="Cambria" w:hAnsi="Times New Roman" w:cs="Times New Roman"/>
        </w:rPr>
        <w:t>D</w:t>
      </w:r>
      <w:r w:rsidR="00D50FA4" w:rsidRPr="00EC17F3">
        <w:rPr>
          <w:rFonts w:ascii="Times New Roman" w:eastAsia="Cambria" w:hAnsi="Times New Roman" w:cs="Times New Roman"/>
        </w:rPr>
        <w:t xml:space="preserve">atabase. </w:t>
      </w:r>
      <w:r w:rsidR="00EB3022">
        <w:rPr>
          <w:rFonts w:ascii="Times New Roman" w:eastAsia="Cambria" w:hAnsi="Times New Roman" w:cs="Times New Roman"/>
        </w:rPr>
        <w:t>T</w:t>
      </w:r>
      <w:r w:rsidR="00D50FA4" w:rsidRPr="00EC17F3">
        <w:rPr>
          <w:rFonts w:ascii="Times New Roman" w:eastAsia="Cambria" w:hAnsi="Times New Roman" w:cs="Times New Roman"/>
        </w:rPr>
        <w:t>his measure has been at the forefront of the public debate on rising inequality in recent years, as it provides information on inequality at the t</w:t>
      </w:r>
      <w:r w:rsidR="00F92F95">
        <w:rPr>
          <w:rFonts w:ascii="Times New Roman" w:eastAsia="Cambria" w:hAnsi="Times New Roman" w:cs="Times New Roman"/>
        </w:rPr>
        <w:t>op of the income distribution</w:t>
      </w:r>
      <w:r w:rsidR="00CC7C3E">
        <w:rPr>
          <w:rFonts w:ascii="Times New Roman" w:eastAsia="Cambria" w:hAnsi="Times New Roman" w:cs="Times New Roman"/>
        </w:rPr>
        <w:t>.</w:t>
      </w:r>
      <w:r w:rsidR="00F92F95">
        <w:rPr>
          <w:rFonts w:ascii="Times New Roman" w:eastAsia="Cambria" w:hAnsi="Times New Roman" w:cs="Times New Roman"/>
        </w:rPr>
        <w:t xml:space="preserve"> This is a</w:t>
      </w:r>
      <w:r w:rsidR="00D50FA4" w:rsidRPr="00EC17F3">
        <w:rPr>
          <w:rFonts w:ascii="Times New Roman" w:eastAsia="Cambria" w:hAnsi="Times New Roman" w:cs="Times New Roman"/>
        </w:rPr>
        <w:t xml:space="preserve"> force we </w:t>
      </w:r>
      <w:r w:rsidR="00A46F5C">
        <w:rPr>
          <w:rFonts w:ascii="Times New Roman" w:eastAsia="Cambria" w:hAnsi="Times New Roman" w:cs="Times New Roman"/>
        </w:rPr>
        <w:t>hypothesize</w:t>
      </w:r>
      <w:r w:rsidR="00D50FA4" w:rsidRPr="00EC17F3">
        <w:rPr>
          <w:rFonts w:ascii="Times New Roman" w:eastAsia="Cambria" w:hAnsi="Times New Roman" w:cs="Times New Roman"/>
        </w:rPr>
        <w:t xml:space="preserve"> is driving pressures to increase access to privately financed health care.</w:t>
      </w:r>
      <w:r w:rsidR="00FA0A42">
        <w:rPr>
          <w:rStyle w:val="FootnoteReference"/>
          <w:rFonts w:ascii="Times New Roman" w:eastAsia="Cambria" w:hAnsi="Times New Roman" w:cs="Times New Roman"/>
        </w:rPr>
        <w:footnoteReference w:id="6"/>
      </w:r>
      <w:r w:rsidR="00D50FA4" w:rsidRPr="00EC17F3">
        <w:rPr>
          <w:rFonts w:ascii="Times New Roman" w:eastAsia="Cambria" w:hAnsi="Times New Roman" w:cs="Times New Roman"/>
        </w:rPr>
        <w:t xml:space="preserve"> </w:t>
      </w:r>
      <w:r w:rsidR="00FA0A42">
        <w:rPr>
          <w:rFonts w:ascii="Times New Roman" w:eastAsia="Cambria" w:hAnsi="Times New Roman" w:cs="Times New Roman"/>
        </w:rPr>
        <w:t>Our analysis</w:t>
      </w:r>
      <w:r w:rsidR="00FA0A42" w:rsidRPr="00EC17F3">
        <w:rPr>
          <w:rFonts w:ascii="Times New Roman" w:eastAsia="Cambria" w:hAnsi="Times New Roman" w:cs="Times New Roman"/>
        </w:rPr>
        <w:t xml:space="preserve"> focus</w:t>
      </w:r>
      <w:r w:rsidR="00FA0A42">
        <w:rPr>
          <w:rFonts w:ascii="Times New Roman" w:eastAsia="Cambria" w:hAnsi="Times New Roman" w:cs="Times New Roman"/>
        </w:rPr>
        <w:t>es</w:t>
      </w:r>
      <w:r w:rsidR="00FA0A42" w:rsidRPr="00EC17F3">
        <w:rPr>
          <w:rFonts w:ascii="Times New Roman" w:eastAsia="Cambria" w:hAnsi="Times New Roman" w:cs="Times New Roman"/>
        </w:rPr>
        <w:t xml:space="preserve"> on a definition of income that excludes capital gains </w:t>
      </w:r>
      <w:r w:rsidR="00FA0A42">
        <w:rPr>
          <w:rFonts w:ascii="Times New Roman" w:eastAsia="Cambria" w:hAnsi="Times New Roman" w:cs="Times New Roman"/>
        </w:rPr>
        <w:t>given data availability constraints. H</w:t>
      </w:r>
      <w:r w:rsidR="00FA0A42" w:rsidRPr="00EC17F3">
        <w:rPr>
          <w:rFonts w:ascii="Times New Roman" w:eastAsia="Cambria" w:hAnsi="Times New Roman" w:cs="Times New Roman"/>
        </w:rPr>
        <w:t>owever</w:t>
      </w:r>
      <w:r w:rsidR="00FA0A42">
        <w:rPr>
          <w:rFonts w:ascii="Times New Roman" w:eastAsia="Cambria" w:hAnsi="Times New Roman" w:cs="Times New Roman"/>
        </w:rPr>
        <w:t>,</w:t>
      </w:r>
      <w:r w:rsidR="00FA0A42" w:rsidRPr="00EC17F3">
        <w:rPr>
          <w:rFonts w:ascii="Times New Roman" w:eastAsia="Cambria" w:hAnsi="Times New Roman" w:cs="Times New Roman"/>
        </w:rPr>
        <w:t xml:space="preserve"> data from a few countries for which top income shares are available both for income excluding and including capital gains suggests that the trends do not vary substantially across income definitions.</w:t>
      </w:r>
    </w:p>
    <w:p w14:paraId="4264D965" w14:textId="77777777" w:rsidR="00FA0A42" w:rsidRDefault="00FA0A42" w:rsidP="00D50FA4">
      <w:pPr>
        <w:jc w:val="both"/>
        <w:rPr>
          <w:rFonts w:ascii="Times New Roman" w:eastAsia="Cambria" w:hAnsi="Times New Roman" w:cs="Times New Roman"/>
        </w:rPr>
      </w:pPr>
    </w:p>
    <w:p w14:paraId="31F4D3EE" w14:textId="77777777" w:rsidR="00D50FA4" w:rsidRPr="00EC17F3" w:rsidRDefault="00D50FA4" w:rsidP="00D50FA4">
      <w:pPr>
        <w:jc w:val="both"/>
        <w:rPr>
          <w:rFonts w:ascii="Times New Roman" w:eastAsia="Cambria" w:hAnsi="Times New Roman" w:cs="Times New Roman"/>
        </w:rPr>
      </w:pPr>
      <w:r w:rsidRPr="00EC17F3">
        <w:rPr>
          <w:rFonts w:ascii="Times New Roman" w:eastAsia="Cambria" w:hAnsi="Times New Roman" w:cs="Times New Roman"/>
        </w:rPr>
        <w:t xml:space="preserve">Although top income shares are available for most combinations of countries and years in </w:t>
      </w:r>
      <w:r w:rsidR="00CC7C3E">
        <w:rPr>
          <w:rFonts w:ascii="Times New Roman" w:eastAsia="Cambria" w:hAnsi="Times New Roman" w:cs="Times New Roman"/>
        </w:rPr>
        <w:t>our</w:t>
      </w:r>
      <w:r w:rsidR="00CC7C3E" w:rsidRPr="00EC17F3">
        <w:rPr>
          <w:rFonts w:ascii="Times New Roman" w:eastAsia="Cambria" w:hAnsi="Times New Roman" w:cs="Times New Roman"/>
        </w:rPr>
        <w:t xml:space="preserve"> </w:t>
      </w:r>
      <w:r w:rsidRPr="00EC17F3">
        <w:rPr>
          <w:rFonts w:ascii="Times New Roman" w:eastAsia="Cambria" w:hAnsi="Times New Roman" w:cs="Times New Roman"/>
        </w:rPr>
        <w:t xml:space="preserve">sample, </w:t>
      </w:r>
      <w:r w:rsidR="00FA0A42">
        <w:rPr>
          <w:rFonts w:ascii="Times New Roman" w:eastAsia="Cambria" w:hAnsi="Times New Roman" w:cs="Times New Roman"/>
          <w:lang w:val="en-CA"/>
        </w:rPr>
        <w:t xml:space="preserve">there are </w:t>
      </w:r>
      <w:r w:rsidRPr="00EC17F3">
        <w:rPr>
          <w:rFonts w:ascii="Times New Roman" w:eastAsia="Cambria" w:hAnsi="Times New Roman" w:cs="Times New Roman"/>
        </w:rPr>
        <w:t xml:space="preserve">some gaps in the coverage </w:t>
      </w:r>
      <w:r w:rsidR="00FA0A42">
        <w:rPr>
          <w:rFonts w:ascii="Times New Roman" w:eastAsia="Cambria" w:hAnsi="Times New Roman" w:cs="Times New Roman"/>
        </w:rPr>
        <w:t>of</w:t>
      </w:r>
      <w:r w:rsidRPr="00EC17F3">
        <w:rPr>
          <w:rFonts w:ascii="Times New Roman" w:eastAsia="Cambria" w:hAnsi="Times New Roman" w:cs="Times New Roman"/>
        </w:rPr>
        <w:t xml:space="preserve"> our panel of 554 country-year </w:t>
      </w:r>
      <w:r w:rsidR="00FA0A42">
        <w:rPr>
          <w:rFonts w:ascii="Times New Roman" w:eastAsia="Cambria" w:hAnsi="Times New Roman" w:cs="Times New Roman"/>
        </w:rPr>
        <w:t>observation</w:t>
      </w:r>
      <w:r w:rsidR="002D701A">
        <w:rPr>
          <w:rFonts w:ascii="Times New Roman" w:eastAsia="Cambria" w:hAnsi="Times New Roman" w:cs="Times New Roman"/>
        </w:rPr>
        <w:t>s</w:t>
      </w:r>
      <w:r w:rsidRPr="00EC17F3">
        <w:rPr>
          <w:rFonts w:ascii="Times New Roman" w:eastAsia="Cambria" w:hAnsi="Times New Roman" w:cs="Times New Roman"/>
        </w:rPr>
        <w:t xml:space="preserve">. Notably, income shares are available for the United States until 2015, but for most countries the coverage ends between 2010 and 2012, Portugal being the exception with </w:t>
      </w:r>
      <w:r w:rsidR="00CC7C3E">
        <w:rPr>
          <w:rFonts w:ascii="Times New Roman" w:eastAsia="Cambria" w:hAnsi="Times New Roman" w:cs="Times New Roman"/>
        </w:rPr>
        <w:t>data on top income shares available until</w:t>
      </w:r>
      <w:r w:rsidRPr="00EC17F3">
        <w:rPr>
          <w:rFonts w:ascii="Times New Roman" w:eastAsia="Cambria" w:hAnsi="Times New Roman" w:cs="Times New Roman"/>
        </w:rPr>
        <w:t xml:space="preserve"> 2005</w:t>
      </w:r>
      <w:r w:rsidR="00CC7C3E">
        <w:rPr>
          <w:rFonts w:ascii="Times New Roman" w:eastAsia="Cambria" w:hAnsi="Times New Roman" w:cs="Times New Roman"/>
        </w:rPr>
        <w:t xml:space="preserve"> only</w:t>
      </w:r>
      <w:r w:rsidRPr="00EC17F3">
        <w:rPr>
          <w:rFonts w:ascii="Times New Roman" w:eastAsia="Cambria" w:hAnsi="Times New Roman" w:cs="Times New Roman"/>
        </w:rPr>
        <w:t xml:space="preserve">. </w:t>
      </w:r>
    </w:p>
    <w:p w14:paraId="18731BF1" w14:textId="77777777" w:rsidR="00D50FA4" w:rsidRPr="00EC17F3" w:rsidRDefault="00D50FA4" w:rsidP="00D50FA4">
      <w:pPr>
        <w:jc w:val="both"/>
        <w:rPr>
          <w:rFonts w:ascii="Times New Roman" w:eastAsia="Cambria" w:hAnsi="Times New Roman" w:cs="Times New Roman"/>
        </w:rPr>
      </w:pPr>
    </w:p>
    <w:p w14:paraId="1303B529" w14:textId="77777777" w:rsidR="00D50FA4" w:rsidRPr="00EC17F3" w:rsidRDefault="00D50FA4" w:rsidP="00D50FA4">
      <w:pPr>
        <w:jc w:val="both"/>
        <w:rPr>
          <w:rFonts w:ascii="Times New Roman" w:eastAsia="Cambria" w:hAnsi="Times New Roman" w:cs="Times New Roman"/>
        </w:rPr>
      </w:pPr>
      <w:r w:rsidRPr="00EC17F3">
        <w:rPr>
          <w:rFonts w:ascii="Times New Roman" w:eastAsia="Cambria" w:hAnsi="Times New Roman" w:cs="Times New Roman"/>
        </w:rPr>
        <w:t>As top income shares do not</w:t>
      </w:r>
      <w:r w:rsidR="00966D0F">
        <w:rPr>
          <w:rFonts w:ascii="Times New Roman" w:eastAsia="Cambria" w:hAnsi="Times New Roman" w:cs="Times New Roman"/>
        </w:rPr>
        <w:t xml:space="preserve"> provide</w:t>
      </w:r>
      <w:r w:rsidRPr="00EC17F3">
        <w:rPr>
          <w:rFonts w:ascii="Times New Roman" w:eastAsia="Cambria" w:hAnsi="Times New Roman" w:cs="Times New Roman"/>
        </w:rPr>
        <w:t xml:space="preserve"> inform</w:t>
      </w:r>
      <w:r w:rsidR="00966D0F">
        <w:rPr>
          <w:rFonts w:ascii="Times New Roman" w:eastAsia="Cambria" w:hAnsi="Times New Roman" w:cs="Times New Roman"/>
        </w:rPr>
        <w:t>ation</w:t>
      </w:r>
      <w:r w:rsidRPr="00EC17F3">
        <w:rPr>
          <w:rFonts w:ascii="Times New Roman" w:eastAsia="Cambria" w:hAnsi="Times New Roman" w:cs="Times New Roman"/>
        </w:rPr>
        <w:t xml:space="preserve"> on inequality within the whole income distribution, we also test the robustness of our results by considering alternative measures of inequality. First, we obtain Gini coefficients from the OECD </w:t>
      </w:r>
      <w:r w:rsidR="002250B4">
        <w:rPr>
          <w:rFonts w:ascii="Times New Roman" w:eastAsia="Cambria" w:hAnsi="Times New Roman" w:cs="Times New Roman"/>
        </w:rPr>
        <w:t>i</w:t>
      </w:r>
      <w:r w:rsidRPr="00EC17F3">
        <w:rPr>
          <w:rFonts w:ascii="Times New Roman" w:eastAsia="Cambria" w:hAnsi="Times New Roman" w:cs="Times New Roman"/>
        </w:rPr>
        <w:t xml:space="preserve">ncome </w:t>
      </w:r>
      <w:r w:rsidR="002250B4">
        <w:rPr>
          <w:rFonts w:ascii="Times New Roman" w:eastAsia="Cambria" w:hAnsi="Times New Roman" w:cs="Times New Roman"/>
        </w:rPr>
        <w:t>d</w:t>
      </w:r>
      <w:r w:rsidRPr="00EC17F3">
        <w:rPr>
          <w:rFonts w:ascii="Times New Roman" w:eastAsia="Cambria" w:hAnsi="Times New Roman" w:cs="Times New Roman"/>
        </w:rPr>
        <w:t xml:space="preserve">istribution </w:t>
      </w:r>
      <w:r w:rsidR="002250B4">
        <w:rPr>
          <w:rFonts w:ascii="Times New Roman" w:eastAsia="Cambria" w:hAnsi="Times New Roman" w:cs="Times New Roman"/>
        </w:rPr>
        <w:t>d</w:t>
      </w:r>
      <w:r w:rsidRPr="00EC17F3">
        <w:rPr>
          <w:rFonts w:ascii="Times New Roman" w:eastAsia="Cambria" w:hAnsi="Times New Roman" w:cs="Times New Roman"/>
        </w:rPr>
        <w:t xml:space="preserve">atabase. We focus on the Gini coefficient after taxes and transfers which are systematically lower than market Gini coefficient. Availability for this variable is limited to 238 </w:t>
      </w:r>
      <w:r w:rsidR="00C23254">
        <w:rPr>
          <w:rFonts w:ascii="Times New Roman" w:eastAsia="Cambria" w:hAnsi="Times New Roman" w:cs="Times New Roman"/>
        </w:rPr>
        <w:t xml:space="preserve">of the </w:t>
      </w:r>
      <w:r w:rsidR="00F9244C">
        <w:rPr>
          <w:rFonts w:ascii="Times New Roman" w:eastAsia="Cambria" w:hAnsi="Times New Roman" w:cs="Times New Roman"/>
        </w:rPr>
        <w:t>country-year combinations</w:t>
      </w:r>
      <w:r w:rsidR="00F9244C" w:rsidRPr="00EC17F3">
        <w:rPr>
          <w:rFonts w:ascii="Times New Roman" w:eastAsia="Cambria" w:hAnsi="Times New Roman" w:cs="Times New Roman"/>
        </w:rPr>
        <w:t xml:space="preserve"> </w:t>
      </w:r>
      <w:r w:rsidR="00C23254">
        <w:rPr>
          <w:rFonts w:ascii="Times New Roman" w:eastAsia="Cambria" w:hAnsi="Times New Roman" w:cs="Times New Roman"/>
        </w:rPr>
        <w:t>for which information is available on top income shares</w:t>
      </w:r>
      <w:r w:rsidRPr="00EC17F3">
        <w:rPr>
          <w:rFonts w:ascii="Times New Roman" w:eastAsia="Cambria" w:hAnsi="Times New Roman" w:cs="Times New Roman"/>
        </w:rPr>
        <w:t>.</w:t>
      </w:r>
      <w:r w:rsidR="00C23254">
        <w:rPr>
          <w:rFonts w:ascii="Times New Roman" w:eastAsia="Cambria" w:hAnsi="Times New Roman" w:cs="Times New Roman"/>
        </w:rPr>
        <w:t xml:space="preserve"> </w:t>
      </w:r>
      <w:r w:rsidR="000827A6">
        <w:rPr>
          <w:rFonts w:ascii="Times New Roman" w:eastAsia="Cambria" w:hAnsi="Times New Roman" w:cs="Times New Roman"/>
        </w:rPr>
        <w:t xml:space="preserve">This reduced sample includes </w:t>
      </w:r>
      <w:r w:rsidR="00A60F29">
        <w:rPr>
          <w:rFonts w:ascii="Times New Roman" w:eastAsia="Cambria" w:hAnsi="Times New Roman" w:cs="Times New Roman"/>
        </w:rPr>
        <w:t>1</w:t>
      </w:r>
      <w:r w:rsidR="000827A6">
        <w:rPr>
          <w:rFonts w:ascii="Times New Roman" w:eastAsia="Cambria" w:hAnsi="Times New Roman" w:cs="Times New Roman"/>
        </w:rPr>
        <w:t>9 countries (</w:t>
      </w:r>
      <w:r w:rsidR="00C23254">
        <w:rPr>
          <w:rFonts w:ascii="Times New Roman" w:eastAsia="Cambria" w:hAnsi="Times New Roman" w:cs="Times New Roman"/>
        </w:rPr>
        <w:t>Gini coefficient</w:t>
      </w:r>
      <w:r w:rsidR="000827A6">
        <w:rPr>
          <w:rFonts w:ascii="Times New Roman" w:eastAsia="Cambria" w:hAnsi="Times New Roman" w:cs="Times New Roman"/>
        </w:rPr>
        <w:t>s are</w:t>
      </w:r>
      <w:r w:rsidR="00C23254">
        <w:rPr>
          <w:rFonts w:ascii="Times New Roman" w:eastAsia="Cambria" w:hAnsi="Times New Roman" w:cs="Times New Roman"/>
        </w:rPr>
        <w:t xml:space="preserve"> not available for Colombia</w:t>
      </w:r>
      <w:r w:rsidR="000827A6">
        <w:rPr>
          <w:rFonts w:ascii="Times New Roman" w:eastAsia="Cambria" w:hAnsi="Times New Roman" w:cs="Times New Roman"/>
        </w:rPr>
        <w:t>)</w:t>
      </w:r>
      <w:r w:rsidR="00C23254">
        <w:rPr>
          <w:rFonts w:ascii="Times New Roman" w:eastAsia="Cambria" w:hAnsi="Times New Roman" w:cs="Times New Roman"/>
        </w:rPr>
        <w:t xml:space="preserve">, </w:t>
      </w:r>
      <w:r w:rsidR="000827A6">
        <w:rPr>
          <w:rFonts w:ascii="Times New Roman" w:eastAsia="Cambria" w:hAnsi="Times New Roman" w:cs="Times New Roman"/>
        </w:rPr>
        <w:t>over 35 years. The countries for which the most observations are available are the U.S. (35 observations) and Canada (29 observations), and the countries with the smallest number of observations are Portugal (2)</w:t>
      </w:r>
      <w:r w:rsidR="004F21A2">
        <w:rPr>
          <w:rFonts w:ascii="Times New Roman" w:eastAsia="Cambria" w:hAnsi="Times New Roman" w:cs="Times New Roman"/>
        </w:rPr>
        <w:t>,</w:t>
      </w:r>
      <w:r w:rsidR="000827A6">
        <w:rPr>
          <w:rFonts w:ascii="Times New Roman" w:eastAsia="Cambria" w:hAnsi="Times New Roman" w:cs="Times New Roman"/>
        </w:rPr>
        <w:t xml:space="preserve"> Japan (6) and Australia (6).</w:t>
      </w:r>
    </w:p>
    <w:p w14:paraId="104999C0" w14:textId="77777777" w:rsidR="00D50FA4" w:rsidRPr="00EC17F3" w:rsidRDefault="00D50FA4" w:rsidP="00D50FA4">
      <w:pPr>
        <w:jc w:val="both"/>
        <w:rPr>
          <w:rFonts w:ascii="Times New Roman" w:eastAsia="Cambria" w:hAnsi="Times New Roman" w:cs="Times New Roman"/>
        </w:rPr>
      </w:pPr>
    </w:p>
    <w:p w14:paraId="729C0289" w14:textId="77777777" w:rsidR="002250B4" w:rsidRPr="00EC17F3" w:rsidRDefault="004A354C" w:rsidP="002250B4">
      <w:pPr>
        <w:jc w:val="both"/>
        <w:rPr>
          <w:rFonts w:ascii="Times New Roman" w:eastAsia="Cambria" w:hAnsi="Times New Roman" w:cs="Times New Roman"/>
        </w:rPr>
      </w:pPr>
      <w:r>
        <w:rPr>
          <w:rFonts w:ascii="Times New Roman" w:eastAsia="Cambria" w:hAnsi="Times New Roman" w:cs="Times New Roman"/>
        </w:rPr>
        <w:t>We also</w:t>
      </w:r>
      <w:r w:rsidR="00D50FA4" w:rsidRPr="00EC17F3">
        <w:rPr>
          <w:rFonts w:ascii="Times New Roman" w:eastAsia="Cambria" w:hAnsi="Times New Roman" w:cs="Times New Roman"/>
        </w:rPr>
        <w:t xml:space="preserve"> obtain the ratio of income levels corresponding to the thresholds identifying the 90</w:t>
      </w:r>
      <w:r w:rsidR="00D50FA4" w:rsidRPr="00EC17F3">
        <w:rPr>
          <w:rFonts w:ascii="Times New Roman" w:eastAsia="Cambria" w:hAnsi="Times New Roman" w:cs="Times New Roman"/>
          <w:vertAlign w:val="superscript"/>
        </w:rPr>
        <w:t>th</w:t>
      </w:r>
      <w:r w:rsidR="00D50FA4" w:rsidRPr="00EC17F3">
        <w:rPr>
          <w:rFonts w:ascii="Times New Roman" w:eastAsia="Cambria" w:hAnsi="Times New Roman" w:cs="Times New Roman"/>
        </w:rPr>
        <w:t xml:space="preserve"> and the 50</w:t>
      </w:r>
      <w:r w:rsidR="00D50FA4" w:rsidRPr="00EC17F3">
        <w:rPr>
          <w:rFonts w:ascii="Times New Roman" w:eastAsia="Cambria" w:hAnsi="Times New Roman" w:cs="Times New Roman"/>
          <w:vertAlign w:val="superscript"/>
        </w:rPr>
        <w:t xml:space="preserve">th </w:t>
      </w:r>
      <w:r w:rsidR="00D50FA4" w:rsidRPr="00EC17F3">
        <w:rPr>
          <w:rFonts w:ascii="Times New Roman" w:eastAsia="Cambria" w:hAnsi="Times New Roman" w:cs="Times New Roman"/>
        </w:rPr>
        <w:t>percentiles in the income distribution, and a similar ratio for the 50</w:t>
      </w:r>
      <w:r w:rsidR="00D50FA4" w:rsidRPr="00EC17F3">
        <w:rPr>
          <w:rFonts w:ascii="Times New Roman" w:eastAsia="Cambria" w:hAnsi="Times New Roman" w:cs="Times New Roman"/>
          <w:vertAlign w:val="superscript"/>
        </w:rPr>
        <w:t xml:space="preserve">th </w:t>
      </w:r>
      <w:r w:rsidR="00D50FA4" w:rsidRPr="00EC17F3">
        <w:rPr>
          <w:rFonts w:ascii="Times New Roman" w:eastAsia="Cambria" w:hAnsi="Times New Roman" w:cs="Times New Roman"/>
        </w:rPr>
        <w:t>and the 10</w:t>
      </w:r>
      <w:r w:rsidR="00D50FA4" w:rsidRPr="00EC17F3">
        <w:rPr>
          <w:rFonts w:ascii="Times New Roman" w:eastAsia="Cambria" w:hAnsi="Times New Roman" w:cs="Times New Roman"/>
          <w:vertAlign w:val="superscript"/>
        </w:rPr>
        <w:t>th</w:t>
      </w:r>
      <w:r w:rsidR="00D50FA4" w:rsidRPr="00EC17F3">
        <w:rPr>
          <w:rFonts w:ascii="Times New Roman" w:eastAsia="Cambria" w:hAnsi="Times New Roman" w:cs="Times New Roman"/>
        </w:rPr>
        <w:t xml:space="preserve"> percentiles. Those ratios provide a more direct comparison between the levels of income achieved at the top and at the bottom of the distribution</w:t>
      </w:r>
      <w:r w:rsidR="002D13CE" w:rsidRPr="00EC17F3">
        <w:rPr>
          <w:rStyle w:val="FootnoteReference"/>
          <w:rFonts w:ascii="Times New Roman" w:eastAsia="Cambria" w:hAnsi="Times New Roman" w:cs="Times New Roman"/>
        </w:rPr>
        <w:footnoteReference w:id="7"/>
      </w:r>
      <w:r w:rsidR="002250B4">
        <w:rPr>
          <w:rFonts w:ascii="Times New Roman" w:eastAsia="Cambria" w:hAnsi="Times New Roman" w:cs="Times New Roman"/>
        </w:rPr>
        <w:t xml:space="preserve">: </w:t>
      </w:r>
      <w:r w:rsidR="002250B4" w:rsidRPr="00EC17F3">
        <w:rPr>
          <w:rFonts w:ascii="Times New Roman" w:eastAsia="Cambria" w:hAnsi="Times New Roman" w:cs="Times New Roman"/>
        </w:rPr>
        <w:t xml:space="preserve">If </w:t>
      </w:r>
      <w:r w:rsidR="002250B4" w:rsidRPr="00EC17F3">
        <w:rPr>
          <w:rFonts w:ascii="Times New Roman" w:eastAsia="Cambria" w:hAnsi="Times New Roman" w:cs="Times New Roman"/>
          <w:i/>
        </w:rPr>
        <w:t>y</w:t>
      </w:r>
      <w:r w:rsidR="002250B4" w:rsidRPr="00EC17F3">
        <w:rPr>
          <w:rFonts w:ascii="Times New Roman" w:eastAsia="Cambria" w:hAnsi="Times New Roman" w:cs="Times New Roman"/>
          <w:i/>
          <w:vertAlign w:val="superscript"/>
        </w:rPr>
        <w:t>90</w:t>
      </w:r>
      <w:r w:rsidR="002250B4" w:rsidRPr="00EC17F3">
        <w:rPr>
          <w:rFonts w:ascii="Times New Roman" w:eastAsia="Cambria" w:hAnsi="Times New Roman" w:cs="Times New Roman"/>
          <w:i/>
          <w:vertAlign w:val="subscript"/>
        </w:rPr>
        <w:t>ct</w:t>
      </w:r>
      <w:r w:rsidR="002250B4" w:rsidRPr="00EC17F3">
        <w:rPr>
          <w:rFonts w:ascii="Times New Roman" w:eastAsia="Cambria" w:hAnsi="Times New Roman" w:cs="Times New Roman"/>
          <w:i/>
        </w:rPr>
        <w:t xml:space="preserve"> </w:t>
      </w:r>
      <w:r w:rsidR="002250B4" w:rsidRPr="00EC17F3">
        <w:rPr>
          <w:rFonts w:ascii="Times New Roman" w:eastAsia="Cambria" w:hAnsi="Times New Roman" w:cs="Times New Roman"/>
        </w:rPr>
        <w:t>is the upper bound value of income of the 90</w:t>
      </w:r>
      <w:r w:rsidR="002250B4" w:rsidRPr="00EC17F3">
        <w:rPr>
          <w:rFonts w:ascii="Times New Roman" w:eastAsia="Cambria" w:hAnsi="Times New Roman" w:cs="Times New Roman"/>
          <w:vertAlign w:val="superscript"/>
        </w:rPr>
        <w:t xml:space="preserve">th </w:t>
      </w:r>
      <w:r w:rsidR="002250B4" w:rsidRPr="00EC17F3">
        <w:rPr>
          <w:rFonts w:ascii="Times New Roman" w:eastAsia="Cambria" w:hAnsi="Times New Roman" w:cs="Times New Roman"/>
        </w:rPr>
        <w:t>percentile, y</w:t>
      </w:r>
      <w:r w:rsidR="002250B4" w:rsidRPr="00EC17F3">
        <w:rPr>
          <w:rFonts w:ascii="Times New Roman" w:eastAsia="Cambria" w:hAnsi="Times New Roman" w:cs="Times New Roman"/>
          <w:vertAlign w:val="superscript"/>
        </w:rPr>
        <w:t>50</w:t>
      </w:r>
      <w:r w:rsidR="002250B4" w:rsidRPr="00EC17F3">
        <w:rPr>
          <w:rFonts w:ascii="Times New Roman" w:eastAsia="Cambria" w:hAnsi="Times New Roman" w:cs="Times New Roman"/>
          <w:vertAlign w:val="subscript"/>
        </w:rPr>
        <w:t>ct</w:t>
      </w:r>
      <w:r w:rsidR="002250B4" w:rsidRPr="00EC17F3">
        <w:rPr>
          <w:rFonts w:ascii="Times New Roman" w:eastAsia="Cambria" w:hAnsi="Times New Roman" w:cs="Times New Roman"/>
        </w:rPr>
        <w:t xml:space="preserve"> is the median level of income and y</w:t>
      </w:r>
      <w:r w:rsidR="002250B4" w:rsidRPr="00EC17F3">
        <w:rPr>
          <w:rFonts w:ascii="Times New Roman" w:eastAsia="Cambria" w:hAnsi="Times New Roman" w:cs="Times New Roman"/>
          <w:vertAlign w:val="superscript"/>
        </w:rPr>
        <w:t>10</w:t>
      </w:r>
      <w:r w:rsidR="002250B4" w:rsidRPr="00EC17F3">
        <w:rPr>
          <w:rFonts w:ascii="Times New Roman" w:eastAsia="Cambria" w:hAnsi="Times New Roman" w:cs="Times New Roman"/>
          <w:vertAlign w:val="subscript"/>
        </w:rPr>
        <w:t>ct</w:t>
      </w:r>
      <w:r w:rsidR="002250B4" w:rsidRPr="00EC17F3">
        <w:rPr>
          <w:rFonts w:ascii="Times New Roman" w:eastAsia="Cambria" w:hAnsi="Times New Roman" w:cs="Times New Roman"/>
          <w:vertAlign w:val="superscript"/>
        </w:rPr>
        <w:t xml:space="preserve"> </w:t>
      </w:r>
      <w:r w:rsidR="002250B4" w:rsidRPr="00EC17F3">
        <w:rPr>
          <w:rFonts w:ascii="Times New Roman" w:eastAsia="Cambria" w:hAnsi="Times New Roman" w:cs="Times New Roman"/>
        </w:rPr>
        <w:t>is the upper bound value of income of the 10</w:t>
      </w:r>
      <w:r w:rsidR="002250B4" w:rsidRPr="00EC17F3">
        <w:rPr>
          <w:rFonts w:ascii="Times New Roman" w:eastAsia="Cambria" w:hAnsi="Times New Roman" w:cs="Times New Roman"/>
          <w:vertAlign w:val="superscript"/>
        </w:rPr>
        <w:t xml:space="preserve">th </w:t>
      </w:r>
      <w:r w:rsidR="002250B4" w:rsidRPr="00EC17F3">
        <w:rPr>
          <w:rFonts w:ascii="Times New Roman" w:eastAsia="Cambria" w:hAnsi="Times New Roman" w:cs="Times New Roman"/>
        </w:rPr>
        <w:t xml:space="preserve">percentile in the income in country </w:t>
      </w:r>
      <w:r w:rsidR="002250B4" w:rsidRPr="00EC17F3">
        <w:rPr>
          <w:rFonts w:ascii="Times New Roman" w:eastAsia="Cambria" w:hAnsi="Times New Roman" w:cs="Times New Roman"/>
          <w:i/>
        </w:rPr>
        <w:t xml:space="preserve">c </w:t>
      </w:r>
      <w:r w:rsidR="002250B4" w:rsidRPr="00EC17F3">
        <w:rPr>
          <w:rFonts w:ascii="Times New Roman" w:eastAsia="Cambria" w:hAnsi="Times New Roman" w:cs="Times New Roman"/>
        </w:rPr>
        <w:t xml:space="preserve">and year </w:t>
      </w:r>
      <w:r w:rsidR="002250B4" w:rsidRPr="00EC17F3">
        <w:rPr>
          <w:rFonts w:ascii="Times New Roman" w:eastAsia="Cambria" w:hAnsi="Times New Roman" w:cs="Times New Roman"/>
          <w:i/>
        </w:rPr>
        <w:t>t</w:t>
      </w:r>
      <w:r w:rsidR="002250B4" w:rsidRPr="00EC17F3">
        <w:rPr>
          <w:rFonts w:ascii="Times New Roman" w:eastAsia="Cambria" w:hAnsi="Times New Roman" w:cs="Times New Roman"/>
        </w:rPr>
        <w:t xml:space="preserve">, they correspond to: </w:t>
      </w:r>
    </w:p>
    <w:p w14:paraId="661A2CEA" w14:textId="77777777" w:rsidR="002250B4" w:rsidRPr="00EC17F3" w:rsidRDefault="002250B4" w:rsidP="002250B4">
      <w:pPr>
        <w:jc w:val="both"/>
        <w:rPr>
          <w:rFonts w:ascii="Times New Roman" w:eastAsia="Cambria" w:hAnsi="Times New Roman" w:cs="Times New Roman"/>
        </w:rPr>
      </w:pPr>
    </w:p>
    <w:p w14:paraId="153A039F" w14:textId="77777777" w:rsidR="002250B4" w:rsidRPr="00EC17F3" w:rsidRDefault="002250B4" w:rsidP="002250B4">
      <w:pPr>
        <w:spacing w:line="360" w:lineRule="auto"/>
        <w:jc w:val="both"/>
        <w:outlineLvl w:val="0"/>
        <w:rPr>
          <w:rFonts w:ascii="Times New Roman" w:eastAsia="Cambria" w:hAnsi="Times New Roman" w:cs="Times New Roman"/>
        </w:rPr>
      </w:pPr>
      <w:r w:rsidRPr="00EC17F3">
        <w:rPr>
          <w:rFonts w:ascii="Times New Roman" w:eastAsia="Cambria" w:hAnsi="Times New Roman" w:cs="Times New Roman"/>
        </w:rPr>
        <w:t xml:space="preserve">Inequality </w:t>
      </w:r>
      <w:proofErr w:type="spellStart"/>
      <w:r w:rsidRPr="00EC17F3">
        <w:rPr>
          <w:rFonts w:ascii="Times New Roman" w:eastAsia="Cambria" w:hAnsi="Times New Roman" w:cs="Times New Roman"/>
        </w:rPr>
        <w:t>top</w:t>
      </w:r>
      <w:r w:rsidRPr="00EC17F3">
        <w:rPr>
          <w:rFonts w:ascii="Times New Roman" w:eastAsia="Cambria" w:hAnsi="Times New Roman" w:cs="Times New Roman"/>
          <w:vertAlign w:val="subscript"/>
        </w:rPr>
        <w:t>ct</w:t>
      </w:r>
      <w:proofErr w:type="spellEnd"/>
      <w:r w:rsidRPr="00EC17F3">
        <w:rPr>
          <w:rFonts w:ascii="Times New Roman" w:eastAsia="Cambria" w:hAnsi="Times New Roman" w:cs="Times New Roman"/>
        </w:rPr>
        <w:t>=</w:t>
      </w:r>
      <w:proofErr w:type="spellStart"/>
      <w:r w:rsidRPr="00EC17F3">
        <w:rPr>
          <w:rFonts w:ascii="Times New Roman" w:eastAsia="Cambria" w:hAnsi="Times New Roman" w:cs="Times New Roman"/>
        </w:rPr>
        <w:t>y</w:t>
      </w:r>
      <w:r w:rsidRPr="00EC17F3">
        <w:rPr>
          <w:rFonts w:ascii="Times New Roman" w:eastAsia="Cambria" w:hAnsi="Times New Roman" w:cs="Times New Roman"/>
          <w:vertAlign w:val="superscript"/>
        </w:rPr>
        <w:t>90</w:t>
      </w:r>
      <w:r w:rsidRPr="00EC17F3">
        <w:rPr>
          <w:rFonts w:ascii="Times New Roman" w:eastAsia="Cambria" w:hAnsi="Times New Roman" w:cs="Times New Roman"/>
          <w:vertAlign w:val="subscript"/>
        </w:rPr>
        <w:t>ct</w:t>
      </w:r>
      <w:proofErr w:type="spellEnd"/>
      <w:r w:rsidRPr="00EC17F3">
        <w:rPr>
          <w:rFonts w:ascii="Times New Roman" w:eastAsia="Cambria" w:hAnsi="Times New Roman" w:cs="Times New Roman"/>
        </w:rPr>
        <w:t xml:space="preserve">/ </w:t>
      </w:r>
      <w:proofErr w:type="spellStart"/>
      <w:r w:rsidRPr="00EC17F3">
        <w:rPr>
          <w:rFonts w:ascii="Times New Roman" w:eastAsia="Cambria" w:hAnsi="Times New Roman" w:cs="Times New Roman"/>
        </w:rPr>
        <w:t>y</w:t>
      </w:r>
      <w:r w:rsidRPr="00EC17F3">
        <w:rPr>
          <w:rFonts w:ascii="Times New Roman" w:eastAsia="Cambria" w:hAnsi="Times New Roman" w:cs="Times New Roman"/>
          <w:vertAlign w:val="superscript"/>
        </w:rPr>
        <w:t>50</w:t>
      </w:r>
      <w:r w:rsidRPr="00EC17F3">
        <w:rPr>
          <w:rFonts w:ascii="Times New Roman" w:eastAsia="Cambria" w:hAnsi="Times New Roman" w:cs="Times New Roman"/>
          <w:vertAlign w:val="subscript"/>
        </w:rPr>
        <w:t>ct</w:t>
      </w:r>
      <w:proofErr w:type="spellEnd"/>
      <w:r w:rsidRPr="00EC17F3">
        <w:rPr>
          <w:rFonts w:ascii="Times New Roman" w:eastAsia="Cambria" w:hAnsi="Times New Roman" w:cs="Times New Roman"/>
        </w:rPr>
        <w:t xml:space="preserve"> </w:t>
      </w:r>
    </w:p>
    <w:p w14:paraId="6DA9B2D7" w14:textId="77777777" w:rsidR="002250B4" w:rsidRPr="00EC17F3" w:rsidRDefault="002250B4" w:rsidP="002250B4">
      <w:pPr>
        <w:spacing w:line="360" w:lineRule="auto"/>
        <w:jc w:val="both"/>
        <w:rPr>
          <w:rFonts w:ascii="Times New Roman" w:eastAsia="Cambria" w:hAnsi="Times New Roman" w:cs="Times New Roman"/>
        </w:rPr>
      </w:pPr>
      <w:r w:rsidRPr="00EC17F3">
        <w:rPr>
          <w:rFonts w:ascii="Times New Roman" w:eastAsia="Cambria" w:hAnsi="Times New Roman" w:cs="Times New Roman"/>
        </w:rPr>
        <w:t xml:space="preserve">Inequality </w:t>
      </w:r>
      <w:proofErr w:type="spellStart"/>
      <w:r w:rsidRPr="00EC17F3">
        <w:rPr>
          <w:rFonts w:ascii="Times New Roman" w:eastAsia="Cambria" w:hAnsi="Times New Roman" w:cs="Times New Roman"/>
        </w:rPr>
        <w:t>bottom</w:t>
      </w:r>
      <w:r w:rsidRPr="00EC17F3">
        <w:rPr>
          <w:rFonts w:ascii="Times New Roman" w:eastAsia="Cambria" w:hAnsi="Times New Roman" w:cs="Times New Roman"/>
          <w:vertAlign w:val="subscript"/>
        </w:rPr>
        <w:t>ct</w:t>
      </w:r>
      <w:proofErr w:type="spellEnd"/>
      <w:r w:rsidRPr="00EC17F3">
        <w:rPr>
          <w:rFonts w:ascii="Times New Roman" w:eastAsia="Cambria" w:hAnsi="Times New Roman" w:cs="Times New Roman"/>
        </w:rPr>
        <w:t>=</w:t>
      </w:r>
      <w:proofErr w:type="spellStart"/>
      <w:r w:rsidRPr="00EC17F3">
        <w:rPr>
          <w:rFonts w:ascii="Times New Roman" w:eastAsia="Cambria" w:hAnsi="Times New Roman" w:cs="Times New Roman"/>
        </w:rPr>
        <w:t>y</w:t>
      </w:r>
      <w:r w:rsidRPr="00EC17F3">
        <w:rPr>
          <w:rFonts w:ascii="Times New Roman" w:eastAsia="Cambria" w:hAnsi="Times New Roman" w:cs="Times New Roman"/>
          <w:vertAlign w:val="superscript"/>
        </w:rPr>
        <w:t>50</w:t>
      </w:r>
      <w:r w:rsidRPr="00EC17F3">
        <w:rPr>
          <w:rFonts w:ascii="Times New Roman" w:eastAsia="Cambria" w:hAnsi="Times New Roman" w:cs="Times New Roman"/>
          <w:vertAlign w:val="subscript"/>
        </w:rPr>
        <w:t>ct</w:t>
      </w:r>
      <w:proofErr w:type="spellEnd"/>
      <w:r w:rsidRPr="00EC17F3">
        <w:rPr>
          <w:rFonts w:ascii="Times New Roman" w:eastAsia="Cambria" w:hAnsi="Times New Roman" w:cs="Times New Roman"/>
        </w:rPr>
        <w:t xml:space="preserve">/ </w:t>
      </w:r>
      <w:proofErr w:type="spellStart"/>
      <w:r w:rsidRPr="00EC17F3">
        <w:rPr>
          <w:rFonts w:ascii="Times New Roman" w:eastAsia="Cambria" w:hAnsi="Times New Roman" w:cs="Times New Roman"/>
        </w:rPr>
        <w:t>y</w:t>
      </w:r>
      <w:r w:rsidRPr="00EC17F3">
        <w:rPr>
          <w:rFonts w:ascii="Times New Roman" w:eastAsia="Cambria" w:hAnsi="Times New Roman" w:cs="Times New Roman"/>
          <w:vertAlign w:val="superscript"/>
        </w:rPr>
        <w:t>10</w:t>
      </w:r>
      <w:r w:rsidRPr="00EC17F3">
        <w:rPr>
          <w:rFonts w:ascii="Times New Roman" w:eastAsia="Cambria" w:hAnsi="Times New Roman" w:cs="Times New Roman"/>
          <w:vertAlign w:val="subscript"/>
        </w:rPr>
        <w:t>ct</w:t>
      </w:r>
      <w:proofErr w:type="spellEnd"/>
    </w:p>
    <w:p w14:paraId="223ED845" w14:textId="77777777" w:rsidR="00D50FA4" w:rsidRDefault="002250B4" w:rsidP="00D50FA4">
      <w:pPr>
        <w:jc w:val="both"/>
        <w:rPr>
          <w:rFonts w:ascii="Times New Roman" w:eastAsia="Cambria" w:hAnsi="Times New Roman" w:cs="Times New Roman"/>
        </w:rPr>
      </w:pPr>
      <w:r w:rsidRPr="00EC17F3">
        <w:rPr>
          <w:rFonts w:ascii="Times New Roman" w:eastAsia="Cambria" w:hAnsi="Times New Roman" w:cs="Times New Roman"/>
        </w:rPr>
        <w:t xml:space="preserve">The ratios are available for </w:t>
      </w:r>
      <w:r w:rsidR="0077712E">
        <w:rPr>
          <w:rFonts w:ascii="Times New Roman" w:eastAsia="Cambria" w:hAnsi="Times New Roman" w:cs="Times New Roman"/>
        </w:rPr>
        <w:t>185 country-year pairs</w:t>
      </w:r>
      <w:r w:rsidR="000827A6">
        <w:rPr>
          <w:rFonts w:ascii="Times New Roman" w:eastAsia="Cambria" w:hAnsi="Times New Roman" w:cs="Times New Roman"/>
        </w:rPr>
        <w:t xml:space="preserve"> for which t</w:t>
      </w:r>
      <w:r w:rsidR="0077712E">
        <w:rPr>
          <w:rFonts w:ascii="Times New Roman" w:eastAsia="Cambria" w:hAnsi="Times New Roman" w:cs="Times New Roman"/>
        </w:rPr>
        <w:t xml:space="preserve">op income shares are available. </w:t>
      </w:r>
      <w:r w:rsidR="005F4014">
        <w:rPr>
          <w:rFonts w:ascii="Times New Roman" w:eastAsia="Cambria" w:hAnsi="Times New Roman" w:cs="Times New Roman"/>
        </w:rPr>
        <w:t>G</w:t>
      </w:r>
      <w:r w:rsidR="0077712E">
        <w:rPr>
          <w:rFonts w:ascii="Times New Roman" w:eastAsia="Cambria" w:hAnsi="Times New Roman" w:cs="Times New Roman"/>
        </w:rPr>
        <w:t>iven the availability of other control variables, 143</w:t>
      </w:r>
      <w:r w:rsidR="0077712E" w:rsidRPr="00EC17F3">
        <w:rPr>
          <w:rFonts w:ascii="Times New Roman" w:eastAsia="Cambria" w:hAnsi="Times New Roman" w:cs="Times New Roman"/>
        </w:rPr>
        <w:t xml:space="preserve"> </w:t>
      </w:r>
      <w:r w:rsidR="0077712E">
        <w:rPr>
          <w:rFonts w:ascii="Times New Roman" w:eastAsia="Cambria" w:hAnsi="Times New Roman" w:cs="Times New Roman"/>
        </w:rPr>
        <w:t>of these observations are used in the empirical analysis (corresponding to 19 countries between 1982 and 2014</w:t>
      </w:r>
      <w:r w:rsidR="00780E91">
        <w:rPr>
          <w:rFonts w:ascii="Times New Roman" w:eastAsia="Cambria" w:hAnsi="Times New Roman" w:cs="Times New Roman"/>
        </w:rPr>
        <w:t>, observed between 2 (Portugal) and 19 (Canada) times each</w:t>
      </w:r>
      <w:r w:rsidR="0077712E">
        <w:rPr>
          <w:rFonts w:ascii="Times New Roman" w:eastAsia="Cambria" w:hAnsi="Times New Roman" w:cs="Times New Roman"/>
        </w:rPr>
        <w:t>).</w:t>
      </w:r>
    </w:p>
    <w:p w14:paraId="5FFB93C6" w14:textId="77777777" w:rsidR="00052AA1" w:rsidRPr="00EC17F3" w:rsidRDefault="00052AA1" w:rsidP="00D50FA4">
      <w:pPr>
        <w:jc w:val="both"/>
        <w:rPr>
          <w:rFonts w:ascii="Times New Roman" w:eastAsia="Cambria" w:hAnsi="Times New Roman" w:cs="Times New Roman"/>
        </w:rPr>
      </w:pPr>
    </w:p>
    <w:p w14:paraId="5161026C" w14:textId="77777777" w:rsidR="00D50FA4" w:rsidRPr="00EC17F3" w:rsidRDefault="00E41A1B" w:rsidP="00CC5CC1">
      <w:pPr>
        <w:jc w:val="both"/>
        <w:outlineLvl w:val="0"/>
        <w:rPr>
          <w:rFonts w:ascii="Times New Roman" w:eastAsia="Cambria" w:hAnsi="Times New Roman" w:cs="Times New Roman"/>
        </w:rPr>
      </w:pPr>
      <w:r>
        <w:rPr>
          <w:rFonts w:ascii="Times New Roman" w:eastAsia="Cambria" w:hAnsi="Times New Roman" w:cs="Times New Roman"/>
        </w:rPr>
        <w:t>3</w:t>
      </w:r>
      <w:r w:rsidR="00D50FA4" w:rsidRPr="00EC17F3">
        <w:rPr>
          <w:rFonts w:ascii="Times New Roman" w:eastAsia="Cambria" w:hAnsi="Times New Roman" w:cs="Times New Roman"/>
        </w:rPr>
        <w:t xml:space="preserve">.1.2 Privately financed health care </w:t>
      </w:r>
    </w:p>
    <w:p w14:paraId="11A6CDDE" w14:textId="77777777" w:rsidR="00D50FA4" w:rsidRPr="00EC17F3" w:rsidRDefault="00D50FA4" w:rsidP="00D50FA4">
      <w:pPr>
        <w:jc w:val="both"/>
        <w:rPr>
          <w:rFonts w:ascii="Times New Roman" w:eastAsia="Cambria" w:hAnsi="Times New Roman" w:cs="Times New Roman"/>
        </w:rPr>
      </w:pPr>
    </w:p>
    <w:p w14:paraId="47346EF3" w14:textId="77777777" w:rsidR="00D50FA4" w:rsidRPr="00EC17F3" w:rsidRDefault="00D50FA4" w:rsidP="00D50FA4">
      <w:pPr>
        <w:jc w:val="both"/>
        <w:rPr>
          <w:rFonts w:ascii="Times New Roman" w:eastAsia="Cambria" w:hAnsi="Times New Roman" w:cs="Times New Roman"/>
        </w:rPr>
      </w:pPr>
      <w:r w:rsidRPr="00EC17F3">
        <w:rPr>
          <w:rFonts w:ascii="Times New Roman" w:eastAsia="Cambria" w:hAnsi="Times New Roman" w:cs="Times New Roman"/>
        </w:rPr>
        <w:t>Our measures of health expenditur</w:t>
      </w:r>
      <w:r w:rsidR="00A02281">
        <w:rPr>
          <w:rFonts w:ascii="Times New Roman" w:eastAsia="Cambria" w:hAnsi="Times New Roman" w:cs="Times New Roman"/>
        </w:rPr>
        <w:t>e</w:t>
      </w:r>
      <w:r w:rsidRPr="00EC17F3">
        <w:rPr>
          <w:rFonts w:ascii="Times New Roman" w:eastAsia="Cambria" w:hAnsi="Times New Roman" w:cs="Times New Roman"/>
        </w:rPr>
        <w:t xml:space="preserve"> are taken from the OECD health expenditure and financing dataset.</w:t>
      </w:r>
      <w:r w:rsidRPr="00EC17F3">
        <w:rPr>
          <w:rStyle w:val="FootnoteReference"/>
          <w:rFonts w:ascii="Times New Roman" w:eastAsia="Cambria" w:hAnsi="Times New Roman" w:cs="Times New Roman"/>
        </w:rPr>
        <w:footnoteReference w:id="8"/>
      </w:r>
      <w:r w:rsidRPr="00EC17F3">
        <w:rPr>
          <w:rFonts w:ascii="Times New Roman" w:eastAsia="Cambria" w:hAnsi="Times New Roman" w:cs="Times New Roman"/>
        </w:rPr>
        <w:t xml:space="preserve"> In addition to the total health expenditure (from all sources), we obtain the level of private and public (governmental) health expenditure at the country-year level, as well as the proportion of all health expenditure financed privately. These variables are available for the full set of observations within the sample for which the top 1% income shares are available. We also retrieve the share of the population covered (exclusively or partially) by private health insurance plans from the OECD Social Protection dataset.</w:t>
      </w:r>
      <w:r w:rsidRPr="00EC17F3">
        <w:rPr>
          <w:rStyle w:val="FootnoteReference"/>
          <w:rFonts w:ascii="Times New Roman" w:eastAsia="Cambria" w:hAnsi="Times New Roman" w:cs="Times New Roman"/>
        </w:rPr>
        <w:footnoteReference w:id="9"/>
      </w:r>
      <w:r w:rsidRPr="00EC17F3">
        <w:rPr>
          <w:rFonts w:ascii="Times New Roman" w:eastAsia="Cambria" w:hAnsi="Times New Roman" w:cs="Times New Roman"/>
        </w:rPr>
        <w:t xml:space="preserve"> Finally, we obtain country level information on out-of-pocket health expenditure (as a share of total health expenditure) from the World Health Organization </w:t>
      </w:r>
      <w:r w:rsidR="00A02281">
        <w:rPr>
          <w:rFonts w:ascii="Times New Roman" w:eastAsia="Cambria" w:hAnsi="Times New Roman" w:cs="Times New Roman"/>
        </w:rPr>
        <w:t>g</w:t>
      </w:r>
      <w:r w:rsidRPr="00EC17F3">
        <w:rPr>
          <w:rFonts w:ascii="Times New Roman" w:eastAsia="Cambria" w:hAnsi="Times New Roman" w:cs="Times New Roman"/>
        </w:rPr>
        <w:t xml:space="preserve">lobal </w:t>
      </w:r>
      <w:r w:rsidR="00A02281">
        <w:rPr>
          <w:rFonts w:ascii="Times New Roman" w:eastAsia="Cambria" w:hAnsi="Times New Roman" w:cs="Times New Roman"/>
        </w:rPr>
        <w:t>h</w:t>
      </w:r>
      <w:r w:rsidRPr="00EC17F3">
        <w:rPr>
          <w:rFonts w:ascii="Times New Roman" w:eastAsia="Cambria" w:hAnsi="Times New Roman" w:cs="Times New Roman"/>
        </w:rPr>
        <w:t xml:space="preserve">ealth </w:t>
      </w:r>
      <w:r w:rsidR="00A02281">
        <w:rPr>
          <w:rFonts w:ascii="Times New Roman" w:eastAsia="Cambria" w:hAnsi="Times New Roman" w:cs="Times New Roman"/>
        </w:rPr>
        <w:t>e</w:t>
      </w:r>
      <w:r w:rsidRPr="00EC17F3">
        <w:rPr>
          <w:rFonts w:ascii="Times New Roman" w:eastAsia="Cambria" w:hAnsi="Times New Roman" w:cs="Times New Roman"/>
        </w:rPr>
        <w:t>xpenditure database.</w:t>
      </w:r>
      <w:r w:rsidRPr="00EC17F3">
        <w:rPr>
          <w:rStyle w:val="FootnoteReference"/>
          <w:rFonts w:ascii="Times New Roman" w:eastAsia="Cambria" w:hAnsi="Times New Roman" w:cs="Times New Roman"/>
        </w:rPr>
        <w:footnoteReference w:id="10"/>
      </w:r>
      <w:r w:rsidR="00101144">
        <w:rPr>
          <w:rFonts w:ascii="Times New Roman" w:eastAsia="Cambria" w:hAnsi="Times New Roman" w:cs="Times New Roman"/>
        </w:rPr>
        <w:t xml:space="preserve"> Coverage for those two last variables is limited to subsamples of country-year observations, as described in section 3.1.4.</w:t>
      </w:r>
    </w:p>
    <w:p w14:paraId="41914E0C" w14:textId="77777777" w:rsidR="00D50FA4" w:rsidRPr="00EC17F3" w:rsidRDefault="00D50FA4" w:rsidP="00D50FA4">
      <w:pPr>
        <w:jc w:val="both"/>
        <w:rPr>
          <w:rFonts w:ascii="Times New Roman" w:eastAsia="Cambria" w:hAnsi="Times New Roman" w:cs="Times New Roman"/>
        </w:rPr>
      </w:pPr>
    </w:p>
    <w:p w14:paraId="7E6C002B" w14:textId="77777777" w:rsidR="00D50FA4" w:rsidRPr="00EC17F3" w:rsidRDefault="00E41A1B" w:rsidP="00CC5CC1">
      <w:pPr>
        <w:outlineLvl w:val="0"/>
        <w:rPr>
          <w:rFonts w:ascii="Times New Roman" w:eastAsia="Cambria" w:hAnsi="Times New Roman" w:cs="Times New Roman"/>
        </w:rPr>
      </w:pPr>
      <w:r>
        <w:rPr>
          <w:rFonts w:ascii="Times New Roman" w:eastAsia="Cambria" w:hAnsi="Times New Roman" w:cs="Times New Roman"/>
        </w:rPr>
        <w:t>3</w:t>
      </w:r>
      <w:r w:rsidR="00D50FA4" w:rsidRPr="00EC17F3">
        <w:rPr>
          <w:rFonts w:ascii="Times New Roman" w:eastAsia="Cambria" w:hAnsi="Times New Roman" w:cs="Times New Roman"/>
        </w:rPr>
        <w:t xml:space="preserve">.1.3 Other controls variables </w:t>
      </w:r>
    </w:p>
    <w:p w14:paraId="104F5B59" w14:textId="77777777" w:rsidR="00D50FA4" w:rsidRPr="00EC17F3" w:rsidRDefault="00D50FA4" w:rsidP="00D50FA4">
      <w:pPr>
        <w:jc w:val="both"/>
        <w:rPr>
          <w:rFonts w:ascii="Times New Roman" w:eastAsia="Cambria" w:hAnsi="Times New Roman" w:cs="Times New Roman"/>
        </w:rPr>
      </w:pPr>
    </w:p>
    <w:p w14:paraId="4F702432" w14:textId="77777777" w:rsidR="00D50FA4" w:rsidRPr="00EC17F3" w:rsidRDefault="00D50FA4" w:rsidP="00D50FA4">
      <w:pPr>
        <w:jc w:val="both"/>
        <w:rPr>
          <w:rFonts w:ascii="Times New Roman" w:eastAsia="Cambria" w:hAnsi="Times New Roman" w:cs="Times New Roman"/>
        </w:rPr>
      </w:pPr>
      <w:r w:rsidRPr="00EC17F3">
        <w:rPr>
          <w:rFonts w:ascii="Times New Roman" w:eastAsia="Cambria" w:hAnsi="Times New Roman" w:cs="Times New Roman"/>
        </w:rPr>
        <w:t xml:space="preserve">We obtain information on a series of variables, which likely influence overall patterns on health expenditure, and more importantly on private health expenditure, which </w:t>
      </w:r>
      <w:r w:rsidR="008C2C57">
        <w:rPr>
          <w:rFonts w:ascii="Times New Roman" w:eastAsia="Cambria" w:hAnsi="Times New Roman" w:cs="Times New Roman"/>
        </w:rPr>
        <w:t>we include as control variables</w:t>
      </w:r>
      <w:r w:rsidRPr="00EC17F3">
        <w:rPr>
          <w:rFonts w:ascii="Times New Roman" w:eastAsia="Cambria" w:hAnsi="Times New Roman" w:cs="Times New Roman"/>
        </w:rPr>
        <w:t>. We turn to the demographic and economic reference data from the OECD to obtain, for each observation in our sample, information on population counts, the share of the population aged 65 and older, the civilian employment rate</w:t>
      </w:r>
      <w:r w:rsidR="008A5E6A">
        <w:rPr>
          <w:rFonts w:ascii="Times New Roman" w:eastAsia="Cambria" w:hAnsi="Times New Roman" w:cs="Times New Roman"/>
        </w:rPr>
        <w:t xml:space="preserve"> and public health expenditure</w:t>
      </w:r>
      <w:r w:rsidRPr="00EC17F3">
        <w:rPr>
          <w:rFonts w:ascii="Times New Roman" w:eastAsia="Cambria" w:hAnsi="Times New Roman" w:cs="Times New Roman"/>
        </w:rPr>
        <w:t xml:space="preserve">. We obtain a measure of GDP and the level of total government expenditure per country and year from the World Bank national accounts data, and the OECD </w:t>
      </w:r>
      <w:r w:rsidR="005F135F">
        <w:rPr>
          <w:rFonts w:ascii="Times New Roman" w:eastAsia="Cambria" w:hAnsi="Times New Roman" w:cs="Times New Roman"/>
        </w:rPr>
        <w:t>n</w:t>
      </w:r>
      <w:r w:rsidRPr="00EC17F3">
        <w:rPr>
          <w:rFonts w:ascii="Times New Roman" w:eastAsia="Cambria" w:hAnsi="Times New Roman" w:cs="Times New Roman"/>
        </w:rPr>
        <w:t xml:space="preserve">ational </w:t>
      </w:r>
      <w:r w:rsidR="005F135F">
        <w:rPr>
          <w:rFonts w:ascii="Times New Roman" w:eastAsia="Cambria" w:hAnsi="Times New Roman" w:cs="Times New Roman"/>
        </w:rPr>
        <w:t>a</w:t>
      </w:r>
      <w:r w:rsidRPr="00EC17F3">
        <w:rPr>
          <w:rFonts w:ascii="Times New Roman" w:eastAsia="Cambria" w:hAnsi="Times New Roman" w:cs="Times New Roman"/>
        </w:rPr>
        <w:t xml:space="preserve">ccounts data files. Finally, we retrieve the average income per tax unit from the World Wealth and Income </w:t>
      </w:r>
      <w:r w:rsidR="005F135F">
        <w:rPr>
          <w:rFonts w:ascii="Times New Roman" w:eastAsia="Cambria" w:hAnsi="Times New Roman" w:cs="Times New Roman"/>
        </w:rPr>
        <w:t>D</w:t>
      </w:r>
      <w:r w:rsidRPr="00EC17F3">
        <w:rPr>
          <w:rFonts w:ascii="Times New Roman" w:eastAsia="Cambria" w:hAnsi="Times New Roman" w:cs="Times New Roman"/>
        </w:rPr>
        <w:t xml:space="preserve">atabase. </w:t>
      </w:r>
    </w:p>
    <w:p w14:paraId="1C297B37" w14:textId="77777777" w:rsidR="00D50FA4" w:rsidRPr="00EC17F3" w:rsidRDefault="00D50FA4" w:rsidP="00D50FA4">
      <w:pPr>
        <w:jc w:val="both"/>
        <w:rPr>
          <w:rFonts w:ascii="Times New Roman" w:eastAsia="Cambria" w:hAnsi="Times New Roman" w:cs="Times New Roman"/>
        </w:rPr>
      </w:pPr>
    </w:p>
    <w:p w14:paraId="7E68B9C7" w14:textId="77777777" w:rsidR="00D50FA4" w:rsidRPr="00EC17F3" w:rsidRDefault="00E41A1B" w:rsidP="00CC5CC1">
      <w:pPr>
        <w:jc w:val="both"/>
        <w:outlineLvl w:val="0"/>
        <w:rPr>
          <w:rFonts w:ascii="Times New Roman" w:eastAsia="Cambria" w:hAnsi="Times New Roman" w:cs="Times New Roman"/>
        </w:rPr>
      </w:pPr>
      <w:r>
        <w:rPr>
          <w:rFonts w:ascii="Times New Roman" w:eastAsia="Cambria" w:hAnsi="Times New Roman" w:cs="Times New Roman"/>
        </w:rPr>
        <w:t>3</w:t>
      </w:r>
      <w:r w:rsidR="00D50FA4" w:rsidRPr="00EC17F3">
        <w:rPr>
          <w:rFonts w:ascii="Times New Roman" w:eastAsia="Cambria" w:hAnsi="Times New Roman" w:cs="Times New Roman"/>
        </w:rPr>
        <w:t>.1.4 Summary statistics</w:t>
      </w:r>
    </w:p>
    <w:p w14:paraId="12AC0E77" w14:textId="77777777" w:rsidR="00D50FA4" w:rsidRPr="00EC17F3" w:rsidRDefault="00D50FA4" w:rsidP="00D50FA4">
      <w:pPr>
        <w:jc w:val="both"/>
        <w:rPr>
          <w:rFonts w:ascii="Times New Roman" w:eastAsia="Cambria" w:hAnsi="Times New Roman" w:cs="Times New Roman"/>
        </w:rPr>
      </w:pPr>
    </w:p>
    <w:p w14:paraId="6DB3B8C7" w14:textId="5E047F43" w:rsidR="00D50FA4" w:rsidRPr="00EC17F3" w:rsidRDefault="00D50FA4" w:rsidP="00D50FA4">
      <w:pPr>
        <w:jc w:val="both"/>
        <w:rPr>
          <w:rFonts w:ascii="Times New Roman" w:eastAsia="Cambria" w:hAnsi="Times New Roman" w:cs="Times New Roman"/>
        </w:rPr>
      </w:pPr>
      <w:r w:rsidRPr="00EC17F3">
        <w:rPr>
          <w:rFonts w:ascii="Times New Roman" w:eastAsia="Cambria" w:hAnsi="Times New Roman" w:cs="Times New Roman"/>
        </w:rPr>
        <w:t>We define our main sample as the subset of country-year pairs for which the top 1% income share and the control variables described in the section above are available, corresponding to 453 observations. Although information on total public and private health expenditure is available for each of them, the subsample for which the share of total health expenditure financed out-of-pocket is available is limited to 2</w:t>
      </w:r>
      <w:r w:rsidR="008A5E6A">
        <w:rPr>
          <w:rFonts w:ascii="Times New Roman" w:eastAsia="Cambria" w:hAnsi="Times New Roman" w:cs="Times New Roman"/>
        </w:rPr>
        <w:t>65</w:t>
      </w:r>
      <w:r w:rsidRPr="00EC17F3">
        <w:rPr>
          <w:rFonts w:ascii="Times New Roman" w:eastAsia="Cambria" w:hAnsi="Times New Roman" w:cs="Times New Roman"/>
        </w:rPr>
        <w:t xml:space="preserve"> observations</w:t>
      </w:r>
      <w:r w:rsidR="008A5E6A">
        <w:rPr>
          <w:rFonts w:ascii="Times New Roman" w:eastAsia="Cambria" w:hAnsi="Times New Roman" w:cs="Times New Roman"/>
        </w:rPr>
        <w:t xml:space="preserve"> between 1995 and 2014. The number of observations is reduced to 135 (14 countries, excluding Finland, Japan, Italy, the Netherlands, Norway and Sweden)</w:t>
      </w:r>
      <w:r w:rsidRPr="00EC17F3">
        <w:rPr>
          <w:rFonts w:ascii="Times New Roman" w:eastAsia="Cambria" w:hAnsi="Times New Roman" w:cs="Times New Roman"/>
        </w:rPr>
        <w:t xml:space="preserve"> when considering the share of the population with private health insurance. </w:t>
      </w:r>
    </w:p>
    <w:p w14:paraId="22C4AA6C" w14:textId="77777777" w:rsidR="00D50FA4" w:rsidRPr="00EC17F3" w:rsidRDefault="00D50FA4" w:rsidP="00D50FA4">
      <w:pPr>
        <w:jc w:val="both"/>
        <w:rPr>
          <w:rFonts w:ascii="Times New Roman" w:eastAsia="Cambria" w:hAnsi="Times New Roman" w:cs="Times New Roman"/>
        </w:rPr>
      </w:pPr>
    </w:p>
    <w:p w14:paraId="6DCABC16" w14:textId="77777777" w:rsidR="00D50FA4" w:rsidRDefault="00D50FA4" w:rsidP="00D50FA4">
      <w:pPr>
        <w:jc w:val="both"/>
        <w:rPr>
          <w:rFonts w:ascii="Times New Roman" w:eastAsia="Cambria" w:hAnsi="Times New Roman" w:cs="Times New Roman"/>
        </w:rPr>
      </w:pPr>
      <w:r w:rsidRPr="00EC17F3">
        <w:rPr>
          <w:rFonts w:ascii="Times New Roman" w:eastAsia="Cambria" w:hAnsi="Times New Roman" w:cs="Times New Roman"/>
        </w:rPr>
        <w:t xml:space="preserve">Panel A of </w:t>
      </w:r>
      <w:r w:rsidRPr="003D5F41">
        <w:rPr>
          <w:rFonts w:ascii="Times New Roman" w:eastAsia="Cambria" w:hAnsi="Times New Roman" w:cs="Times New Roman"/>
        </w:rPr>
        <w:t xml:space="preserve">table </w:t>
      </w:r>
      <w:r w:rsidR="0099166B" w:rsidRPr="005117D8">
        <w:rPr>
          <w:rFonts w:ascii="Times New Roman" w:eastAsia="Cambria" w:hAnsi="Times New Roman" w:cs="Times New Roman"/>
        </w:rPr>
        <w:t>1</w:t>
      </w:r>
      <w:r w:rsidRPr="00EC17F3">
        <w:rPr>
          <w:rFonts w:ascii="Times New Roman" w:eastAsia="Cambria" w:hAnsi="Times New Roman" w:cs="Times New Roman"/>
        </w:rPr>
        <w:t xml:space="preserve"> summarizes the descriptive statistics for the main estimating sample. On average, the share of total national income concentrated among the top </w:t>
      </w:r>
      <w:r w:rsidR="004B57DB">
        <w:rPr>
          <w:rFonts w:ascii="Times New Roman" w:eastAsia="Cambria" w:hAnsi="Times New Roman" w:cs="Times New Roman"/>
        </w:rPr>
        <w:t>1%</w:t>
      </w:r>
      <w:r w:rsidRPr="00EC17F3">
        <w:rPr>
          <w:rFonts w:ascii="Times New Roman" w:eastAsia="Cambria" w:hAnsi="Times New Roman" w:cs="Times New Roman"/>
        </w:rPr>
        <w:t xml:space="preserve"> of income earners is 8.5 percent, although it varies between a little less than 4 percent</w:t>
      </w:r>
      <w:r w:rsidR="00E01D8F">
        <w:rPr>
          <w:rFonts w:ascii="Times New Roman" w:eastAsia="Cambria" w:hAnsi="Times New Roman" w:cs="Times New Roman"/>
        </w:rPr>
        <w:t xml:space="preserve"> in Sweden in 1981</w:t>
      </w:r>
      <w:r w:rsidRPr="00EC17F3">
        <w:rPr>
          <w:rFonts w:ascii="Times New Roman" w:eastAsia="Cambria" w:hAnsi="Times New Roman" w:cs="Times New Roman"/>
        </w:rPr>
        <w:t xml:space="preserve"> </w:t>
      </w:r>
      <w:r w:rsidR="000051EB">
        <w:rPr>
          <w:rFonts w:ascii="Times New Roman" w:eastAsia="Cambria" w:hAnsi="Times New Roman" w:cs="Times New Roman"/>
        </w:rPr>
        <w:t>and</w:t>
      </w:r>
      <w:r w:rsidRPr="00EC17F3">
        <w:rPr>
          <w:rFonts w:ascii="Times New Roman" w:eastAsia="Cambria" w:hAnsi="Times New Roman" w:cs="Times New Roman"/>
        </w:rPr>
        <w:t xml:space="preserve"> more than 18 percent in the United States in the second half of the 2000s</w:t>
      </w:r>
      <w:r w:rsidR="000051EB">
        <w:rPr>
          <w:rFonts w:ascii="Times New Roman" w:eastAsia="Cambria" w:hAnsi="Times New Roman" w:cs="Times New Roman"/>
        </w:rPr>
        <w:t>. The share also reaches</w:t>
      </w:r>
      <w:r w:rsidR="008A5E6A">
        <w:rPr>
          <w:rFonts w:ascii="Times New Roman" w:eastAsia="Cambria" w:hAnsi="Times New Roman" w:cs="Times New Roman"/>
        </w:rPr>
        <w:t xml:space="preserve"> a little more than 20% in Colombia in 2010</w:t>
      </w:r>
      <w:r w:rsidRPr="00EC17F3">
        <w:rPr>
          <w:rFonts w:ascii="Times New Roman" w:eastAsia="Cambria" w:hAnsi="Times New Roman" w:cs="Times New Roman"/>
        </w:rPr>
        <w:t xml:space="preserve">. Across countries, the average share of income held by the top one percent increases substantially over the years, from levels around 6 percent in the early 1980s to highs </w:t>
      </w:r>
      <w:r w:rsidR="008A5E6A">
        <w:rPr>
          <w:rFonts w:ascii="Times New Roman" w:eastAsia="Cambria" w:hAnsi="Times New Roman" w:cs="Times New Roman"/>
        </w:rPr>
        <w:t>around 9-</w:t>
      </w:r>
      <w:r w:rsidRPr="00EC17F3">
        <w:rPr>
          <w:rFonts w:ascii="Times New Roman" w:eastAsia="Cambria" w:hAnsi="Times New Roman" w:cs="Times New Roman"/>
        </w:rPr>
        <w:t xml:space="preserve">10 percent from </w:t>
      </w:r>
      <w:r w:rsidR="008A5E6A">
        <w:rPr>
          <w:rFonts w:ascii="Times New Roman" w:eastAsia="Cambria" w:hAnsi="Times New Roman" w:cs="Times New Roman"/>
        </w:rPr>
        <w:t xml:space="preserve">the </w:t>
      </w:r>
      <w:proofErr w:type="spellStart"/>
      <w:r w:rsidR="008A5E6A">
        <w:rPr>
          <w:rFonts w:ascii="Times New Roman" w:eastAsia="Cambria" w:hAnsi="Times New Roman" w:cs="Times New Roman"/>
        </w:rPr>
        <w:t xml:space="preserve">mid </w:t>
      </w:r>
      <w:r w:rsidRPr="00EC17F3">
        <w:rPr>
          <w:rFonts w:ascii="Times New Roman" w:eastAsia="Cambria" w:hAnsi="Times New Roman" w:cs="Times New Roman"/>
        </w:rPr>
        <w:t>20</w:t>
      </w:r>
      <w:r w:rsidR="008A5E6A">
        <w:rPr>
          <w:rFonts w:ascii="Times New Roman" w:eastAsia="Cambria" w:hAnsi="Times New Roman" w:cs="Times New Roman"/>
        </w:rPr>
        <w:t>00s</w:t>
      </w:r>
      <w:proofErr w:type="spellEnd"/>
      <w:r w:rsidRPr="00EC17F3">
        <w:rPr>
          <w:rFonts w:ascii="Times New Roman" w:eastAsia="Cambria" w:hAnsi="Times New Roman" w:cs="Times New Roman"/>
        </w:rPr>
        <w:t xml:space="preserve"> onwards. Although specific shares vary across countries, the upward trend over the past three decades is observed in most countries in the </w:t>
      </w:r>
      <w:r w:rsidRPr="00EC17F3">
        <w:rPr>
          <w:rFonts w:ascii="Times New Roman" w:eastAsia="Cambria" w:hAnsi="Times New Roman" w:cs="Times New Roman"/>
        </w:rPr>
        <w:lastRenderedPageBreak/>
        <w:t xml:space="preserve">sample. The Gini coefficient </w:t>
      </w:r>
      <w:r w:rsidR="00447FAF">
        <w:rPr>
          <w:rFonts w:ascii="Times New Roman" w:eastAsia="Cambria" w:hAnsi="Times New Roman" w:cs="Times New Roman"/>
        </w:rPr>
        <w:t>generally increases within countries through time</w:t>
      </w:r>
      <w:r w:rsidRPr="00EC17F3">
        <w:rPr>
          <w:rFonts w:ascii="Times New Roman" w:eastAsia="Cambria" w:hAnsi="Times New Roman" w:cs="Times New Roman"/>
        </w:rPr>
        <w:t>, but its distribution is more compressed, with an average of 0.3, a minimum of 0.2 (Sweden 1983 and 1991) and a maximum of 0.4 (United States in 2013 and 2014). On average, the ratio of the upper bound in disposable income of the 50</w:t>
      </w:r>
      <w:r w:rsidRPr="00EC17F3">
        <w:rPr>
          <w:rFonts w:ascii="Times New Roman" w:eastAsia="Cambria" w:hAnsi="Times New Roman" w:cs="Times New Roman"/>
          <w:vertAlign w:val="superscript"/>
        </w:rPr>
        <w:t>th</w:t>
      </w:r>
      <w:r w:rsidRPr="00EC17F3">
        <w:rPr>
          <w:rFonts w:ascii="Times New Roman" w:eastAsia="Cambria" w:hAnsi="Times New Roman" w:cs="Times New Roman"/>
        </w:rPr>
        <w:t xml:space="preserve"> and the 10</w:t>
      </w:r>
      <w:r w:rsidRPr="00EC17F3">
        <w:rPr>
          <w:rFonts w:ascii="Times New Roman" w:eastAsia="Cambria" w:hAnsi="Times New Roman" w:cs="Times New Roman"/>
          <w:vertAlign w:val="superscript"/>
        </w:rPr>
        <w:t xml:space="preserve">th </w:t>
      </w:r>
      <w:r w:rsidRPr="00EC17F3">
        <w:rPr>
          <w:rFonts w:ascii="Times New Roman" w:eastAsia="Cambria" w:hAnsi="Times New Roman" w:cs="Times New Roman"/>
        </w:rPr>
        <w:t>percentile of the income distribution is greater than the same ratio for the upper bound in disposable income of the 90</w:t>
      </w:r>
      <w:r w:rsidRPr="00EC17F3">
        <w:rPr>
          <w:rFonts w:ascii="Times New Roman" w:eastAsia="Cambria" w:hAnsi="Times New Roman" w:cs="Times New Roman"/>
          <w:vertAlign w:val="superscript"/>
        </w:rPr>
        <w:t>th</w:t>
      </w:r>
      <w:r w:rsidRPr="00EC17F3">
        <w:rPr>
          <w:rFonts w:ascii="Times New Roman" w:eastAsia="Cambria" w:hAnsi="Times New Roman" w:cs="Times New Roman"/>
        </w:rPr>
        <w:t xml:space="preserve"> to the 50</w:t>
      </w:r>
      <w:r w:rsidRPr="00EC17F3">
        <w:rPr>
          <w:rFonts w:ascii="Times New Roman" w:eastAsia="Cambria" w:hAnsi="Times New Roman" w:cs="Times New Roman"/>
          <w:vertAlign w:val="superscript"/>
        </w:rPr>
        <w:t>th</w:t>
      </w:r>
      <w:r w:rsidRPr="00EC17F3">
        <w:rPr>
          <w:rFonts w:ascii="Times New Roman" w:eastAsia="Cambria" w:hAnsi="Times New Roman" w:cs="Times New Roman"/>
        </w:rPr>
        <w:t xml:space="preserve"> percentile, respectively of 2.10 and 1.90</w:t>
      </w:r>
      <w:r w:rsidR="00C32F48">
        <w:rPr>
          <w:rFonts w:ascii="Times New Roman" w:eastAsia="Cambria" w:hAnsi="Times New Roman" w:cs="Times New Roman"/>
        </w:rPr>
        <w:t>, but the evolution of these ratio</w:t>
      </w:r>
      <w:r w:rsidR="003D6204">
        <w:rPr>
          <w:rFonts w:ascii="Times New Roman" w:eastAsia="Cambria" w:hAnsi="Times New Roman" w:cs="Times New Roman"/>
        </w:rPr>
        <w:t>s</w:t>
      </w:r>
      <w:r w:rsidR="00C32F48">
        <w:rPr>
          <w:rFonts w:ascii="Times New Roman" w:eastAsia="Cambria" w:hAnsi="Times New Roman" w:cs="Times New Roman"/>
        </w:rPr>
        <w:t xml:space="preserve"> through time varies across countries</w:t>
      </w:r>
      <w:r w:rsidRPr="00EC17F3">
        <w:rPr>
          <w:rFonts w:ascii="Times New Roman" w:eastAsia="Cambria" w:hAnsi="Times New Roman" w:cs="Times New Roman"/>
        </w:rPr>
        <w:t xml:space="preserve">. Inequality at the top of the distribution is </w:t>
      </w:r>
      <w:r w:rsidR="00C32F48">
        <w:rPr>
          <w:rFonts w:ascii="Times New Roman" w:eastAsia="Cambria" w:hAnsi="Times New Roman" w:cs="Times New Roman"/>
        </w:rPr>
        <w:t xml:space="preserve">on average </w:t>
      </w:r>
      <w:r w:rsidRPr="00EC17F3">
        <w:rPr>
          <w:rFonts w:ascii="Times New Roman" w:eastAsia="Cambria" w:hAnsi="Times New Roman" w:cs="Times New Roman"/>
        </w:rPr>
        <w:t xml:space="preserve">lowest in Denmark, Norway, Finland and Sweden, while it is higher in New Zealand, the UK and the US. At the bottom of the distribution, lower levels of inequality in the sample are found in Sweden and the Netherlands, while higher levels are found in the United States. </w:t>
      </w:r>
    </w:p>
    <w:p w14:paraId="159E8371" w14:textId="77777777" w:rsidR="00D50FA4" w:rsidRPr="00EC17F3" w:rsidRDefault="00D50FA4" w:rsidP="00D50FA4">
      <w:pPr>
        <w:jc w:val="both"/>
        <w:rPr>
          <w:rFonts w:ascii="Times New Roman" w:eastAsia="Cambria" w:hAnsi="Times New Roman" w:cs="Times New Roman"/>
        </w:rPr>
      </w:pPr>
    </w:p>
    <w:p w14:paraId="7D254BCE" w14:textId="77777777" w:rsidR="00797582" w:rsidRDefault="00D50FA4" w:rsidP="00D73628">
      <w:pPr>
        <w:jc w:val="both"/>
        <w:rPr>
          <w:rFonts w:ascii="Times New Roman" w:eastAsia="Cambria" w:hAnsi="Times New Roman" w:cs="Times New Roman"/>
        </w:rPr>
      </w:pPr>
      <w:r w:rsidRPr="00EC17F3">
        <w:rPr>
          <w:rFonts w:ascii="Times New Roman" w:eastAsia="Cambria" w:hAnsi="Times New Roman" w:cs="Times New Roman"/>
        </w:rPr>
        <w:t>On average, 27 percent of all health expenditure is privately financed</w:t>
      </w:r>
      <w:r w:rsidR="00C32F48">
        <w:rPr>
          <w:rFonts w:ascii="Times New Roman" w:eastAsia="Cambria" w:hAnsi="Times New Roman" w:cs="Times New Roman"/>
        </w:rPr>
        <w:t>. I</w:t>
      </w:r>
      <w:r w:rsidR="00447FAF">
        <w:rPr>
          <w:rFonts w:ascii="Times New Roman" w:eastAsia="Cambria" w:hAnsi="Times New Roman" w:cs="Times New Roman"/>
        </w:rPr>
        <w:t xml:space="preserve">n countries for which information on out-of-pocket expenditure is available, it represents on average </w:t>
      </w:r>
      <w:r w:rsidRPr="00EC17F3">
        <w:rPr>
          <w:rFonts w:ascii="Times New Roman" w:eastAsia="Cambria" w:hAnsi="Times New Roman" w:cs="Times New Roman"/>
        </w:rPr>
        <w:t xml:space="preserve">18 percent </w:t>
      </w:r>
      <w:r w:rsidR="00447FAF">
        <w:rPr>
          <w:rFonts w:ascii="Times New Roman" w:eastAsia="Cambria" w:hAnsi="Times New Roman" w:cs="Times New Roman"/>
        </w:rPr>
        <w:t>of health expenditure</w:t>
      </w:r>
      <w:r w:rsidRPr="00EC17F3">
        <w:rPr>
          <w:rFonts w:ascii="Times New Roman" w:eastAsia="Cambria" w:hAnsi="Times New Roman" w:cs="Times New Roman"/>
        </w:rPr>
        <w:t xml:space="preserve">. </w:t>
      </w:r>
      <w:r w:rsidR="00447FAF">
        <w:rPr>
          <w:rFonts w:ascii="Times New Roman" w:eastAsia="Cambria" w:hAnsi="Times New Roman" w:cs="Times New Roman"/>
        </w:rPr>
        <w:t>Private</w:t>
      </w:r>
      <w:r w:rsidRPr="00EC17F3">
        <w:rPr>
          <w:rFonts w:ascii="Times New Roman" w:eastAsia="Cambria" w:hAnsi="Times New Roman" w:cs="Times New Roman"/>
        </w:rPr>
        <w:t xml:space="preserve"> health insurance</w:t>
      </w:r>
      <w:r w:rsidR="00BB0394">
        <w:rPr>
          <w:rFonts w:ascii="Times New Roman" w:eastAsia="Cambria" w:hAnsi="Times New Roman" w:cs="Times New Roman"/>
        </w:rPr>
        <w:t xml:space="preserve"> coverage rates average 37 percent across our sample, h</w:t>
      </w:r>
      <w:r w:rsidRPr="00EC17F3">
        <w:rPr>
          <w:rFonts w:ascii="Times New Roman" w:eastAsia="Cambria" w:hAnsi="Times New Roman" w:cs="Times New Roman"/>
        </w:rPr>
        <w:t>owever, the share of the population with at least partial private health insurance coverage is highly variable across countries in our sample,</w:t>
      </w:r>
      <w:r w:rsidR="00743EEF">
        <w:rPr>
          <w:rFonts w:ascii="Times New Roman" w:eastAsia="Cambria" w:hAnsi="Times New Roman" w:cs="Times New Roman"/>
        </w:rPr>
        <w:t xml:space="preserve"> </w:t>
      </w:r>
      <w:r w:rsidRPr="00EC17F3">
        <w:rPr>
          <w:rFonts w:ascii="Times New Roman" w:eastAsia="Cambria" w:hAnsi="Times New Roman" w:cs="Times New Roman"/>
        </w:rPr>
        <w:t xml:space="preserve">from </w:t>
      </w:r>
      <w:r w:rsidR="00743EEF">
        <w:rPr>
          <w:rFonts w:ascii="Times New Roman" w:eastAsia="Cambria" w:hAnsi="Times New Roman" w:cs="Times New Roman"/>
        </w:rPr>
        <w:t xml:space="preserve">as little as </w:t>
      </w:r>
      <w:r w:rsidRPr="00EC17F3">
        <w:rPr>
          <w:rFonts w:ascii="Times New Roman" w:eastAsia="Cambria" w:hAnsi="Times New Roman" w:cs="Times New Roman"/>
        </w:rPr>
        <w:t>0.80 percent of the population in Denmark in 2001 to 91.6 percent of the population in France in 2006.</w:t>
      </w:r>
      <w:r w:rsidRPr="00EC17F3">
        <w:rPr>
          <w:rStyle w:val="FootnoteReference"/>
          <w:rFonts w:ascii="Times New Roman" w:eastAsia="Cambria" w:hAnsi="Times New Roman" w:cs="Times New Roman"/>
        </w:rPr>
        <w:footnoteReference w:id="11"/>
      </w:r>
      <w:r w:rsidRPr="00EC17F3">
        <w:rPr>
          <w:rFonts w:ascii="Times New Roman" w:eastAsia="Cambria" w:hAnsi="Times New Roman" w:cs="Times New Roman"/>
        </w:rPr>
        <w:t xml:space="preserve"> Although coverage rates vary through time within countries, stark differences are in general observed across countries</w:t>
      </w:r>
      <w:r w:rsidR="00BB0394">
        <w:rPr>
          <w:rFonts w:ascii="Times New Roman" w:eastAsia="Cambria" w:hAnsi="Times New Roman" w:cs="Times New Roman"/>
        </w:rPr>
        <w:t xml:space="preserve"> not within them. </w:t>
      </w:r>
    </w:p>
    <w:p w14:paraId="1ADA2229" w14:textId="77777777" w:rsidR="00797582" w:rsidRDefault="00797582" w:rsidP="00432B0E">
      <w:pPr>
        <w:jc w:val="both"/>
        <w:rPr>
          <w:rFonts w:ascii="Times New Roman" w:eastAsia="Cambria" w:hAnsi="Times New Roman" w:cs="Times New Roman"/>
        </w:rPr>
      </w:pPr>
    </w:p>
    <w:p w14:paraId="3D5D5058" w14:textId="77777777" w:rsidR="00D50FA4" w:rsidRPr="00EC17F3" w:rsidRDefault="00072EEC">
      <w:pPr>
        <w:jc w:val="both"/>
        <w:rPr>
          <w:rFonts w:ascii="Times New Roman" w:eastAsia="Cambria" w:hAnsi="Times New Roman" w:cs="Times New Roman"/>
        </w:rPr>
      </w:pPr>
      <w:r>
        <w:rPr>
          <w:rFonts w:ascii="Times New Roman" w:eastAsia="Cambria" w:hAnsi="Times New Roman" w:cs="Times New Roman"/>
        </w:rPr>
        <w:t>Table 1 presents s</w:t>
      </w:r>
      <w:r w:rsidR="00797582">
        <w:rPr>
          <w:rFonts w:ascii="Times New Roman" w:eastAsia="Cambria" w:hAnsi="Times New Roman" w:cs="Times New Roman"/>
        </w:rPr>
        <w:t>ummary statistics for our cross-</w:t>
      </w:r>
      <w:r>
        <w:rPr>
          <w:rFonts w:ascii="Times New Roman" w:eastAsia="Cambria" w:hAnsi="Times New Roman" w:cs="Times New Roman"/>
        </w:rPr>
        <w:t xml:space="preserve">country sample. </w:t>
      </w:r>
      <w:r w:rsidR="00797582">
        <w:rPr>
          <w:rFonts w:ascii="Times New Roman" w:eastAsia="Cambria" w:hAnsi="Times New Roman" w:cs="Times New Roman"/>
        </w:rPr>
        <w:t>The means reveal</w:t>
      </w:r>
      <w:r w:rsidR="00D50FA4" w:rsidRPr="00EC17F3">
        <w:rPr>
          <w:rFonts w:ascii="Times New Roman" w:eastAsia="Cambria" w:hAnsi="Times New Roman" w:cs="Times New Roman"/>
        </w:rPr>
        <w:t xml:space="preserve"> some important differences within and across countries in terms of employment rates, total government expenditure, gross domestic product, and average income per tax unit. Noticeable upward trends in the share of the population aged 65 or more, a segment of the population more likely to be heavy users of health care a</w:t>
      </w:r>
      <w:r w:rsidR="00C72BC1">
        <w:rPr>
          <w:rFonts w:ascii="Times New Roman" w:eastAsia="Cambria" w:hAnsi="Times New Roman" w:cs="Times New Roman"/>
        </w:rPr>
        <w:t xml:space="preserve">lthough </w:t>
      </w:r>
      <w:r w:rsidR="00D50FA4" w:rsidRPr="00EC17F3">
        <w:rPr>
          <w:rFonts w:ascii="Times New Roman" w:eastAsia="Cambria" w:hAnsi="Times New Roman" w:cs="Times New Roman"/>
        </w:rPr>
        <w:t>more likely to be covered by public health insurance plans</w:t>
      </w:r>
      <w:r w:rsidR="00C72BC1">
        <w:rPr>
          <w:rFonts w:ascii="Times New Roman" w:eastAsia="Cambria" w:hAnsi="Times New Roman" w:cs="Times New Roman"/>
        </w:rPr>
        <w:t xml:space="preserve"> in many countries</w:t>
      </w:r>
      <w:r w:rsidR="00D50FA4" w:rsidRPr="00EC17F3">
        <w:rPr>
          <w:rFonts w:ascii="Times New Roman" w:eastAsia="Cambria" w:hAnsi="Times New Roman" w:cs="Times New Roman"/>
        </w:rPr>
        <w:t xml:space="preserve">, </w:t>
      </w:r>
      <w:r w:rsidR="00C72BC1">
        <w:rPr>
          <w:rFonts w:ascii="Times New Roman" w:eastAsia="Cambria" w:hAnsi="Times New Roman" w:cs="Times New Roman"/>
        </w:rPr>
        <w:t>also potentially</w:t>
      </w:r>
      <w:r w:rsidR="00D50FA4" w:rsidRPr="00EC17F3">
        <w:rPr>
          <w:rFonts w:ascii="Times New Roman" w:eastAsia="Cambria" w:hAnsi="Times New Roman" w:cs="Times New Roman"/>
        </w:rPr>
        <w:t xml:space="preserve"> play</w:t>
      </w:r>
      <w:r w:rsidR="00C72BC1">
        <w:rPr>
          <w:rFonts w:ascii="Times New Roman" w:eastAsia="Cambria" w:hAnsi="Times New Roman" w:cs="Times New Roman"/>
        </w:rPr>
        <w:t>s</w:t>
      </w:r>
      <w:r w:rsidR="00D50FA4" w:rsidRPr="00EC17F3">
        <w:rPr>
          <w:rFonts w:ascii="Times New Roman" w:eastAsia="Cambria" w:hAnsi="Times New Roman" w:cs="Times New Roman"/>
        </w:rPr>
        <w:t xml:space="preserve"> an important role. All these variables will be accounted for in our main empirical analysis. </w:t>
      </w:r>
    </w:p>
    <w:p w14:paraId="3FE00474" w14:textId="77777777" w:rsidR="00D50FA4" w:rsidRPr="00EC17F3" w:rsidRDefault="00D50FA4" w:rsidP="00D50FA4">
      <w:pPr>
        <w:jc w:val="both"/>
        <w:rPr>
          <w:rFonts w:ascii="Times New Roman" w:eastAsia="Cambria" w:hAnsi="Times New Roman" w:cs="Times New Roman"/>
        </w:rPr>
      </w:pPr>
    </w:p>
    <w:p w14:paraId="1017B0BB" w14:textId="77777777" w:rsidR="00D50FA4" w:rsidRPr="00EC17F3" w:rsidRDefault="00D50FA4" w:rsidP="00D50FA4">
      <w:pPr>
        <w:jc w:val="both"/>
        <w:rPr>
          <w:rFonts w:ascii="Times New Roman" w:eastAsia="Cambria" w:hAnsi="Times New Roman" w:cs="Times New Roman"/>
        </w:rPr>
      </w:pPr>
    </w:p>
    <w:p w14:paraId="77E3C08F" w14:textId="77777777" w:rsidR="00D50FA4" w:rsidRDefault="001207ED" w:rsidP="00CC5CC1">
      <w:pPr>
        <w:jc w:val="both"/>
        <w:outlineLvl w:val="0"/>
        <w:rPr>
          <w:rFonts w:ascii="Times New Roman" w:eastAsia="Cambria" w:hAnsi="Times New Roman" w:cs="Times New Roman"/>
          <w:b/>
        </w:rPr>
      </w:pPr>
      <w:r>
        <w:rPr>
          <w:rFonts w:ascii="Times New Roman" w:eastAsia="Cambria" w:hAnsi="Times New Roman" w:cs="Times New Roman"/>
          <w:b/>
        </w:rPr>
        <w:t>3</w:t>
      </w:r>
      <w:r w:rsidR="00D50FA4">
        <w:rPr>
          <w:rFonts w:ascii="Times New Roman" w:eastAsia="Cambria" w:hAnsi="Times New Roman" w:cs="Times New Roman"/>
          <w:b/>
        </w:rPr>
        <w:t xml:space="preserve">.2 </w:t>
      </w:r>
      <w:r w:rsidR="00D50FA4" w:rsidRPr="00EC17F3">
        <w:rPr>
          <w:rFonts w:ascii="Times New Roman" w:eastAsia="Cambria" w:hAnsi="Times New Roman" w:cs="Times New Roman"/>
          <w:b/>
        </w:rPr>
        <w:t>Results</w:t>
      </w:r>
    </w:p>
    <w:p w14:paraId="775F2ADA" w14:textId="77777777" w:rsidR="00D50FA4" w:rsidRDefault="00D50FA4" w:rsidP="00D50FA4">
      <w:pPr>
        <w:jc w:val="both"/>
        <w:rPr>
          <w:rFonts w:ascii="Times New Roman" w:eastAsia="Cambria" w:hAnsi="Times New Roman" w:cs="Times New Roman"/>
          <w:b/>
        </w:rPr>
      </w:pPr>
    </w:p>
    <w:p w14:paraId="18FBE59C" w14:textId="77777777" w:rsidR="00D50FA4" w:rsidRPr="00EC17F3" w:rsidRDefault="00D50FA4" w:rsidP="00D50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Menlo Regular"/>
          <w:color w:val="000000"/>
          <w:szCs w:val="22"/>
        </w:rPr>
      </w:pPr>
      <w:r w:rsidRPr="00EC17F3">
        <w:rPr>
          <w:rFonts w:ascii="Times New Roman" w:eastAsia="Cambria" w:hAnsi="Times New Roman" w:cs="Menlo Regular"/>
          <w:color w:val="000000"/>
          <w:szCs w:val="22"/>
        </w:rPr>
        <w:t xml:space="preserve">We empirically investigate the relationship between the income share </w:t>
      </w:r>
      <w:r w:rsidR="00B72005">
        <w:rPr>
          <w:rFonts w:ascii="Times New Roman" w:eastAsia="Cambria" w:hAnsi="Times New Roman" w:cs="Menlo Regular"/>
          <w:color w:val="000000"/>
          <w:szCs w:val="22"/>
        </w:rPr>
        <w:t>accruing to</w:t>
      </w:r>
      <w:r w:rsidRPr="00EC17F3">
        <w:rPr>
          <w:rFonts w:ascii="Times New Roman" w:eastAsia="Cambria" w:hAnsi="Times New Roman" w:cs="Menlo Regular"/>
          <w:color w:val="000000"/>
          <w:szCs w:val="22"/>
        </w:rPr>
        <w:t xml:space="preserve"> the top 1% of the income distribution and each of our measures </w:t>
      </w:r>
      <w:r w:rsidR="00B72005">
        <w:rPr>
          <w:rFonts w:ascii="Times New Roman" w:eastAsia="Cambria" w:hAnsi="Times New Roman" w:cs="Menlo Regular"/>
          <w:color w:val="000000"/>
          <w:szCs w:val="22"/>
        </w:rPr>
        <w:t>of the role of private finance</w:t>
      </w:r>
      <w:r w:rsidRPr="00EC17F3">
        <w:rPr>
          <w:rFonts w:ascii="Times New Roman" w:eastAsia="Cambria" w:hAnsi="Times New Roman" w:cs="Menlo Regular"/>
          <w:color w:val="000000"/>
          <w:szCs w:val="22"/>
        </w:rPr>
        <w:t xml:space="preserve"> in health care with the following specification:</w:t>
      </w:r>
    </w:p>
    <w:p w14:paraId="12A44141" w14:textId="77777777" w:rsidR="00D50FA4" w:rsidRPr="00EC17F3" w:rsidRDefault="00D50FA4" w:rsidP="00D50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Menlo Regular"/>
          <w:color w:val="000000"/>
          <w:szCs w:val="22"/>
        </w:rPr>
      </w:pPr>
    </w:p>
    <w:p w14:paraId="42681B34" w14:textId="77777777" w:rsidR="001C56B4" w:rsidRPr="008921B0" w:rsidRDefault="001C56B4" w:rsidP="001C5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Times New Roman"/>
          <w:i/>
          <w:color w:val="000000"/>
          <w:lang w:val="fr-CA"/>
        </w:rPr>
      </w:pPr>
      <w:r w:rsidRPr="008921B0">
        <w:rPr>
          <w:rFonts w:ascii="Times New Roman" w:eastAsia="Cambria" w:hAnsi="Times New Roman" w:cs="Menlo Regular"/>
          <w:i/>
          <w:color w:val="000000"/>
          <w:sz w:val="23"/>
          <w:szCs w:val="22"/>
          <w:lang w:val="fr-CA"/>
        </w:rPr>
        <w:t xml:space="preserve">Ln </w:t>
      </w:r>
      <w:proofErr w:type="spellStart"/>
      <w:r w:rsidRPr="008921B0">
        <w:rPr>
          <w:rFonts w:ascii="Times New Roman" w:eastAsia="Cambria" w:hAnsi="Times New Roman" w:cs="Menlo Regular"/>
          <w:i/>
          <w:color w:val="000000"/>
          <w:sz w:val="23"/>
          <w:szCs w:val="22"/>
          <w:lang w:val="fr-CA"/>
        </w:rPr>
        <w:t>Private</w:t>
      </w:r>
      <w:r w:rsidRPr="008921B0">
        <w:rPr>
          <w:rFonts w:ascii="Times New Roman" w:eastAsia="Cambria" w:hAnsi="Times New Roman" w:cs="Menlo Regular"/>
          <w:i/>
          <w:color w:val="000000"/>
          <w:sz w:val="23"/>
          <w:szCs w:val="22"/>
          <w:vertAlign w:val="subscript"/>
          <w:lang w:val="fr-CA"/>
        </w:rPr>
        <w:t>ct</w:t>
      </w:r>
      <w:proofErr w:type="spellEnd"/>
      <w:r w:rsidRPr="008921B0">
        <w:rPr>
          <w:rFonts w:ascii="Times New Roman" w:eastAsia="Cambria" w:hAnsi="Times New Roman" w:cs="Menlo Regular"/>
          <w:i/>
          <w:color w:val="000000"/>
          <w:sz w:val="23"/>
          <w:szCs w:val="22"/>
          <w:lang w:val="fr-CA"/>
        </w:rPr>
        <w:t xml:space="preserve"> = </w:t>
      </w:r>
      <w:r w:rsidRPr="001048C4">
        <w:rPr>
          <w:rFonts w:ascii="Times New Roman" w:eastAsia="Cambria" w:hAnsi="Times New Roman" w:cs="Times New Roman"/>
          <w:i/>
          <w:color w:val="000000"/>
          <w:sz w:val="23"/>
        </w:rPr>
        <w:sym w:font="Symbol" w:char="F061"/>
      </w:r>
      <w:r w:rsidRPr="008921B0">
        <w:rPr>
          <w:rFonts w:ascii="Times New Roman" w:eastAsia="Cambria" w:hAnsi="Times New Roman" w:cs="Times New Roman"/>
          <w:i/>
          <w:color w:val="000000"/>
          <w:sz w:val="23"/>
          <w:lang w:val="fr-CA"/>
        </w:rPr>
        <w:t xml:space="preserve"> + </w:t>
      </w:r>
      <w:r w:rsidRPr="001048C4">
        <w:rPr>
          <w:rFonts w:ascii="Times New Roman" w:eastAsia="Cambria" w:hAnsi="Times New Roman" w:cs="Times New Roman"/>
          <w:i/>
          <w:color w:val="000000"/>
          <w:sz w:val="23"/>
        </w:rPr>
        <w:sym w:font="Symbol" w:char="F062"/>
      </w:r>
      <w:r w:rsidRPr="008921B0">
        <w:rPr>
          <w:rFonts w:ascii="Times New Roman" w:eastAsia="Cambria" w:hAnsi="Times New Roman" w:cs="Times New Roman"/>
          <w:i/>
          <w:color w:val="000000"/>
          <w:sz w:val="23"/>
          <w:lang w:val="fr-CA"/>
        </w:rPr>
        <w:t xml:space="preserve"> Ln </w:t>
      </w:r>
      <w:proofErr w:type="spellStart"/>
      <w:r w:rsidRPr="008921B0">
        <w:rPr>
          <w:rFonts w:ascii="Times New Roman" w:eastAsia="Cambria" w:hAnsi="Times New Roman" w:cs="Times New Roman"/>
          <w:i/>
          <w:color w:val="000000"/>
          <w:sz w:val="23"/>
          <w:lang w:val="fr-CA"/>
        </w:rPr>
        <w:t>Inequality</w:t>
      </w:r>
      <w:r w:rsidRPr="008921B0">
        <w:rPr>
          <w:rFonts w:ascii="Times New Roman" w:eastAsia="Cambria" w:hAnsi="Times New Roman" w:cs="Times New Roman"/>
          <w:i/>
          <w:color w:val="000000"/>
          <w:sz w:val="23"/>
          <w:vertAlign w:val="subscript"/>
          <w:lang w:val="fr-CA"/>
        </w:rPr>
        <w:t>c</w:t>
      </w:r>
      <w:proofErr w:type="spellEnd"/>
      <w:r w:rsidRPr="008921B0">
        <w:rPr>
          <w:rFonts w:ascii="Times New Roman" w:eastAsia="Cambria" w:hAnsi="Times New Roman" w:cs="Times New Roman"/>
          <w:i/>
          <w:color w:val="000000"/>
          <w:sz w:val="23"/>
          <w:vertAlign w:val="subscript"/>
          <w:lang w:val="fr-CA"/>
        </w:rPr>
        <w:t>, t-k</w:t>
      </w:r>
      <w:r w:rsidRPr="008921B0">
        <w:rPr>
          <w:rFonts w:ascii="Times New Roman" w:eastAsia="Cambria" w:hAnsi="Times New Roman" w:cs="Times New Roman"/>
          <w:i/>
          <w:color w:val="000000"/>
          <w:sz w:val="23"/>
          <w:lang w:val="fr-CA"/>
        </w:rPr>
        <w:t xml:space="preserve"> + </w:t>
      </w:r>
      <w:r w:rsidRPr="001048C4">
        <w:rPr>
          <w:rFonts w:ascii="Times New Roman" w:eastAsia="Cambria" w:hAnsi="Times New Roman" w:cs="Times New Roman"/>
          <w:i/>
          <w:color w:val="000000"/>
          <w:sz w:val="23"/>
        </w:rPr>
        <w:sym w:font="Symbol" w:char="F067"/>
      </w:r>
      <w:r w:rsidRPr="008921B0">
        <w:rPr>
          <w:rFonts w:ascii="Times New Roman" w:eastAsia="Cambria" w:hAnsi="Times New Roman" w:cs="Times New Roman"/>
          <w:i/>
          <w:color w:val="000000"/>
          <w:sz w:val="23"/>
          <w:lang w:val="fr-CA"/>
        </w:rPr>
        <w:t xml:space="preserve"> Ln </w:t>
      </w:r>
      <w:proofErr w:type="spellStart"/>
      <w:r w:rsidRPr="008921B0">
        <w:rPr>
          <w:rFonts w:ascii="Times New Roman" w:eastAsia="Cambria" w:hAnsi="Times New Roman" w:cs="Times New Roman"/>
          <w:i/>
          <w:color w:val="000000"/>
          <w:sz w:val="23"/>
          <w:lang w:val="fr-CA"/>
        </w:rPr>
        <w:t>Public</w:t>
      </w:r>
      <w:r w:rsidRPr="008921B0">
        <w:rPr>
          <w:rFonts w:ascii="Times New Roman" w:eastAsia="Cambria" w:hAnsi="Times New Roman" w:cs="Times New Roman"/>
          <w:i/>
          <w:color w:val="000000"/>
          <w:sz w:val="23"/>
          <w:vertAlign w:val="subscript"/>
          <w:lang w:val="fr-CA"/>
        </w:rPr>
        <w:t>ct</w:t>
      </w:r>
      <w:proofErr w:type="spellEnd"/>
      <w:r w:rsidRPr="008921B0">
        <w:rPr>
          <w:rFonts w:ascii="Times New Roman" w:eastAsia="Cambria" w:hAnsi="Times New Roman" w:cs="Times New Roman"/>
          <w:i/>
          <w:color w:val="000000"/>
          <w:sz w:val="23"/>
          <w:lang w:val="fr-CA"/>
        </w:rPr>
        <w:t xml:space="preserve"> + </w:t>
      </w:r>
      <w:proofErr w:type="spellStart"/>
      <w:r w:rsidRPr="008921B0">
        <w:rPr>
          <w:rFonts w:ascii="Times New Roman" w:eastAsia="Cambria" w:hAnsi="Times New Roman" w:cs="Times New Roman"/>
          <w:i/>
          <w:color w:val="000000"/>
          <w:sz w:val="23"/>
          <w:lang w:val="fr-CA"/>
        </w:rPr>
        <w:t>X'</w:t>
      </w:r>
      <w:r w:rsidRPr="008921B0">
        <w:rPr>
          <w:rFonts w:ascii="Times New Roman" w:eastAsia="Cambria" w:hAnsi="Times New Roman" w:cs="Times New Roman"/>
          <w:i/>
          <w:color w:val="000000"/>
          <w:sz w:val="23"/>
          <w:vertAlign w:val="subscript"/>
          <w:lang w:val="fr-CA"/>
        </w:rPr>
        <w:t>ct</w:t>
      </w:r>
      <w:proofErr w:type="spellEnd"/>
      <w:r w:rsidRPr="008921B0">
        <w:rPr>
          <w:rFonts w:ascii="Times New Roman" w:eastAsia="Cambria" w:hAnsi="Times New Roman" w:cs="Times New Roman"/>
          <w:i/>
          <w:color w:val="000000"/>
          <w:sz w:val="23"/>
          <w:vertAlign w:val="subscript"/>
          <w:lang w:val="fr-CA"/>
        </w:rPr>
        <w:t xml:space="preserve"> </w:t>
      </w:r>
      <w:r w:rsidRPr="008921B0">
        <w:rPr>
          <w:rFonts w:ascii="Times New Roman" w:eastAsia="Cambria" w:hAnsi="Times New Roman" w:cs="Times New Roman"/>
          <w:i/>
          <w:color w:val="000000"/>
          <w:sz w:val="23"/>
          <w:lang w:val="fr-CA"/>
        </w:rPr>
        <w:t xml:space="preserve">∂ + </w:t>
      </w:r>
      <w:r w:rsidRPr="001048C4">
        <w:rPr>
          <w:rFonts w:ascii="Times New Roman" w:eastAsia="Cambria" w:hAnsi="Times New Roman" w:cs="Times New Roman"/>
          <w:i/>
          <w:color w:val="000000"/>
          <w:sz w:val="23"/>
        </w:rPr>
        <w:sym w:font="Symbol" w:char="F066"/>
      </w:r>
      <w:r w:rsidRPr="008921B0">
        <w:rPr>
          <w:rFonts w:ascii="Times New Roman" w:eastAsia="Cambria" w:hAnsi="Times New Roman" w:cs="Times New Roman"/>
          <w:i/>
          <w:color w:val="000000"/>
          <w:sz w:val="23"/>
          <w:vertAlign w:val="subscript"/>
          <w:lang w:val="fr-CA"/>
        </w:rPr>
        <w:t>c</w:t>
      </w:r>
      <w:r w:rsidRPr="008921B0">
        <w:rPr>
          <w:rFonts w:ascii="Times New Roman" w:eastAsia="Cambria" w:hAnsi="Times New Roman" w:cs="Times New Roman"/>
          <w:i/>
          <w:color w:val="000000"/>
          <w:sz w:val="23"/>
          <w:lang w:val="fr-CA"/>
        </w:rPr>
        <w:t xml:space="preserve"> + µ</w:t>
      </w:r>
      <w:r w:rsidRPr="008921B0">
        <w:rPr>
          <w:rFonts w:ascii="Times New Roman" w:eastAsia="Cambria" w:hAnsi="Times New Roman" w:cs="Times New Roman"/>
          <w:i/>
          <w:color w:val="000000"/>
          <w:sz w:val="23"/>
          <w:vertAlign w:val="subscript"/>
          <w:lang w:val="fr-CA"/>
        </w:rPr>
        <w:t>t</w:t>
      </w:r>
      <w:r w:rsidRPr="008921B0">
        <w:rPr>
          <w:rFonts w:ascii="Times New Roman" w:eastAsia="Cambria" w:hAnsi="Times New Roman" w:cs="Times New Roman"/>
          <w:i/>
          <w:color w:val="000000"/>
          <w:sz w:val="23"/>
          <w:lang w:val="fr-CA"/>
        </w:rPr>
        <w:t xml:space="preserve"> + </w:t>
      </w:r>
      <w:r w:rsidRPr="001048C4">
        <w:rPr>
          <w:rFonts w:ascii="Times New Roman" w:eastAsia="Cambria" w:hAnsi="Times New Roman" w:cs="Times New Roman"/>
          <w:i/>
          <w:color w:val="000000"/>
          <w:sz w:val="23"/>
        </w:rPr>
        <w:sym w:font="Symbol" w:char="F065"/>
      </w:r>
      <w:r w:rsidRPr="008921B0">
        <w:rPr>
          <w:rFonts w:ascii="Times New Roman" w:eastAsia="Cambria" w:hAnsi="Times New Roman" w:cs="Times New Roman"/>
          <w:i/>
          <w:color w:val="000000"/>
          <w:sz w:val="23"/>
          <w:vertAlign w:val="subscript"/>
          <w:lang w:val="fr-CA"/>
        </w:rPr>
        <w:t>ct</w:t>
      </w:r>
      <w:r w:rsidRPr="008921B0">
        <w:rPr>
          <w:rFonts w:ascii="Times New Roman" w:eastAsia="Cambria" w:hAnsi="Times New Roman" w:cs="Times New Roman"/>
          <w:i/>
          <w:color w:val="000000"/>
          <w:lang w:val="fr-CA"/>
        </w:rPr>
        <w:tab/>
      </w:r>
      <w:r w:rsidRPr="008921B0">
        <w:rPr>
          <w:rFonts w:ascii="Times New Roman" w:eastAsia="Cambria" w:hAnsi="Times New Roman" w:cs="Times New Roman"/>
          <w:i/>
          <w:color w:val="000000"/>
          <w:lang w:val="fr-CA"/>
        </w:rPr>
        <w:tab/>
      </w:r>
      <w:r w:rsidRPr="008921B0">
        <w:rPr>
          <w:rFonts w:ascii="Times New Roman" w:eastAsia="Cambria" w:hAnsi="Times New Roman" w:cs="Times New Roman"/>
          <w:i/>
          <w:color w:val="000000"/>
          <w:lang w:val="fr-CA"/>
        </w:rPr>
        <w:tab/>
        <w:t xml:space="preserve">          </w:t>
      </w:r>
      <w:r w:rsidRPr="008921B0">
        <w:rPr>
          <w:rFonts w:ascii="Times New Roman" w:eastAsia="Cambria" w:hAnsi="Times New Roman" w:cs="Times New Roman"/>
          <w:color w:val="000000"/>
          <w:sz w:val="23"/>
          <w:lang w:val="fr-CA"/>
        </w:rPr>
        <w:t>(1)</w:t>
      </w:r>
    </w:p>
    <w:p w14:paraId="2EE86366" w14:textId="77777777" w:rsidR="001C56B4" w:rsidRPr="008921B0" w:rsidRDefault="001C56B4" w:rsidP="001C56B4">
      <w:pPr>
        <w:jc w:val="both"/>
        <w:rPr>
          <w:rFonts w:ascii="Times New Roman" w:eastAsia="Cambria" w:hAnsi="Times New Roman" w:cs="Times New Roman"/>
          <w:b/>
          <w:lang w:val="fr-CA"/>
        </w:rPr>
      </w:pPr>
    </w:p>
    <w:p w14:paraId="2439FACD" w14:textId="77777777" w:rsidR="009E4616" w:rsidRDefault="00571B7D" w:rsidP="001C56B4">
      <w:pPr>
        <w:jc w:val="both"/>
        <w:rPr>
          <w:rFonts w:ascii="Times New Roman" w:eastAsia="Cambria" w:hAnsi="Times New Roman" w:cs="Times New Roman"/>
          <w:color w:val="000000"/>
        </w:rPr>
      </w:pPr>
      <w:r w:rsidRPr="00D508D1">
        <w:rPr>
          <w:rFonts w:ascii="Times New Roman" w:eastAsia="Cambria" w:hAnsi="Times New Roman" w:cs="Times New Roman"/>
        </w:rPr>
        <w:t xml:space="preserve">where </w:t>
      </w:r>
      <w:r w:rsidR="001C56B4" w:rsidRPr="00D508D1">
        <w:rPr>
          <w:rFonts w:ascii="Times New Roman" w:eastAsia="Cambria" w:hAnsi="Times New Roman" w:cs="Times New Roman"/>
          <w:i/>
        </w:rPr>
        <w:t xml:space="preserve">Ln </w:t>
      </w:r>
      <w:proofErr w:type="spellStart"/>
      <w:r w:rsidR="001C56B4" w:rsidRPr="00D508D1">
        <w:rPr>
          <w:rFonts w:ascii="Times New Roman" w:eastAsia="Cambria" w:hAnsi="Times New Roman" w:cs="Times New Roman"/>
          <w:i/>
        </w:rPr>
        <w:t>Private</w:t>
      </w:r>
      <w:r w:rsidR="001C56B4" w:rsidRPr="00D508D1">
        <w:rPr>
          <w:rFonts w:ascii="Times New Roman" w:eastAsia="Cambria" w:hAnsi="Times New Roman" w:cs="Times New Roman"/>
          <w:i/>
          <w:vertAlign w:val="subscript"/>
        </w:rPr>
        <w:t>ct</w:t>
      </w:r>
      <w:proofErr w:type="spellEnd"/>
      <w:r w:rsidR="001C56B4" w:rsidRPr="00D508D1">
        <w:rPr>
          <w:rFonts w:ascii="Times New Roman" w:eastAsia="Cambria" w:hAnsi="Times New Roman" w:cs="Times New Roman"/>
        </w:rPr>
        <w:t xml:space="preserve"> corresponds to the natural logarithm of the level of private expenditure in country </w:t>
      </w:r>
      <w:r w:rsidR="001C56B4" w:rsidRPr="00D508D1">
        <w:rPr>
          <w:rFonts w:ascii="Times New Roman" w:eastAsia="Cambria" w:hAnsi="Times New Roman" w:cs="Times New Roman"/>
          <w:i/>
        </w:rPr>
        <w:t xml:space="preserve">c </w:t>
      </w:r>
      <w:r w:rsidR="001C56B4" w:rsidRPr="00D508D1">
        <w:rPr>
          <w:rFonts w:ascii="Times New Roman" w:eastAsia="Cambria" w:hAnsi="Times New Roman" w:cs="Times New Roman"/>
        </w:rPr>
        <w:t xml:space="preserve">and year </w:t>
      </w:r>
      <w:r w:rsidR="001C56B4" w:rsidRPr="00D508D1">
        <w:rPr>
          <w:rFonts w:ascii="Times New Roman" w:eastAsia="Cambria" w:hAnsi="Times New Roman" w:cs="Times New Roman"/>
          <w:i/>
        </w:rPr>
        <w:t>t</w:t>
      </w:r>
      <w:r w:rsidR="00C71651" w:rsidRPr="00D508D1">
        <w:rPr>
          <w:rFonts w:ascii="Times New Roman" w:eastAsia="Cambria" w:hAnsi="Times New Roman" w:cs="Times New Roman"/>
        </w:rPr>
        <w:t xml:space="preserve"> and</w:t>
      </w:r>
      <w:r w:rsidR="001C56B4" w:rsidRPr="00D508D1">
        <w:rPr>
          <w:rFonts w:ascii="Times New Roman" w:eastAsia="Cambria" w:hAnsi="Times New Roman" w:cs="Times New Roman"/>
          <w:i/>
        </w:rPr>
        <w:t xml:space="preserve"> Ln </w:t>
      </w:r>
      <w:proofErr w:type="spellStart"/>
      <w:r w:rsidR="001C56B4" w:rsidRPr="00D508D1">
        <w:rPr>
          <w:rFonts w:ascii="Times New Roman" w:eastAsia="Cambria" w:hAnsi="Times New Roman" w:cs="Times New Roman"/>
          <w:i/>
        </w:rPr>
        <w:t>Public</w:t>
      </w:r>
      <w:r w:rsidR="001C56B4" w:rsidRPr="00D508D1">
        <w:rPr>
          <w:rFonts w:ascii="Times New Roman" w:eastAsia="Cambria" w:hAnsi="Times New Roman" w:cs="Times New Roman"/>
          <w:i/>
          <w:color w:val="000000"/>
          <w:vertAlign w:val="subscript"/>
        </w:rPr>
        <w:t>ct</w:t>
      </w:r>
      <w:proofErr w:type="spellEnd"/>
      <w:r w:rsidR="001C56B4" w:rsidRPr="00D508D1">
        <w:rPr>
          <w:rFonts w:ascii="Times New Roman" w:eastAsia="Cambria" w:hAnsi="Times New Roman" w:cs="Times New Roman"/>
          <w:color w:val="000000"/>
          <w:vertAlign w:val="subscript"/>
        </w:rPr>
        <w:t xml:space="preserve"> </w:t>
      </w:r>
      <w:r w:rsidR="001C56B4" w:rsidRPr="00D508D1">
        <w:rPr>
          <w:rFonts w:ascii="Times New Roman" w:eastAsia="Cambria" w:hAnsi="Times New Roman" w:cs="Times New Roman"/>
        </w:rPr>
        <w:t xml:space="preserve">is the </w:t>
      </w:r>
      <w:r w:rsidR="001C56B4" w:rsidRPr="00D508D1">
        <w:rPr>
          <w:rFonts w:ascii="Times New Roman" w:eastAsia="Cambria" w:hAnsi="Times New Roman" w:cs="Times New Roman"/>
          <w:color w:val="000000"/>
        </w:rPr>
        <w:t>natural logarithm for public health expenditure</w:t>
      </w:r>
      <w:r w:rsidR="001C56B4" w:rsidRPr="00D508D1">
        <w:rPr>
          <w:rFonts w:ascii="Times New Roman" w:eastAsia="Cambria" w:hAnsi="Times New Roman" w:cs="Times New Roman"/>
        </w:rPr>
        <w:t xml:space="preserve">, so equation </w:t>
      </w:r>
      <w:r w:rsidR="00784DF8">
        <w:rPr>
          <w:rFonts w:ascii="Times New Roman" w:eastAsia="Cambria" w:hAnsi="Times New Roman" w:cs="Times New Roman"/>
        </w:rPr>
        <w:t>(</w:t>
      </w:r>
      <w:r w:rsidR="001C56B4" w:rsidRPr="00D508D1">
        <w:rPr>
          <w:rFonts w:ascii="Times New Roman" w:eastAsia="Cambria" w:hAnsi="Times New Roman" w:cs="Times New Roman"/>
        </w:rPr>
        <w:t>1</w:t>
      </w:r>
      <w:r w:rsidR="00784DF8">
        <w:rPr>
          <w:rFonts w:ascii="Times New Roman" w:eastAsia="Cambria" w:hAnsi="Times New Roman" w:cs="Times New Roman"/>
        </w:rPr>
        <w:t>)</w:t>
      </w:r>
      <w:r w:rsidR="001C56B4" w:rsidRPr="00D508D1">
        <w:rPr>
          <w:rFonts w:ascii="Times New Roman" w:eastAsia="Cambria" w:hAnsi="Times New Roman" w:cs="Times New Roman"/>
        </w:rPr>
        <w:t xml:space="preserve"> corresponds to the logged version of a regression in which the dependent variable would be the ratio of private to public health expenditures. </w:t>
      </w:r>
      <w:r w:rsidR="00C71651" w:rsidRPr="00D508D1">
        <w:rPr>
          <w:rFonts w:ascii="Times New Roman" w:eastAsia="Cambria" w:hAnsi="Times New Roman" w:cs="Times New Roman"/>
        </w:rPr>
        <w:t xml:space="preserve">The main independent variable, </w:t>
      </w:r>
      <w:r w:rsidR="00C71651" w:rsidRPr="00D508D1">
        <w:rPr>
          <w:rFonts w:ascii="Times New Roman" w:eastAsia="Cambria" w:hAnsi="Times New Roman" w:cs="Times New Roman"/>
          <w:i/>
        </w:rPr>
        <w:t>Ln Inequality</w:t>
      </w:r>
      <w:r w:rsidR="00C71651" w:rsidRPr="00D508D1">
        <w:rPr>
          <w:rFonts w:ascii="Times New Roman" w:eastAsia="Cambria" w:hAnsi="Times New Roman" w:cs="Times New Roman"/>
        </w:rPr>
        <w:t>,</w:t>
      </w:r>
      <w:r w:rsidR="00C71651" w:rsidRPr="00D508D1">
        <w:rPr>
          <w:rFonts w:ascii="Times New Roman" w:eastAsia="Cambria" w:hAnsi="Times New Roman" w:cs="Times New Roman"/>
          <w:i/>
        </w:rPr>
        <w:t xml:space="preserve"> </w:t>
      </w:r>
      <w:r w:rsidR="00C71651" w:rsidRPr="00D508D1">
        <w:rPr>
          <w:rFonts w:ascii="Times New Roman" w:eastAsia="Cambria" w:hAnsi="Times New Roman" w:cs="Times New Roman"/>
        </w:rPr>
        <w:t xml:space="preserve">is the share of income held by the top 1% and </w:t>
      </w:r>
      <w:proofErr w:type="spellStart"/>
      <w:r w:rsidR="001C56B4" w:rsidRPr="00D508D1">
        <w:rPr>
          <w:rFonts w:ascii="Times New Roman" w:eastAsia="Cambria" w:hAnsi="Times New Roman" w:cs="Times New Roman"/>
          <w:i/>
        </w:rPr>
        <w:t>X'</w:t>
      </w:r>
      <w:r w:rsidR="001C56B4" w:rsidRPr="00D508D1">
        <w:rPr>
          <w:rFonts w:ascii="Times New Roman" w:eastAsia="Cambria" w:hAnsi="Times New Roman" w:cs="Times New Roman"/>
          <w:i/>
          <w:vertAlign w:val="subscript"/>
        </w:rPr>
        <w:t>ct</w:t>
      </w:r>
      <w:proofErr w:type="spellEnd"/>
      <w:r w:rsidR="001C56B4" w:rsidRPr="00D508D1">
        <w:rPr>
          <w:rFonts w:ascii="Times New Roman" w:eastAsia="Cambria" w:hAnsi="Times New Roman" w:cs="Times New Roman"/>
        </w:rPr>
        <w:t xml:space="preserve"> is </w:t>
      </w:r>
      <w:r w:rsidR="006E1719" w:rsidRPr="00D508D1">
        <w:rPr>
          <w:rFonts w:ascii="Times New Roman" w:eastAsia="Cambria" w:hAnsi="Times New Roman" w:cs="Times New Roman"/>
        </w:rPr>
        <w:t>a</w:t>
      </w:r>
      <w:r w:rsidR="001C56B4" w:rsidRPr="00D508D1">
        <w:rPr>
          <w:rFonts w:ascii="Times New Roman" w:eastAsia="Cambria" w:hAnsi="Times New Roman" w:cs="Times New Roman"/>
        </w:rPr>
        <w:t xml:space="preserve"> vector of the natural logarithm of the controls variables enumerated </w:t>
      </w:r>
      <w:r w:rsidR="00340590">
        <w:rPr>
          <w:rFonts w:ascii="Times New Roman" w:eastAsia="Cambria" w:hAnsi="Times New Roman" w:cs="Times New Roman"/>
        </w:rPr>
        <w:t>in section 3.1</w:t>
      </w:r>
      <w:r w:rsidR="001C56B4" w:rsidRPr="00D508D1">
        <w:rPr>
          <w:rFonts w:ascii="Times New Roman" w:eastAsia="Cambria" w:hAnsi="Times New Roman" w:cs="Times New Roman"/>
          <w:color w:val="000000"/>
        </w:rPr>
        <w:t xml:space="preserve">. </w:t>
      </w:r>
      <w:r w:rsidR="00340590">
        <w:rPr>
          <w:rFonts w:ascii="Times New Roman" w:eastAsia="Cambria" w:hAnsi="Times New Roman" w:cs="Times New Roman"/>
        </w:rPr>
        <w:t>A</w:t>
      </w:r>
      <w:r w:rsidR="00340590" w:rsidRPr="00D508D1">
        <w:rPr>
          <w:rFonts w:ascii="Times New Roman" w:eastAsia="Cambria" w:hAnsi="Times New Roman" w:cs="Times New Roman"/>
        </w:rPr>
        <w:t xml:space="preserve"> full set of year fixed effects, </w:t>
      </w:r>
      <w:r w:rsidR="00340590" w:rsidRPr="00D508D1">
        <w:rPr>
          <w:rFonts w:ascii="Times New Roman" w:eastAsia="Cambria" w:hAnsi="Times New Roman" w:cs="Times New Roman"/>
          <w:i/>
          <w:color w:val="000000"/>
        </w:rPr>
        <w:t>µ</w:t>
      </w:r>
      <w:r w:rsidR="00340590" w:rsidRPr="00D508D1">
        <w:rPr>
          <w:rFonts w:ascii="Times New Roman" w:eastAsia="Cambria" w:hAnsi="Times New Roman" w:cs="Times New Roman"/>
          <w:i/>
          <w:color w:val="000000"/>
          <w:vertAlign w:val="subscript"/>
        </w:rPr>
        <w:t>t</w:t>
      </w:r>
      <w:r w:rsidR="00340590" w:rsidRPr="00D508D1">
        <w:rPr>
          <w:rFonts w:ascii="Times New Roman" w:eastAsia="Cambria" w:hAnsi="Times New Roman" w:cs="Times New Roman"/>
          <w:color w:val="000000"/>
        </w:rPr>
        <w:t>,</w:t>
      </w:r>
      <w:r w:rsidR="00340590" w:rsidRPr="00D508D1">
        <w:rPr>
          <w:rFonts w:ascii="Times New Roman" w:eastAsia="Cambria" w:hAnsi="Times New Roman" w:cs="Times New Roman"/>
        </w:rPr>
        <w:t xml:space="preserve"> </w:t>
      </w:r>
      <w:r w:rsidR="00340590" w:rsidRPr="00D508D1">
        <w:rPr>
          <w:rFonts w:ascii="Times New Roman" w:eastAsia="Cambria" w:hAnsi="Times New Roman" w:cs="Times New Roman"/>
          <w:color w:val="000000"/>
        </w:rPr>
        <w:t>control</w:t>
      </w:r>
      <w:r w:rsidR="00340590">
        <w:rPr>
          <w:rFonts w:ascii="Times New Roman" w:eastAsia="Cambria" w:hAnsi="Times New Roman" w:cs="Times New Roman"/>
          <w:color w:val="000000"/>
        </w:rPr>
        <w:t>s</w:t>
      </w:r>
      <w:r w:rsidR="00340590" w:rsidRPr="00D508D1">
        <w:rPr>
          <w:rFonts w:ascii="Times New Roman" w:eastAsia="Cambria" w:hAnsi="Times New Roman" w:cs="Times New Roman"/>
          <w:color w:val="000000"/>
        </w:rPr>
        <w:t xml:space="preserve"> for shocks that might simultaneously affect all countries in the sample. </w:t>
      </w:r>
      <w:r w:rsidR="00340590">
        <w:rPr>
          <w:rFonts w:ascii="Times New Roman" w:eastAsia="Cambria" w:hAnsi="Times New Roman" w:cs="Times New Roman"/>
          <w:color w:val="000000"/>
        </w:rPr>
        <w:t>Finally, w</w:t>
      </w:r>
      <w:r w:rsidR="001C56B4" w:rsidRPr="00D508D1">
        <w:rPr>
          <w:rFonts w:ascii="Times New Roman" w:eastAsia="Cambria" w:hAnsi="Times New Roman" w:cs="Times New Roman"/>
          <w:color w:val="000000"/>
        </w:rPr>
        <w:t xml:space="preserve">e include </w:t>
      </w:r>
      <w:r w:rsidR="001C56B4" w:rsidRPr="00D508D1">
        <w:rPr>
          <w:rFonts w:ascii="Times New Roman" w:eastAsia="Cambria" w:hAnsi="Times New Roman" w:cs="Times New Roman"/>
        </w:rPr>
        <w:t xml:space="preserve">country fixed effects, </w:t>
      </w:r>
      <w:r w:rsidR="001C56B4" w:rsidRPr="00D508D1">
        <w:rPr>
          <w:rFonts w:ascii="Times New Roman" w:eastAsia="Cambria" w:hAnsi="Times New Roman" w:cs="Times New Roman"/>
          <w:i/>
        </w:rPr>
        <w:sym w:font="Symbol" w:char="F066"/>
      </w:r>
      <w:r w:rsidR="001C56B4" w:rsidRPr="00D508D1">
        <w:rPr>
          <w:rFonts w:ascii="Times New Roman" w:eastAsia="Cambria" w:hAnsi="Times New Roman" w:cs="Times New Roman"/>
          <w:i/>
          <w:vertAlign w:val="subscript"/>
        </w:rPr>
        <w:t>c</w:t>
      </w:r>
      <w:r w:rsidR="001C56B4" w:rsidRPr="00D508D1">
        <w:rPr>
          <w:rFonts w:ascii="Times New Roman" w:eastAsia="Cambria" w:hAnsi="Times New Roman" w:cs="Times New Roman"/>
          <w:i/>
        </w:rPr>
        <w:t xml:space="preserve">, </w:t>
      </w:r>
      <w:r w:rsidR="001C56B4" w:rsidRPr="00D508D1">
        <w:rPr>
          <w:rFonts w:ascii="Times New Roman" w:eastAsia="Cambria" w:hAnsi="Times New Roman" w:cs="Times New Roman"/>
        </w:rPr>
        <w:t xml:space="preserve">to control for </w:t>
      </w:r>
      <w:r w:rsidR="00340590">
        <w:rPr>
          <w:rFonts w:ascii="Times New Roman" w:eastAsia="Cambria" w:hAnsi="Times New Roman" w:cs="Times New Roman"/>
        </w:rPr>
        <w:t xml:space="preserve">unobserved </w:t>
      </w:r>
      <w:r w:rsidR="001C56B4" w:rsidRPr="00D508D1">
        <w:rPr>
          <w:rFonts w:ascii="Times New Roman" w:eastAsia="Cambria" w:hAnsi="Times New Roman" w:cs="Times New Roman"/>
        </w:rPr>
        <w:t>time-invariant features of country health care systems that are likely to have an impact on the prevalence of private healthcare financing</w:t>
      </w:r>
      <w:r w:rsidR="00BF633A">
        <w:rPr>
          <w:rFonts w:ascii="Times New Roman" w:eastAsia="Cambria" w:hAnsi="Times New Roman" w:cs="Times New Roman"/>
        </w:rPr>
        <w:t xml:space="preserve">. </w:t>
      </w:r>
      <w:r w:rsidR="001C56B4" w:rsidRPr="00D508D1">
        <w:rPr>
          <w:rFonts w:ascii="Times New Roman" w:eastAsia="Cambria" w:hAnsi="Times New Roman" w:cs="Times New Roman"/>
          <w:color w:val="000000"/>
        </w:rPr>
        <w:t>Given the addition of these fixed effects, our estimate</w:t>
      </w:r>
      <w:r w:rsidR="006A1817" w:rsidRPr="00D508D1">
        <w:rPr>
          <w:rFonts w:ascii="Times New Roman" w:eastAsia="Cambria" w:hAnsi="Times New Roman" w:cs="Times New Roman"/>
          <w:color w:val="000000"/>
        </w:rPr>
        <w:t xml:space="preserve"> for</w:t>
      </w:r>
      <w:r w:rsidR="001C56B4" w:rsidRPr="00D508D1">
        <w:rPr>
          <w:rFonts w:ascii="Times New Roman" w:eastAsia="Cambria" w:hAnsi="Times New Roman" w:cs="Times New Roman"/>
          <w:color w:val="000000"/>
        </w:rPr>
        <w:t xml:space="preserve"> </w:t>
      </w:r>
      <w:r w:rsidR="001C56B4" w:rsidRPr="00D508D1">
        <w:rPr>
          <w:rFonts w:ascii="Times New Roman" w:eastAsia="Cambria" w:hAnsi="Times New Roman" w:cs="Times New Roman"/>
          <w:i/>
          <w:color w:val="000000"/>
        </w:rPr>
        <w:sym w:font="Symbol" w:char="F062"/>
      </w:r>
      <w:r w:rsidR="001C56B4" w:rsidRPr="00D508D1">
        <w:rPr>
          <w:rFonts w:ascii="Times New Roman" w:eastAsia="Cambria" w:hAnsi="Times New Roman" w:cs="Times New Roman"/>
          <w:i/>
          <w:color w:val="000000"/>
        </w:rPr>
        <w:t xml:space="preserve"> </w:t>
      </w:r>
      <w:r w:rsidR="001C56B4" w:rsidRPr="00D508D1">
        <w:rPr>
          <w:rFonts w:ascii="Times New Roman" w:eastAsia="Cambria" w:hAnsi="Times New Roman" w:cs="Times New Roman"/>
          <w:color w:val="000000"/>
        </w:rPr>
        <w:t>can be interpreted</w:t>
      </w:r>
      <w:r w:rsidR="001C56B4" w:rsidRPr="00D508D1">
        <w:rPr>
          <w:rFonts w:ascii="Times New Roman" w:eastAsia="Cambria" w:hAnsi="Times New Roman" w:cs="Times New Roman"/>
          <w:i/>
          <w:color w:val="000000"/>
        </w:rPr>
        <w:t xml:space="preserve"> </w:t>
      </w:r>
      <w:r w:rsidR="001C56B4" w:rsidRPr="00D508D1">
        <w:rPr>
          <w:rFonts w:ascii="Times New Roman" w:eastAsia="Cambria" w:hAnsi="Times New Roman" w:cs="Times New Roman"/>
          <w:color w:val="000000"/>
        </w:rPr>
        <w:t>as the within</w:t>
      </w:r>
      <w:r w:rsidR="001C56B4" w:rsidRPr="00EC17F3">
        <w:rPr>
          <w:rFonts w:ascii="Times New Roman" w:eastAsia="Cambria" w:hAnsi="Times New Roman" w:cs="Times New Roman"/>
          <w:color w:val="000000"/>
        </w:rPr>
        <w:t xml:space="preserve">-country </w:t>
      </w:r>
      <w:r w:rsidR="00CD177B">
        <w:rPr>
          <w:rFonts w:ascii="Times New Roman" w:eastAsia="Cambria" w:hAnsi="Times New Roman" w:cs="Times New Roman"/>
          <w:color w:val="000000"/>
        </w:rPr>
        <w:lastRenderedPageBreak/>
        <w:t xml:space="preserve">relationship between </w:t>
      </w:r>
      <w:r w:rsidR="001C56B4" w:rsidRPr="00EC17F3">
        <w:rPr>
          <w:rFonts w:ascii="Times New Roman" w:eastAsia="Cambria" w:hAnsi="Times New Roman" w:cs="Times New Roman"/>
          <w:color w:val="000000"/>
        </w:rPr>
        <w:t xml:space="preserve">changes in inequality </w:t>
      </w:r>
      <w:r w:rsidR="00304267">
        <w:rPr>
          <w:rFonts w:ascii="Times New Roman" w:eastAsia="Cambria" w:hAnsi="Times New Roman" w:cs="Times New Roman"/>
          <w:color w:val="000000"/>
        </w:rPr>
        <w:t>and changes</w:t>
      </w:r>
      <w:r w:rsidR="001C56B4" w:rsidRPr="00EC17F3">
        <w:rPr>
          <w:rFonts w:ascii="Times New Roman" w:eastAsia="Cambria" w:hAnsi="Times New Roman" w:cs="Times New Roman"/>
          <w:color w:val="000000"/>
        </w:rPr>
        <w:t xml:space="preserve"> </w:t>
      </w:r>
      <w:r w:rsidR="00BF633A">
        <w:rPr>
          <w:rFonts w:ascii="Times New Roman" w:eastAsia="Cambria" w:hAnsi="Times New Roman" w:cs="Times New Roman"/>
          <w:color w:val="000000"/>
        </w:rPr>
        <w:t xml:space="preserve">in </w:t>
      </w:r>
      <w:r w:rsidR="001C56B4" w:rsidRPr="00EC17F3">
        <w:rPr>
          <w:rFonts w:ascii="Times New Roman" w:eastAsia="Cambria" w:hAnsi="Times New Roman" w:cs="Times New Roman"/>
          <w:color w:val="000000"/>
        </w:rPr>
        <w:t xml:space="preserve">private health care expenditure. We finally allow our inequality measure to enter with a zero-to-two year lag over the full sample period. The results from this specification are summarized in </w:t>
      </w:r>
      <w:r w:rsidR="001C56B4" w:rsidRPr="00EC2F88">
        <w:rPr>
          <w:rFonts w:ascii="Times New Roman" w:eastAsia="Cambria" w:hAnsi="Times New Roman" w:cs="Times New Roman"/>
          <w:color w:val="000000"/>
        </w:rPr>
        <w:t xml:space="preserve">table </w:t>
      </w:r>
      <w:r w:rsidR="001C56B4" w:rsidRPr="005117D8">
        <w:rPr>
          <w:rFonts w:ascii="Times New Roman" w:eastAsia="Cambria" w:hAnsi="Times New Roman" w:cs="Times New Roman"/>
          <w:color w:val="000000"/>
        </w:rPr>
        <w:t>2</w:t>
      </w:r>
      <w:r w:rsidR="001C56B4" w:rsidRPr="00EC2F88">
        <w:rPr>
          <w:rFonts w:ascii="Times New Roman" w:eastAsia="Cambria" w:hAnsi="Times New Roman" w:cs="Times New Roman"/>
          <w:color w:val="000000"/>
        </w:rPr>
        <w:t>.</w:t>
      </w:r>
      <w:r w:rsidR="001C56B4" w:rsidRPr="00EC17F3">
        <w:rPr>
          <w:rFonts w:ascii="Times New Roman" w:eastAsia="Cambria" w:hAnsi="Times New Roman" w:cs="Times New Roman"/>
          <w:color w:val="000000"/>
        </w:rPr>
        <w:t xml:space="preserve"> </w:t>
      </w:r>
      <w:r w:rsidR="006A1817" w:rsidRPr="00EC17F3">
        <w:rPr>
          <w:rFonts w:ascii="Times New Roman" w:eastAsia="Cambria" w:hAnsi="Times New Roman" w:cs="Times New Roman"/>
          <w:color w:val="000000"/>
        </w:rPr>
        <w:t>The coefficient</w:t>
      </w:r>
      <w:r w:rsidR="006A1817">
        <w:rPr>
          <w:rFonts w:ascii="Times New Roman" w:eastAsia="Cambria" w:hAnsi="Times New Roman" w:cs="Times New Roman"/>
          <w:color w:val="000000"/>
        </w:rPr>
        <w:t xml:space="preserve"> on the logarithm of the top 1% income </w:t>
      </w:r>
      <w:r w:rsidR="006A1817" w:rsidRPr="00EC17F3">
        <w:rPr>
          <w:rFonts w:ascii="Times New Roman" w:eastAsia="Cambria" w:hAnsi="Times New Roman" w:cs="Times New Roman"/>
          <w:color w:val="000000"/>
        </w:rPr>
        <w:t>share</w:t>
      </w:r>
      <w:r w:rsidR="006A1817">
        <w:rPr>
          <w:rFonts w:ascii="Times New Roman" w:eastAsia="Cambria" w:hAnsi="Times New Roman" w:cs="Times New Roman"/>
          <w:color w:val="000000"/>
        </w:rPr>
        <w:t xml:space="preserve"> suggests </w:t>
      </w:r>
      <w:r>
        <w:rPr>
          <w:rFonts w:ascii="Times New Roman" w:eastAsia="Cambria" w:hAnsi="Times New Roman" w:cs="Times New Roman"/>
          <w:color w:val="000000"/>
        </w:rPr>
        <w:t xml:space="preserve">a positive and statistically significant correlation (0.778) with </w:t>
      </w:r>
      <w:r w:rsidR="006A1817">
        <w:rPr>
          <w:rFonts w:ascii="Times New Roman" w:eastAsia="Cambria" w:hAnsi="Times New Roman" w:cs="Times New Roman"/>
          <w:color w:val="000000"/>
        </w:rPr>
        <w:t>the contemporaneous income share of the top 1% income</w:t>
      </w:r>
      <w:r>
        <w:rPr>
          <w:rFonts w:ascii="Times New Roman" w:eastAsia="Cambria" w:hAnsi="Times New Roman" w:cs="Times New Roman"/>
          <w:color w:val="000000"/>
        </w:rPr>
        <w:t xml:space="preserve"> earners</w:t>
      </w:r>
      <w:r w:rsidR="006A1817">
        <w:rPr>
          <w:rFonts w:ascii="Times New Roman" w:eastAsia="Cambria" w:hAnsi="Times New Roman" w:cs="Times New Roman"/>
          <w:color w:val="000000"/>
        </w:rPr>
        <w:t>.</w:t>
      </w:r>
      <w:r>
        <w:rPr>
          <w:rFonts w:ascii="Times New Roman" w:eastAsia="Cambria" w:hAnsi="Times New Roman" w:cs="Times New Roman"/>
          <w:color w:val="000000"/>
        </w:rPr>
        <w:t xml:space="preserve"> This</w:t>
      </w:r>
      <w:r w:rsidR="006A1817" w:rsidRPr="00EC17F3">
        <w:rPr>
          <w:rFonts w:ascii="Times New Roman" w:eastAsia="Cambria" w:hAnsi="Times New Roman" w:cs="Times New Roman"/>
          <w:color w:val="000000"/>
        </w:rPr>
        <w:t xml:space="preserve"> positive and statistically significant </w:t>
      </w:r>
      <w:r w:rsidR="00340590">
        <w:rPr>
          <w:rFonts w:ascii="Times New Roman" w:eastAsia="Cambria" w:hAnsi="Times New Roman" w:cs="Times New Roman"/>
          <w:color w:val="000000"/>
        </w:rPr>
        <w:t xml:space="preserve">elasticity </w:t>
      </w:r>
      <w:r w:rsidR="006A1817" w:rsidRPr="00EC17F3">
        <w:rPr>
          <w:rFonts w:ascii="Times New Roman" w:eastAsia="Cambria" w:hAnsi="Times New Roman" w:cs="Times New Roman"/>
          <w:color w:val="000000"/>
        </w:rPr>
        <w:t>persists as we turn to one- and two-year lagged values of the top 1% income share, although the magnitude of the coefficient decreases with the lags,</w:t>
      </w:r>
      <w:r w:rsidR="009F7FE7">
        <w:rPr>
          <w:rFonts w:ascii="Times New Roman" w:eastAsia="Cambria" w:hAnsi="Times New Roman" w:cs="Times New Roman"/>
          <w:color w:val="000000"/>
        </w:rPr>
        <w:t xml:space="preserve"> to 0.65 and 0.61</w:t>
      </w:r>
      <w:r w:rsidR="009E4616">
        <w:rPr>
          <w:rFonts w:ascii="Times New Roman" w:eastAsia="Cambria" w:hAnsi="Times New Roman" w:cs="Times New Roman"/>
          <w:color w:val="000000"/>
        </w:rPr>
        <w:t xml:space="preserve"> respectively,</w:t>
      </w:r>
      <w:r w:rsidR="006A1817" w:rsidRPr="00EC17F3">
        <w:rPr>
          <w:rFonts w:ascii="Times New Roman" w:eastAsia="Cambria" w:hAnsi="Times New Roman" w:cs="Times New Roman"/>
          <w:color w:val="000000"/>
        </w:rPr>
        <w:t xml:space="preserve"> suggesting private health expenditure could react relatively quickly to changes in the level of inequality.</w:t>
      </w:r>
      <w:r w:rsidR="006A1817">
        <w:rPr>
          <w:rFonts w:ascii="Times New Roman" w:eastAsia="Cambria" w:hAnsi="Times New Roman" w:cs="Times New Roman"/>
          <w:color w:val="000000"/>
        </w:rPr>
        <w:t xml:space="preserve"> </w:t>
      </w:r>
      <w:r w:rsidR="009E4616" w:rsidRPr="00EC17F3">
        <w:rPr>
          <w:rFonts w:ascii="Times New Roman" w:eastAsia="Cambria" w:hAnsi="Times New Roman" w:cs="Times New Roman"/>
          <w:color w:val="000000"/>
        </w:rPr>
        <w:t xml:space="preserve">As expected, private health expenditure is negatively associated with the share of the population aged 65 and older, </w:t>
      </w:r>
      <w:r w:rsidR="009E4616">
        <w:rPr>
          <w:rFonts w:ascii="Times New Roman" w:eastAsia="Cambria" w:hAnsi="Times New Roman" w:cs="Times New Roman"/>
          <w:color w:val="000000"/>
        </w:rPr>
        <w:t>potentially driven by the fact that</w:t>
      </w:r>
      <w:r w:rsidR="009E4616" w:rsidRPr="00EC17F3">
        <w:rPr>
          <w:rFonts w:ascii="Times New Roman" w:eastAsia="Cambria" w:hAnsi="Times New Roman" w:cs="Times New Roman"/>
          <w:color w:val="000000"/>
        </w:rPr>
        <w:t xml:space="preserve"> public health coverage is often more generous for people in that age range. The association between private health expenditure and the average income per tax unit is also positive, as is the association </w:t>
      </w:r>
      <w:r w:rsidR="009E4616">
        <w:rPr>
          <w:rFonts w:ascii="Times New Roman" w:eastAsia="Cambria" w:hAnsi="Times New Roman" w:cs="Times New Roman"/>
          <w:color w:val="000000"/>
        </w:rPr>
        <w:t>with national GDP</w:t>
      </w:r>
      <w:r w:rsidR="009E4616" w:rsidRPr="00EC17F3">
        <w:rPr>
          <w:rFonts w:ascii="Times New Roman" w:eastAsia="Cambria" w:hAnsi="Times New Roman" w:cs="Times New Roman"/>
          <w:color w:val="000000"/>
        </w:rPr>
        <w:t>.</w:t>
      </w:r>
      <w:r w:rsidR="009E4616">
        <w:rPr>
          <w:rFonts w:ascii="Times New Roman" w:eastAsia="Cambria" w:hAnsi="Times New Roman" w:cs="Times New Roman"/>
          <w:color w:val="000000"/>
        </w:rPr>
        <w:t xml:space="preserve"> </w:t>
      </w:r>
      <w:r w:rsidR="009E4616" w:rsidRPr="00EC17F3">
        <w:rPr>
          <w:rFonts w:ascii="Times New Roman" w:eastAsia="Cambria" w:hAnsi="Times New Roman" w:cs="Times New Roman"/>
          <w:color w:val="000000"/>
        </w:rPr>
        <w:t xml:space="preserve">The association between the natural logarithms of private and public expenditure is negative, and statistically significant, which </w:t>
      </w:r>
      <w:r w:rsidR="003A4604">
        <w:rPr>
          <w:rFonts w:ascii="Times New Roman" w:eastAsia="Cambria" w:hAnsi="Times New Roman" w:cs="Times New Roman"/>
          <w:color w:val="000000"/>
        </w:rPr>
        <w:t>is consistent with</w:t>
      </w:r>
      <w:r w:rsidR="009E4616" w:rsidRPr="00EC17F3">
        <w:rPr>
          <w:rFonts w:ascii="Times New Roman" w:eastAsia="Cambria" w:hAnsi="Times New Roman" w:cs="Times New Roman"/>
          <w:color w:val="000000"/>
        </w:rPr>
        <w:t xml:space="preserve"> the crowd-out effects </w:t>
      </w:r>
      <w:r w:rsidR="00797582">
        <w:rPr>
          <w:rFonts w:ascii="Times New Roman" w:eastAsia="Cambria" w:hAnsi="Times New Roman" w:cs="Times New Roman"/>
          <w:color w:val="000000"/>
        </w:rPr>
        <w:t>found</w:t>
      </w:r>
      <w:r w:rsidR="00797582" w:rsidRPr="00EC17F3">
        <w:rPr>
          <w:rFonts w:ascii="Times New Roman" w:eastAsia="Cambria" w:hAnsi="Times New Roman" w:cs="Times New Roman"/>
          <w:color w:val="000000"/>
        </w:rPr>
        <w:t xml:space="preserve"> </w:t>
      </w:r>
      <w:r w:rsidR="009E4616" w:rsidRPr="00EC17F3">
        <w:rPr>
          <w:rFonts w:ascii="Times New Roman" w:eastAsia="Cambria" w:hAnsi="Times New Roman" w:cs="Times New Roman"/>
          <w:color w:val="000000"/>
        </w:rPr>
        <w:t xml:space="preserve">in Flood, Stabile and Tuohy (2004). </w:t>
      </w:r>
    </w:p>
    <w:p w14:paraId="5F574D88" w14:textId="77777777" w:rsidR="00D50FA4" w:rsidRPr="00EC17F3" w:rsidRDefault="00D50FA4" w:rsidP="00D50FA4">
      <w:pPr>
        <w:jc w:val="both"/>
        <w:rPr>
          <w:rFonts w:ascii="Times New Roman" w:eastAsia="Cambria" w:hAnsi="Times New Roman" w:cs="Times New Roman"/>
          <w:color w:val="000000"/>
        </w:rPr>
      </w:pPr>
    </w:p>
    <w:p w14:paraId="33464A0D" w14:textId="77777777" w:rsidR="009E4616" w:rsidRDefault="00D50FA4" w:rsidP="009E4616">
      <w:pPr>
        <w:jc w:val="both"/>
        <w:rPr>
          <w:rFonts w:ascii="Times New Roman" w:eastAsia="Cambria" w:hAnsi="Times New Roman" w:cs="Times New Roman"/>
          <w:color w:val="000000"/>
        </w:rPr>
      </w:pPr>
      <w:r w:rsidRPr="00EC17F3">
        <w:rPr>
          <w:rFonts w:ascii="Times New Roman" w:eastAsia="Cambria" w:hAnsi="Times New Roman" w:cs="Times New Roman"/>
          <w:color w:val="000000"/>
        </w:rPr>
        <w:t xml:space="preserve">We slightly alter the specification described above and replace the control for the natural logarithm of </w:t>
      </w:r>
      <w:r w:rsidR="009E4616">
        <w:rPr>
          <w:rFonts w:ascii="Times New Roman" w:eastAsia="Cambria" w:hAnsi="Times New Roman" w:cs="Times New Roman"/>
          <w:color w:val="000000"/>
        </w:rPr>
        <w:t>public</w:t>
      </w:r>
      <w:r w:rsidRPr="00EC17F3">
        <w:rPr>
          <w:rFonts w:ascii="Times New Roman" w:eastAsia="Cambria" w:hAnsi="Times New Roman" w:cs="Times New Roman"/>
          <w:color w:val="000000"/>
        </w:rPr>
        <w:t xml:space="preserve"> health expenditure with the natural logarithm </w:t>
      </w:r>
      <w:r w:rsidR="00651998">
        <w:rPr>
          <w:rFonts w:ascii="Times New Roman" w:eastAsia="Cambria" w:hAnsi="Times New Roman" w:cs="Times New Roman"/>
          <w:color w:val="000000"/>
        </w:rPr>
        <w:t>of</w:t>
      </w:r>
      <w:r w:rsidR="009E4616">
        <w:rPr>
          <w:rFonts w:ascii="Times New Roman" w:eastAsia="Cambria" w:hAnsi="Times New Roman" w:cs="Times New Roman"/>
          <w:color w:val="000000"/>
        </w:rPr>
        <w:t xml:space="preserve"> total </w:t>
      </w:r>
      <w:r w:rsidRPr="00EC17F3">
        <w:rPr>
          <w:rFonts w:ascii="Times New Roman" w:eastAsia="Cambria" w:hAnsi="Times New Roman" w:cs="Times New Roman"/>
          <w:color w:val="000000"/>
        </w:rPr>
        <w:t>health expenditure, to</w:t>
      </w:r>
      <w:r>
        <w:rPr>
          <w:rFonts w:ascii="Times New Roman" w:eastAsia="Cambria" w:hAnsi="Times New Roman" w:cs="Times New Roman"/>
          <w:color w:val="000000"/>
        </w:rPr>
        <w:t xml:space="preserve"> effectively estimate the logarithmic</w:t>
      </w:r>
      <w:r w:rsidRPr="00EC17F3">
        <w:rPr>
          <w:rFonts w:ascii="Times New Roman" w:eastAsia="Cambria" w:hAnsi="Times New Roman" w:cs="Times New Roman"/>
          <w:color w:val="000000"/>
        </w:rPr>
        <w:t xml:space="preserve"> version of a regression of </w:t>
      </w:r>
      <w:r w:rsidR="009E4616">
        <w:rPr>
          <w:rFonts w:ascii="Times New Roman" w:eastAsia="Cambria" w:hAnsi="Times New Roman" w:cs="Times New Roman"/>
          <w:color w:val="000000"/>
        </w:rPr>
        <w:t xml:space="preserve">our measure of inequality on </w:t>
      </w:r>
      <w:r w:rsidR="009E4616" w:rsidRPr="00EC17F3">
        <w:rPr>
          <w:rFonts w:ascii="Times New Roman" w:eastAsia="Cambria" w:hAnsi="Times New Roman" w:cs="Times New Roman"/>
          <w:color w:val="000000"/>
        </w:rPr>
        <w:t>the private</w:t>
      </w:r>
      <w:r w:rsidR="009E4616">
        <w:rPr>
          <w:rFonts w:ascii="Times New Roman" w:eastAsia="Cambria" w:hAnsi="Times New Roman" w:cs="Times New Roman"/>
          <w:color w:val="000000"/>
        </w:rPr>
        <w:t xml:space="preserve"> share of total health expenditure</w:t>
      </w:r>
      <w:r w:rsidR="00340590">
        <w:rPr>
          <w:rFonts w:ascii="Times New Roman" w:eastAsia="Cambria" w:hAnsi="Times New Roman" w:cs="Times New Roman"/>
          <w:color w:val="000000"/>
        </w:rPr>
        <w:t xml:space="preserve"> (not shown)</w:t>
      </w:r>
      <w:r w:rsidRPr="00EC17F3">
        <w:rPr>
          <w:rFonts w:ascii="Times New Roman" w:eastAsia="Cambria" w:hAnsi="Times New Roman" w:cs="Times New Roman"/>
          <w:color w:val="000000"/>
        </w:rPr>
        <w:t xml:space="preserve">. </w:t>
      </w:r>
      <w:r w:rsidR="009E4616" w:rsidRPr="00EC17F3">
        <w:rPr>
          <w:rFonts w:ascii="Times New Roman" w:eastAsia="Cambria" w:hAnsi="Times New Roman" w:cs="Times New Roman"/>
          <w:color w:val="000000"/>
        </w:rPr>
        <w:t>Overall,</w:t>
      </w:r>
      <w:r w:rsidR="00571B7D">
        <w:rPr>
          <w:rFonts w:ascii="Times New Roman" w:eastAsia="Cambria" w:hAnsi="Times New Roman" w:cs="Times New Roman"/>
          <w:color w:val="000000"/>
        </w:rPr>
        <w:t xml:space="preserve"> we obtain coefficients on the </w:t>
      </w:r>
      <w:r w:rsidR="009E4616" w:rsidRPr="00EC17F3">
        <w:rPr>
          <w:rFonts w:ascii="Times New Roman" w:eastAsia="Cambria" w:hAnsi="Times New Roman" w:cs="Times New Roman"/>
          <w:color w:val="000000"/>
        </w:rPr>
        <w:t>top 1% inco</w:t>
      </w:r>
      <w:r w:rsidR="009E4616">
        <w:rPr>
          <w:rFonts w:ascii="Times New Roman" w:eastAsia="Cambria" w:hAnsi="Times New Roman" w:cs="Times New Roman"/>
          <w:color w:val="000000"/>
        </w:rPr>
        <w:t xml:space="preserve">me share </w:t>
      </w:r>
      <w:r w:rsidR="00571B7D">
        <w:rPr>
          <w:rFonts w:ascii="Times New Roman" w:eastAsia="Cambria" w:hAnsi="Times New Roman" w:cs="Times New Roman"/>
          <w:color w:val="000000"/>
        </w:rPr>
        <w:t xml:space="preserve">varying between </w:t>
      </w:r>
      <w:r w:rsidR="009E4616">
        <w:rPr>
          <w:rFonts w:ascii="Times New Roman" w:eastAsia="Cambria" w:hAnsi="Times New Roman" w:cs="Times New Roman"/>
          <w:color w:val="000000"/>
        </w:rPr>
        <w:t>0.26</w:t>
      </w:r>
      <w:r w:rsidR="009E4616" w:rsidRPr="00EC17F3">
        <w:rPr>
          <w:rFonts w:ascii="Times New Roman" w:eastAsia="Cambria" w:hAnsi="Times New Roman" w:cs="Times New Roman"/>
          <w:color w:val="000000"/>
        </w:rPr>
        <w:t xml:space="preserve"> </w:t>
      </w:r>
      <w:r w:rsidR="00571B7D">
        <w:rPr>
          <w:rFonts w:ascii="Times New Roman" w:eastAsia="Cambria" w:hAnsi="Times New Roman" w:cs="Times New Roman"/>
          <w:color w:val="000000"/>
        </w:rPr>
        <w:t>and 0.54</w:t>
      </w:r>
      <w:r w:rsidR="009E4616" w:rsidRPr="00EC17F3">
        <w:rPr>
          <w:rFonts w:ascii="Times New Roman" w:eastAsia="Cambria" w:hAnsi="Times New Roman" w:cs="Times New Roman"/>
          <w:color w:val="000000"/>
        </w:rPr>
        <w:t xml:space="preserve">. </w:t>
      </w:r>
      <w:r w:rsidR="00A1786B">
        <w:rPr>
          <w:rFonts w:ascii="Times New Roman" w:eastAsia="Cambria" w:hAnsi="Times New Roman" w:cs="Times New Roman"/>
          <w:color w:val="000000"/>
        </w:rPr>
        <w:t xml:space="preserve">Similar patterns as those described in table 2, including smaller coefficients on the inequality variable as we move towards longer lags, can be observed. </w:t>
      </w:r>
    </w:p>
    <w:p w14:paraId="2A93A0ED" w14:textId="77777777" w:rsidR="00D50FA4" w:rsidRPr="00EC17F3" w:rsidRDefault="00D50FA4" w:rsidP="00D50FA4">
      <w:pPr>
        <w:jc w:val="both"/>
        <w:rPr>
          <w:rFonts w:ascii="Times New Roman" w:eastAsia="Cambria" w:hAnsi="Times New Roman" w:cs="Times New Roman"/>
          <w:color w:val="000000"/>
        </w:rPr>
      </w:pPr>
    </w:p>
    <w:p w14:paraId="7C917385" w14:textId="0B67F89C" w:rsidR="00D50FA4" w:rsidRDefault="00D73628" w:rsidP="00D50FA4">
      <w:pPr>
        <w:jc w:val="both"/>
        <w:rPr>
          <w:rFonts w:ascii="Times New Roman" w:eastAsia="Cambria" w:hAnsi="Times New Roman" w:cs="Times New Roman"/>
          <w:color w:val="000000"/>
        </w:rPr>
      </w:pPr>
      <w:r>
        <w:rPr>
          <w:rFonts w:ascii="Times New Roman" w:eastAsia="Cambria" w:hAnsi="Times New Roman" w:cs="Times New Roman"/>
          <w:color w:val="000000"/>
        </w:rPr>
        <w:t>Individuals (and therefore countries) can increase private expenditure on health care in a variety of ways including</w:t>
      </w:r>
      <w:r w:rsidR="00D50FA4">
        <w:rPr>
          <w:rFonts w:ascii="Times New Roman" w:eastAsia="Cambria" w:hAnsi="Times New Roman" w:cs="Times New Roman"/>
          <w:color w:val="000000"/>
        </w:rPr>
        <w:t>: (</w:t>
      </w:r>
      <w:proofErr w:type="spellStart"/>
      <w:r w:rsidR="00D50FA4">
        <w:rPr>
          <w:rFonts w:ascii="Times New Roman" w:eastAsia="Cambria" w:hAnsi="Times New Roman" w:cs="Times New Roman"/>
          <w:color w:val="000000"/>
        </w:rPr>
        <w:t>i</w:t>
      </w:r>
      <w:proofErr w:type="spellEnd"/>
      <w:r w:rsidR="00D50FA4">
        <w:rPr>
          <w:rFonts w:ascii="Times New Roman" w:eastAsia="Cambria" w:hAnsi="Times New Roman" w:cs="Times New Roman"/>
          <w:color w:val="000000"/>
        </w:rPr>
        <w:t>)</w:t>
      </w:r>
      <w:r w:rsidR="00D50FA4" w:rsidRPr="00EC17F3">
        <w:rPr>
          <w:rFonts w:ascii="Times New Roman" w:eastAsia="Cambria" w:hAnsi="Times New Roman" w:cs="Times New Roman"/>
          <w:color w:val="000000"/>
        </w:rPr>
        <w:t xml:space="preserve"> an increase in the scope or </w:t>
      </w:r>
      <w:r w:rsidR="001A05E7">
        <w:rPr>
          <w:rFonts w:ascii="Times New Roman" w:eastAsia="Cambria" w:hAnsi="Times New Roman" w:cs="Times New Roman"/>
          <w:color w:val="000000"/>
        </w:rPr>
        <w:t>“</w:t>
      </w:r>
      <w:r w:rsidR="00D50FA4" w:rsidRPr="00EC17F3">
        <w:rPr>
          <w:rFonts w:ascii="Times New Roman" w:eastAsia="Cambria" w:hAnsi="Times New Roman" w:cs="Times New Roman"/>
          <w:color w:val="000000"/>
        </w:rPr>
        <w:t>quality</w:t>
      </w:r>
      <w:r w:rsidR="001A05E7">
        <w:rPr>
          <w:rFonts w:ascii="Times New Roman" w:eastAsia="Cambria" w:hAnsi="Times New Roman" w:cs="Times New Roman"/>
          <w:color w:val="000000"/>
        </w:rPr>
        <w:t>”</w:t>
      </w:r>
      <w:r w:rsidR="00D50FA4" w:rsidRPr="00EC17F3">
        <w:rPr>
          <w:rFonts w:ascii="Times New Roman" w:eastAsia="Cambria" w:hAnsi="Times New Roman" w:cs="Times New Roman"/>
          <w:color w:val="000000"/>
        </w:rPr>
        <w:t xml:space="preserve"> of the voluntary health insurance schemes purchased by individuals already covered by </w:t>
      </w:r>
      <w:r w:rsidR="00D50FA4">
        <w:rPr>
          <w:rFonts w:ascii="Times New Roman" w:eastAsia="Cambria" w:hAnsi="Times New Roman" w:cs="Times New Roman"/>
          <w:color w:val="000000"/>
        </w:rPr>
        <w:t xml:space="preserve">some form of private insurance; (ii) </w:t>
      </w:r>
      <w:r w:rsidR="00D50FA4" w:rsidRPr="00EC17F3">
        <w:rPr>
          <w:rFonts w:ascii="Times New Roman" w:eastAsia="Cambria" w:hAnsi="Times New Roman" w:cs="Times New Roman"/>
          <w:color w:val="000000"/>
        </w:rPr>
        <w:t xml:space="preserve">an increase in the share of the population </w:t>
      </w:r>
      <w:r w:rsidR="00903A3B">
        <w:rPr>
          <w:rFonts w:ascii="Times New Roman" w:eastAsia="Cambria" w:hAnsi="Times New Roman" w:cs="Times New Roman"/>
          <w:color w:val="000000"/>
        </w:rPr>
        <w:t>buying</w:t>
      </w:r>
      <w:r w:rsidR="00D50FA4" w:rsidRPr="00EC17F3">
        <w:rPr>
          <w:rFonts w:ascii="Times New Roman" w:eastAsia="Cambria" w:hAnsi="Times New Roman" w:cs="Times New Roman"/>
          <w:color w:val="000000"/>
        </w:rPr>
        <w:t xml:space="preserve"> private health insurance coverage</w:t>
      </w:r>
      <w:r w:rsidR="00DE448C">
        <w:rPr>
          <w:rFonts w:ascii="Times New Roman" w:eastAsia="Cambria" w:hAnsi="Times New Roman" w:cs="Times New Roman"/>
          <w:color w:val="000000"/>
        </w:rPr>
        <w:t xml:space="preserve"> (</w:t>
      </w:r>
      <w:r w:rsidR="00916705">
        <w:rPr>
          <w:rFonts w:ascii="Times New Roman" w:eastAsia="Cambria" w:hAnsi="Times New Roman" w:cs="Times New Roman"/>
          <w:color w:val="000000"/>
        </w:rPr>
        <w:t xml:space="preserve">purchased </w:t>
      </w:r>
      <w:r w:rsidR="00DE448C">
        <w:rPr>
          <w:rFonts w:ascii="Times New Roman" w:eastAsia="Cambria" w:hAnsi="Times New Roman" w:cs="Times New Roman"/>
          <w:color w:val="000000"/>
        </w:rPr>
        <w:t>individual</w:t>
      </w:r>
      <w:r w:rsidR="00916705">
        <w:rPr>
          <w:rFonts w:ascii="Times New Roman" w:eastAsia="Cambria" w:hAnsi="Times New Roman" w:cs="Times New Roman"/>
          <w:color w:val="000000"/>
        </w:rPr>
        <w:t>ly</w:t>
      </w:r>
      <w:r w:rsidR="00DE448C">
        <w:rPr>
          <w:rFonts w:ascii="Times New Roman" w:eastAsia="Cambria" w:hAnsi="Times New Roman" w:cs="Times New Roman"/>
          <w:color w:val="000000"/>
        </w:rPr>
        <w:t>, or provided through an employer sponsored plan)</w:t>
      </w:r>
      <w:r w:rsidR="00D50FA4" w:rsidRPr="00EC17F3">
        <w:rPr>
          <w:rFonts w:ascii="Times New Roman" w:eastAsia="Cambria" w:hAnsi="Times New Roman" w:cs="Times New Roman"/>
          <w:color w:val="000000"/>
        </w:rPr>
        <w:t>, or</w:t>
      </w:r>
      <w:r w:rsidR="00D50FA4">
        <w:rPr>
          <w:rFonts w:ascii="Times New Roman" w:eastAsia="Cambria" w:hAnsi="Times New Roman" w:cs="Times New Roman"/>
          <w:color w:val="000000"/>
        </w:rPr>
        <w:t>; (iii)</w:t>
      </w:r>
      <w:r w:rsidR="00D50FA4" w:rsidRPr="00EC17F3">
        <w:rPr>
          <w:rFonts w:ascii="Times New Roman" w:eastAsia="Cambria" w:hAnsi="Times New Roman" w:cs="Times New Roman"/>
          <w:color w:val="000000"/>
        </w:rPr>
        <w:t xml:space="preserve"> an increase in the total amount spent out-of-pocket for health care services and medication. </w:t>
      </w:r>
      <w:r w:rsidR="00D50FA4" w:rsidRPr="00EC2F88">
        <w:rPr>
          <w:rFonts w:ascii="Times New Roman" w:eastAsia="Cambria" w:hAnsi="Times New Roman" w:cs="Times New Roman"/>
          <w:color w:val="000000"/>
        </w:rPr>
        <w:t xml:space="preserve">Tables </w:t>
      </w:r>
      <w:r w:rsidR="00EC2F88">
        <w:rPr>
          <w:rFonts w:ascii="Times New Roman" w:eastAsia="Cambria" w:hAnsi="Times New Roman" w:cs="Times New Roman"/>
          <w:color w:val="000000"/>
        </w:rPr>
        <w:t>3</w:t>
      </w:r>
      <w:r w:rsidR="00D50FA4" w:rsidRPr="00EC2F88">
        <w:rPr>
          <w:rFonts w:ascii="Times New Roman" w:eastAsia="Cambria" w:hAnsi="Times New Roman" w:cs="Times New Roman"/>
          <w:color w:val="000000"/>
        </w:rPr>
        <w:t xml:space="preserve"> and </w:t>
      </w:r>
      <w:r w:rsidR="00EC2F88">
        <w:rPr>
          <w:rFonts w:ascii="Times New Roman" w:eastAsia="Cambria" w:hAnsi="Times New Roman" w:cs="Times New Roman"/>
          <w:color w:val="000000"/>
        </w:rPr>
        <w:t>4</w:t>
      </w:r>
      <w:r w:rsidR="00D50FA4" w:rsidRPr="00EC2F88">
        <w:rPr>
          <w:rFonts w:ascii="Times New Roman" w:eastAsia="Cambria" w:hAnsi="Times New Roman" w:cs="Times New Roman"/>
          <w:color w:val="000000"/>
        </w:rPr>
        <w:t xml:space="preserve"> present</w:t>
      </w:r>
      <w:r w:rsidR="00D50FA4" w:rsidRPr="00EC17F3">
        <w:rPr>
          <w:rFonts w:ascii="Times New Roman" w:eastAsia="Cambria" w:hAnsi="Times New Roman" w:cs="Times New Roman"/>
          <w:color w:val="000000"/>
        </w:rPr>
        <w:t xml:space="preserve"> results that speak to the last two of these channels</w:t>
      </w:r>
      <w:r w:rsidR="00DD414A">
        <w:rPr>
          <w:rFonts w:ascii="Times New Roman" w:eastAsia="Cambria" w:hAnsi="Times New Roman" w:cs="Times New Roman"/>
          <w:color w:val="000000"/>
        </w:rPr>
        <w:t>. The estimates</w:t>
      </w:r>
      <w:r w:rsidR="00D50FA4" w:rsidRPr="00EC17F3">
        <w:rPr>
          <w:rFonts w:ascii="Times New Roman" w:eastAsia="Cambria" w:hAnsi="Times New Roman" w:cs="Times New Roman"/>
          <w:color w:val="000000"/>
        </w:rPr>
        <w:t xml:space="preserve"> suggest that the uptake </w:t>
      </w:r>
      <w:r w:rsidR="003F7D1D">
        <w:rPr>
          <w:rFonts w:ascii="Times New Roman" w:eastAsia="Cambria" w:hAnsi="Times New Roman" w:cs="Times New Roman"/>
          <w:color w:val="000000"/>
        </w:rPr>
        <w:t>of</w:t>
      </w:r>
      <w:r w:rsidR="003F7D1D" w:rsidRPr="00EC17F3">
        <w:rPr>
          <w:rFonts w:ascii="Times New Roman" w:eastAsia="Cambria" w:hAnsi="Times New Roman" w:cs="Times New Roman"/>
          <w:color w:val="000000"/>
        </w:rPr>
        <w:t xml:space="preserve"> </w:t>
      </w:r>
      <w:r w:rsidR="00D50FA4" w:rsidRPr="00EC17F3">
        <w:rPr>
          <w:rFonts w:ascii="Times New Roman" w:eastAsia="Cambria" w:hAnsi="Times New Roman" w:cs="Times New Roman"/>
          <w:color w:val="000000"/>
        </w:rPr>
        <w:t xml:space="preserve">private health insurance in the population is likely the main driver behind the positive association between inequality and private health care spending. </w:t>
      </w:r>
    </w:p>
    <w:p w14:paraId="7309A3D5" w14:textId="77777777" w:rsidR="00D50FA4" w:rsidRDefault="00D50FA4" w:rsidP="00D50FA4">
      <w:pPr>
        <w:jc w:val="both"/>
        <w:rPr>
          <w:rFonts w:ascii="Times New Roman" w:eastAsia="Cambria" w:hAnsi="Times New Roman" w:cs="Times New Roman"/>
          <w:color w:val="000000"/>
        </w:rPr>
      </w:pPr>
    </w:p>
    <w:p w14:paraId="53DF1F95" w14:textId="77777777" w:rsidR="00897FA7" w:rsidRDefault="00DE448C" w:rsidP="00D50FA4">
      <w:pPr>
        <w:jc w:val="both"/>
        <w:rPr>
          <w:rFonts w:ascii="Times New Roman" w:eastAsia="Cambria" w:hAnsi="Times New Roman" w:cs="Times New Roman"/>
          <w:color w:val="000000"/>
        </w:rPr>
      </w:pPr>
      <w:r>
        <w:rPr>
          <w:rFonts w:ascii="Times New Roman" w:eastAsia="Cambria" w:hAnsi="Times New Roman" w:cs="Times New Roman"/>
          <w:color w:val="000000"/>
        </w:rPr>
        <w:t>T</w:t>
      </w:r>
      <w:r w:rsidR="00D50FA4" w:rsidRPr="00EC2F88">
        <w:rPr>
          <w:rFonts w:ascii="Times New Roman" w:eastAsia="Cambria" w:hAnsi="Times New Roman" w:cs="Times New Roman"/>
          <w:color w:val="000000"/>
        </w:rPr>
        <w:t xml:space="preserve">able </w:t>
      </w:r>
      <w:r w:rsidR="00A1786B" w:rsidRPr="005117D8">
        <w:rPr>
          <w:rFonts w:ascii="Times New Roman" w:eastAsia="Cambria" w:hAnsi="Times New Roman" w:cs="Times New Roman"/>
          <w:color w:val="000000"/>
        </w:rPr>
        <w:t>3</w:t>
      </w:r>
      <w:r w:rsidR="00D50FA4" w:rsidRPr="00EC2F88">
        <w:rPr>
          <w:rFonts w:ascii="Times New Roman" w:eastAsia="Cambria" w:hAnsi="Times New Roman" w:cs="Times New Roman"/>
          <w:color w:val="000000"/>
        </w:rPr>
        <w:t xml:space="preserve"> presents the results when we estimate </w:t>
      </w:r>
      <w:r>
        <w:rPr>
          <w:rFonts w:ascii="Times New Roman" w:eastAsia="Cambria" w:hAnsi="Times New Roman" w:cs="Times New Roman"/>
          <w:color w:val="000000"/>
        </w:rPr>
        <w:t xml:space="preserve">a version of </w:t>
      </w:r>
      <w:r w:rsidR="00D50FA4" w:rsidRPr="00EC2F88">
        <w:rPr>
          <w:rFonts w:ascii="Times New Roman" w:eastAsia="Cambria" w:hAnsi="Times New Roman" w:cs="Times New Roman"/>
          <w:color w:val="000000"/>
        </w:rPr>
        <w:t xml:space="preserve">equation </w:t>
      </w:r>
      <w:r w:rsidR="00784DF8">
        <w:rPr>
          <w:rFonts w:ascii="Times New Roman" w:eastAsia="Cambria" w:hAnsi="Times New Roman" w:cs="Times New Roman"/>
          <w:color w:val="000000"/>
        </w:rPr>
        <w:t>(</w:t>
      </w:r>
      <w:r w:rsidR="00D50FA4" w:rsidRPr="00EC2F88">
        <w:rPr>
          <w:rFonts w:ascii="Times New Roman" w:eastAsia="Cambria" w:hAnsi="Times New Roman" w:cs="Times New Roman"/>
          <w:color w:val="000000"/>
        </w:rPr>
        <w:t>1</w:t>
      </w:r>
      <w:r w:rsidR="00784DF8">
        <w:rPr>
          <w:rFonts w:ascii="Times New Roman" w:eastAsia="Cambria" w:hAnsi="Times New Roman" w:cs="Times New Roman"/>
          <w:color w:val="000000"/>
        </w:rPr>
        <w:t>)</w:t>
      </w:r>
      <w:r w:rsidR="00D50FA4" w:rsidRPr="00EC2F88">
        <w:rPr>
          <w:rFonts w:ascii="Times New Roman" w:eastAsia="Cambria" w:hAnsi="Times New Roman" w:cs="Times New Roman"/>
          <w:color w:val="000000"/>
        </w:rPr>
        <w:t xml:space="preserve"> </w:t>
      </w:r>
      <w:r>
        <w:rPr>
          <w:rFonts w:ascii="Times New Roman" w:eastAsia="Cambria" w:hAnsi="Times New Roman" w:cs="Times New Roman"/>
          <w:color w:val="000000"/>
        </w:rPr>
        <w:t>in which</w:t>
      </w:r>
      <w:r w:rsidR="00D50FA4" w:rsidRPr="00EC2F88">
        <w:rPr>
          <w:rFonts w:ascii="Times New Roman" w:eastAsia="Cambria" w:hAnsi="Times New Roman" w:cs="Times New Roman"/>
          <w:color w:val="000000"/>
        </w:rPr>
        <w:t xml:space="preserve"> </w:t>
      </w:r>
      <w:r w:rsidR="00D50FA4" w:rsidRPr="00EC2F88">
        <w:rPr>
          <w:rFonts w:ascii="Times New Roman" w:eastAsia="Cambria" w:hAnsi="Times New Roman" w:cs="Menlo Regular"/>
          <w:i/>
          <w:color w:val="000000"/>
          <w:szCs w:val="22"/>
        </w:rPr>
        <w:t xml:space="preserve">Ln </w:t>
      </w:r>
      <w:proofErr w:type="spellStart"/>
      <w:r w:rsidR="00D50FA4" w:rsidRPr="00EC2F88">
        <w:rPr>
          <w:rFonts w:ascii="Times New Roman" w:eastAsia="Cambria" w:hAnsi="Times New Roman" w:cs="Menlo Regular"/>
          <w:i/>
          <w:color w:val="000000"/>
          <w:szCs w:val="22"/>
        </w:rPr>
        <w:t>Private</w:t>
      </w:r>
      <w:r w:rsidR="00D50FA4" w:rsidRPr="00EC2F88">
        <w:rPr>
          <w:rFonts w:ascii="Times New Roman" w:eastAsia="Cambria" w:hAnsi="Times New Roman" w:cs="Menlo Regular"/>
          <w:i/>
          <w:color w:val="000000"/>
          <w:szCs w:val="22"/>
          <w:vertAlign w:val="subscript"/>
        </w:rPr>
        <w:t>ct</w:t>
      </w:r>
      <w:proofErr w:type="spellEnd"/>
      <w:r w:rsidR="00D50FA4" w:rsidRPr="00EC2F88">
        <w:rPr>
          <w:rFonts w:ascii="Times New Roman" w:eastAsia="Cambria" w:hAnsi="Times New Roman" w:cs="Menlo Regular"/>
          <w:i/>
          <w:color w:val="000000"/>
          <w:szCs w:val="22"/>
        </w:rPr>
        <w:t xml:space="preserve"> </w:t>
      </w:r>
      <w:r>
        <w:rPr>
          <w:rFonts w:ascii="Times New Roman" w:eastAsia="Cambria" w:hAnsi="Times New Roman" w:cs="Times New Roman"/>
          <w:color w:val="000000"/>
        </w:rPr>
        <w:t>represents</w:t>
      </w:r>
      <w:r w:rsidR="00D50FA4" w:rsidRPr="00EC2F88">
        <w:rPr>
          <w:rFonts w:ascii="Times New Roman" w:eastAsia="Cambria" w:hAnsi="Times New Roman" w:cs="Times New Roman"/>
          <w:color w:val="000000"/>
        </w:rPr>
        <w:t xml:space="preserve"> the natural logarithm of the population covered by private health insurance, which</w:t>
      </w:r>
      <w:r w:rsidR="00DF4FD5">
        <w:rPr>
          <w:rFonts w:ascii="Times New Roman" w:eastAsia="Cambria" w:hAnsi="Times New Roman" w:cs="Times New Roman"/>
          <w:color w:val="000000"/>
        </w:rPr>
        <w:t xml:space="preserve"> </w:t>
      </w:r>
      <w:r w:rsidR="00D50FA4" w:rsidRPr="00EC2F88">
        <w:rPr>
          <w:rFonts w:ascii="Times New Roman" w:eastAsia="Cambria" w:hAnsi="Times New Roman" w:cs="Times New Roman"/>
          <w:color w:val="000000"/>
        </w:rPr>
        <w:t>corresponds to estimating the logged version of a regression of the private health insurance</w:t>
      </w:r>
      <w:r w:rsidR="00D50FA4">
        <w:rPr>
          <w:rFonts w:ascii="Times New Roman" w:eastAsia="Cambria" w:hAnsi="Times New Roman" w:cs="Times New Roman"/>
          <w:color w:val="000000"/>
        </w:rPr>
        <w:t xml:space="preserve"> </w:t>
      </w:r>
      <w:r w:rsidR="00DF4FD5">
        <w:rPr>
          <w:rFonts w:ascii="Times New Roman" w:eastAsia="Cambria" w:hAnsi="Times New Roman" w:cs="Times New Roman"/>
          <w:color w:val="000000"/>
        </w:rPr>
        <w:t xml:space="preserve">coverage in the population </w:t>
      </w:r>
      <w:r w:rsidR="00D50FA4">
        <w:rPr>
          <w:rFonts w:ascii="Times New Roman" w:eastAsia="Cambria" w:hAnsi="Times New Roman" w:cs="Times New Roman"/>
          <w:color w:val="000000"/>
        </w:rPr>
        <w:t>on the income share of the top 1%</w:t>
      </w:r>
      <w:r w:rsidR="00D73628">
        <w:rPr>
          <w:rStyle w:val="FootnoteReference"/>
          <w:rFonts w:ascii="Times New Roman" w:eastAsia="Cambria" w:hAnsi="Times New Roman" w:cs="Times New Roman"/>
          <w:color w:val="000000"/>
        </w:rPr>
        <w:footnoteReference w:id="12"/>
      </w:r>
      <w:r w:rsidR="00D50FA4">
        <w:rPr>
          <w:rFonts w:ascii="Times New Roman" w:eastAsia="Cambria" w:hAnsi="Times New Roman" w:cs="Times New Roman"/>
          <w:color w:val="000000"/>
        </w:rPr>
        <w:t xml:space="preserve">. We estimate a positive and statistically significant </w:t>
      </w:r>
      <w:r w:rsidR="00571B7D">
        <w:rPr>
          <w:rFonts w:ascii="Times New Roman" w:eastAsia="Cambria" w:hAnsi="Times New Roman" w:cs="Times New Roman"/>
          <w:color w:val="000000"/>
        </w:rPr>
        <w:t>relationship (0.8</w:t>
      </w:r>
      <w:r w:rsidR="00340590">
        <w:rPr>
          <w:rFonts w:ascii="Times New Roman" w:eastAsia="Cambria" w:hAnsi="Times New Roman" w:cs="Times New Roman"/>
          <w:color w:val="000000"/>
        </w:rPr>
        <w:t>6</w:t>
      </w:r>
      <w:r w:rsidR="00571B7D">
        <w:rPr>
          <w:rFonts w:ascii="Times New Roman" w:eastAsia="Cambria" w:hAnsi="Times New Roman" w:cs="Times New Roman"/>
          <w:color w:val="000000"/>
        </w:rPr>
        <w:t xml:space="preserve">) between </w:t>
      </w:r>
      <w:r w:rsidR="00D50FA4">
        <w:rPr>
          <w:rFonts w:ascii="Times New Roman" w:eastAsia="Cambria" w:hAnsi="Times New Roman" w:cs="Times New Roman"/>
          <w:color w:val="000000"/>
        </w:rPr>
        <w:t xml:space="preserve">the top 1% income </w:t>
      </w:r>
      <w:r w:rsidR="00571B7D">
        <w:rPr>
          <w:rFonts w:ascii="Times New Roman" w:eastAsia="Cambria" w:hAnsi="Times New Roman" w:cs="Times New Roman"/>
          <w:color w:val="000000"/>
        </w:rPr>
        <w:t>and the share of</w:t>
      </w:r>
      <w:r w:rsidR="00D50FA4">
        <w:rPr>
          <w:rFonts w:ascii="Times New Roman" w:eastAsia="Cambria" w:hAnsi="Times New Roman" w:cs="Times New Roman"/>
          <w:color w:val="000000"/>
        </w:rPr>
        <w:t xml:space="preserve"> the population covered by some form of private health insurance. </w:t>
      </w:r>
      <w:r w:rsidR="00690576">
        <w:rPr>
          <w:rFonts w:ascii="Times New Roman" w:eastAsia="Cambria" w:hAnsi="Times New Roman" w:cs="Times New Roman"/>
          <w:color w:val="000000"/>
        </w:rPr>
        <w:t xml:space="preserve">These results are consistent when controlling for the log of public health expenditure or for the log of total health expenditure. </w:t>
      </w:r>
      <w:r w:rsidR="00D50FA4">
        <w:rPr>
          <w:rFonts w:ascii="Times New Roman" w:eastAsia="Cambria" w:hAnsi="Times New Roman" w:cs="Times New Roman"/>
          <w:color w:val="000000"/>
        </w:rPr>
        <w:t xml:space="preserve">Re-estimating the same model separately for </w:t>
      </w:r>
      <w:r w:rsidR="00332646">
        <w:rPr>
          <w:rFonts w:ascii="Times New Roman" w:eastAsia="Cambria" w:hAnsi="Times New Roman" w:cs="Times New Roman"/>
          <w:color w:val="000000"/>
        </w:rPr>
        <w:t xml:space="preserve">country-year pairs </w:t>
      </w:r>
      <w:r w:rsidR="00D50FA4">
        <w:rPr>
          <w:rFonts w:ascii="Times New Roman" w:eastAsia="Cambria" w:hAnsi="Times New Roman" w:cs="Times New Roman"/>
          <w:color w:val="000000"/>
        </w:rPr>
        <w:t>with a private insurance coverage below and above 32.5% (the median coverage rate) suggests that this</w:t>
      </w:r>
      <w:r w:rsidR="00332646">
        <w:rPr>
          <w:rFonts w:ascii="Times New Roman" w:eastAsia="Cambria" w:hAnsi="Times New Roman" w:cs="Times New Roman"/>
          <w:color w:val="000000"/>
        </w:rPr>
        <w:t xml:space="preserve"> estimated impact mostly comes from </w:t>
      </w:r>
      <w:r w:rsidR="00D50FA4">
        <w:rPr>
          <w:rFonts w:ascii="Times New Roman" w:eastAsia="Cambria" w:hAnsi="Times New Roman" w:cs="Times New Roman"/>
          <w:color w:val="000000"/>
        </w:rPr>
        <w:t>contexts where baseline private coverage is low. We also note that, in our sample,</w:t>
      </w:r>
      <w:r w:rsidR="00D50FA4" w:rsidRPr="00EC17F3">
        <w:rPr>
          <w:rFonts w:ascii="Times New Roman" w:eastAsia="Cambria" w:hAnsi="Times New Roman" w:cs="Times New Roman"/>
          <w:color w:val="000000"/>
        </w:rPr>
        <w:t xml:space="preserve"> the income share of individuals between the 90</w:t>
      </w:r>
      <w:r w:rsidR="00D50FA4" w:rsidRPr="00EC17F3">
        <w:rPr>
          <w:rFonts w:ascii="Times New Roman" w:eastAsia="Cambria" w:hAnsi="Times New Roman" w:cs="Times New Roman"/>
          <w:color w:val="000000"/>
          <w:vertAlign w:val="superscript"/>
        </w:rPr>
        <w:t xml:space="preserve">th </w:t>
      </w:r>
      <w:r w:rsidR="00D50FA4" w:rsidRPr="00EC17F3">
        <w:rPr>
          <w:rFonts w:ascii="Times New Roman" w:eastAsia="Cambria" w:hAnsi="Times New Roman" w:cs="Times New Roman"/>
          <w:color w:val="000000"/>
        </w:rPr>
        <w:t>and the 99</w:t>
      </w:r>
      <w:r w:rsidR="00D50FA4" w:rsidRPr="00EC17F3">
        <w:rPr>
          <w:rFonts w:ascii="Times New Roman" w:eastAsia="Cambria" w:hAnsi="Times New Roman" w:cs="Times New Roman"/>
          <w:color w:val="000000"/>
          <w:vertAlign w:val="superscript"/>
        </w:rPr>
        <w:t xml:space="preserve">th </w:t>
      </w:r>
      <w:r w:rsidR="00D50FA4" w:rsidRPr="00EC17F3">
        <w:rPr>
          <w:rFonts w:ascii="Times New Roman" w:eastAsia="Cambria" w:hAnsi="Times New Roman" w:cs="Times New Roman"/>
          <w:color w:val="000000"/>
        </w:rPr>
        <w:t xml:space="preserve">percentile of the income distribution has increased as the income share of the top 1% was also increasing. </w:t>
      </w:r>
      <w:r w:rsidR="00D50FA4">
        <w:rPr>
          <w:rFonts w:ascii="Times New Roman" w:eastAsia="Cambria" w:hAnsi="Times New Roman" w:cs="Times New Roman"/>
          <w:color w:val="000000"/>
        </w:rPr>
        <w:t>Our result might therefore capture the fact that as individuals at the top of the income distribution (</w:t>
      </w:r>
      <w:r w:rsidR="00743EEF">
        <w:rPr>
          <w:rFonts w:ascii="Times New Roman" w:eastAsia="Cambria" w:hAnsi="Times New Roman" w:cs="Times New Roman"/>
          <w:color w:val="000000"/>
        </w:rPr>
        <w:t xml:space="preserve">described more broadly than </w:t>
      </w:r>
      <w:r w:rsidR="00D50FA4">
        <w:rPr>
          <w:rFonts w:ascii="Times New Roman" w:eastAsia="Cambria" w:hAnsi="Times New Roman" w:cs="Times New Roman"/>
          <w:color w:val="000000"/>
        </w:rPr>
        <w:t>solely the top 1%) get</w:t>
      </w:r>
      <w:r w:rsidR="00D50FA4" w:rsidRPr="00EC17F3">
        <w:rPr>
          <w:rFonts w:ascii="Times New Roman" w:eastAsia="Cambria" w:hAnsi="Times New Roman" w:cs="Times New Roman"/>
          <w:color w:val="000000"/>
        </w:rPr>
        <w:t xml:space="preserve"> relatively richer, their preferences for</w:t>
      </w:r>
      <w:r w:rsidR="00D50FA4">
        <w:rPr>
          <w:rFonts w:ascii="Times New Roman" w:eastAsia="Cambria" w:hAnsi="Times New Roman" w:cs="Times New Roman"/>
          <w:color w:val="000000"/>
        </w:rPr>
        <w:t xml:space="preserve"> </w:t>
      </w:r>
      <w:r w:rsidR="00D50FA4" w:rsidRPr="00EC17F3">
        <w:rPr>
          <w:rFonts w:ascii="Times New Roman" w:eastAsia="Cambria" w:hAnsi="Times New Roman" w:cs="Times New Roman"/>
          <w:color w:val="000000"/>
        </w:rPr>
        <w:t xml:space="preserve">faster </w:t>
      </w:r>
      <w:r w:rsidR="00D50FA4">
        <w:rPr>
          <w:rFonts w:ascii="Times New Roman" w:eastAsia="Cambria" w:hAnsi="Times New Roman" w:cs="Times New Roman"/>
          <w:color w:val="000000"/>
        </w:rPr>
        <w:t xml:space="preserve">access to care, </w:t>
      </w:r>
      <w:r w:rsidR="00D50FA4" w:rsidRPr="00EC17F3">
        <w:rPr>
          <w:rFonts w:ascii="Times New Roman" w:eastAsia="Cambria" w:hAnsi="Times New Roman" w:cs="Times New Roman"/>
          <w:color w:val="000000"/>
        </w:rPr>
        <w:t>improve</w:t>
      </w:r>
      <w:r w:rsidR="00D50FA4">
        <w:rPr>
          <w:rFonts w:ascii="Times New Roman" w:eastAsia="Cambria" w:hAnsi="Times New Roman" w:cs="Times New Roman"/>
          <w:color w:val="000000"/>
        </w:rPr>
        <w:t xml:space="preserve">d </w:t>
      </w:r>
      <w:r w:rsidR="00D50FA4">
        <w:rPr>
          <w:rFonts w:ascii="Times New Roman" w:eastAsia="Cambria" w:hAnsi="Times New Roman" w:cs="Times New Roman"/>
          <w:color w:val="000000"/>
        </w:rPr>
        <w:lastRenderedPageBreak/>
        <w:t>quality of</w:t>
      </w:r>
      <w:r w:rsidR="00D50FA4" w:rsidRPr="00EC17F3">
        <w:rPr>
          <w:rFonts w:ascii="Times New Roman" w:eastAsia="Cambria" w:hAnsi="Times New Roman" w:cs="Times New Roman"/>
          <w:color w:val="000000"/>
        </w:rPr>
        <w:t xml:space="preserve"> </w:t>
      </w:r>
      <w:r w:rsidR="00D50FA4">
        <w:rPr>
          <w:rFonts w:ascii="Times New Roman" w:eastAsia="Cambria" w:hAnsi="Times New Roman" w:cs="Times New Roman"/>
          <w:color w:val="000000"/>
        </w:rPr>
        <w:t xml:space="preserve">care </w:t>
      </w:r>
      <w:r w:rsidR="00D50FA4" w:rsidRPr="00EC17F3">
        <w:rPr>
          <w:rFonts w:ascii="Times New Roman" w:eastAsia="Cambria" w:hAnsi="Times New Roman" w:cs="Times New Roman"/>
          <w:color w:val="000000"/>
        </w:rPr>
        <w:t>(either through the quality of the care itself, or through a more extensive set of amenities</w:t>
      </w:r>
      <w:r w:rsidR="00D50FA4">
        <w:rPr>
          <w:rFonts w:ascii="Times New Roman" w:eastAsia="Cambria" w:hAnsi="Times New Roman" w:cs="Times New Roman"/>
          <w:color w:val="000000"/>
        </w:rPr>
        <w:t xml:space="preserve"> in healthcare establishments), </w:t>
      </w:r>
      <w:r w:rsidR="00897FA7">
        <w:rPr>
          <w:rFonts w:ascii="Times New Roman" w:eastAsia="Cambria" w:hAnsi="Times New Roman" w:cs="Times New Roman"/>
          <w:color w:val="000000"/>
        </w:rPr>
        <w:t xml:space="preserve">also </w:t>
      </w:r>
      <w:r w:rsidR="00D50FA4">
        <w:rPr>
          <w:rFonts w:ascii="Times New Roman" w:eastAsia="Cambria" w:hAnsi="Times New Roman" w:cs="Times New Roman"/>
          <w:color w:val="000000"/>
        </w:rPr>
        <w:t>leads them to opt in</w:t>
      </w:r>
      <w:r w:rsidR="003F7D1D">
        <w:rPr>
          <w:rFonts w:ascii="Times New Roman" w:eastAsia="Cambria" w:hAnsi="Times New Roman" w:cs="Times New Roman"/>
          <w:color w:val="000000"/>
        </w:rPr>
        <w:t xml:space="preserve"> to</w:t>
      </w:r>
      <w:r w:rsidR="00D50FA4">
        <w:rPr>
          <w:rFonts w:ascii="Times New Roman" w:eastAsia="Cambria" w:hAnsi="Times New Roman" w:cs="Times New Roman"/>
          <w:color w:val="000000"/>
        </w:rPr>
        <w:t xml:space="preserve"> private health insurance schemes</w:t>
      </w:r>
      <w:r w:rsidR="00D50FA4" w:rsidRPr="00EC17F3">
        <w:rPr>
          <w:rFonts w:ascii="Times New Roman" w:eastAsia="Cambria" w:hAnsi="Times New Roman" w:cs="Times New Roman"/>
          <w:color w:val="000000"/>
        </w:rPr>
        <w:t xml:space="preserve">. </w:t>
      </w:r>
      <w:r w:rsidR="00D50FA4">
        <w:rPr>
          <w:rFonts w:ascii="Times New Roman" w:eastAsia="Cambria" w:hAnsi="Times New Roman" w:cs="Times New Roman"/>
          <w:color w:val="000000"/>
        </w:rPr>
        <w:t>Substituting the natural logarithm of the top 1% income share by that of the top 5% and top 10% income share in a similar specification, we indeed estimate a positive relationship between ine</w:t>
      </w:r>
      <w:r w:rsidR="00D50FA4" w:rsidRPr="00EC2F88">
        <w:rPr>
          <w:rFonts w:ascii="Times New Roman" w:eastAsia="Cambria" w:hAnsi="Times New Roman" w:cs="Times New Roman"/>
          <w:color w:val="000000"/>
        </w:rPr>
        <w:t xml:space="preserve">quality at the top of the income distribution and private health insurance coverage. </w:t>
      </w:r>
    </w:p>
    <w:p w14:paraId="31CB850D" w14:textId="77777777" w:rsidR="001B7834" w:rsidRDefault="001B7834" w:rsidP="00D50FA4">
      <w:pPr>
        <w:jc w:val="both"/>
        <w:rPr>
          <w:rFonts w:ascii="Times New Roman" w:eastAsia="Cambria" w:hAnsi="Times New Roman" w:cs="Times New Roman"/>
          <w:color w:val="000000"/>
        </w:rPr>
      </w:pPr>
    </w:p>
    <w:p w14:paraId="67BC091B" w14:textId="0F1953EA" w:rsidR="00D50FA4" w:rsidRPr="00C22A89" w:rsidRDefault="00897FA7" w:rsidP="00D50FA4">
      <w:pPr>
        <w:jc w:val="both"/>
        <w:rPr>
          <w:rFonts w:ascii="Times New Roman" w:eastAsia="Cambria" w:hAnsi="Times New Roman" w:cs="Times New Roman"/>
          <w:color w:val="000000"/>
          <w:lang w:val="en-CA"/>
        </w:rPr>
      </w:pPr>
      <w:r>
        <w:rPr>
          <w:rFonts w:ascii="Times New Roman" w:eastAsia="Cambria" w:hAnsi="Times New Roman" w:cs="Times New Roman"/>
          <w:color w:val="000000"/>
        </w:rPr>
        <w:t>T</w:t>
      </w:r>
      <w:r w:rsidR="00D50FA4" w:rsidRPr="00EC2F88">
        <w:rPr>
          <w:rFonts w:ascii="Times New Roman" w:eastAsia="Cambria" w:hAnsi="Times New Roman" w:cs="Times New Roman"/>
          <w:color w:val="000000"/>
        </w:rPr>
        <w:t xml:space="preserve">able </w:t>
      </w:r>
      <w:r w:rsidR="00A1786B" w:rsidRPr="005117D8">
        <w:rPr>
          <w:rFonts w:ascii="Times New Roman" w:eastAsia="Cambria" w:hAnsi="Times New Roman" w:cs="Times New Roman"/>
          <w:color w:val="000000"/>
        </w:rPr>
        <w:t>4</w:t>
      </w:r>
      <w:r>
        <w:rPr>
          <w:rFonts w:ascii="Times New Roman" w:eastAsia="Cambria" w:hAnsi="Times New Roman" w:cs="Times New Roman"/>
          <w:color w:val="000000"/>
        </w:rPr>
        <w:t xml:space="preserve"> </w:t>
      </w:r>
      <w:r w:rsidR="00D50FA4" w:rsidRPr="00EC2F88">
        <w:rPr>
          <w:rFonts w:ascii="Times New Roman" w:eastAsia="Cambria" w:hAnsi="Times New Roman" w:cs="Times New Roman"/>
          <w:color w:val="000000"/>
        </w:rPr>
        <w:t>summarizes the</w:t>
      </w:r>
      <w:r w:rsidR="00743EEF" w:rsidRPr="00EC2F88">
        <w:rPr>
          <w:rFonts w:ascii="Times New Roman" w:eastAsia="Cambria" w:hAnsi="Times New Roman" w:cs="Times New Roman"/>
          <w:color w:val="000000"/>
        </w:rPr>
        <w:t xml:space="preserve"> results obtained</w:t>
      </w:r>
      <w:r w:rsidR="00D50FA4" w:rsidRPr="00EC2F88">
        <w:rPr>
          <w:rFonts w:ascii="Times New Roman" w:eastAsia="Cambria" w:hAnsi="Times New Roman" w:cs="Times New Roman"/>
          <w:color w:val="000000"/>
        </w:rPr>
        <w:t xml:space="preserve"> when the dependent variable in equation </w:t>
      </w:r>
      <w:r w:rsidR="00784DF8">
        <w:rPr>
          <w:rFonts w:ascii="Times New Roman" w:eastAsia="Cambria" w:hAnsi="Times New Roman" w:cs="Times New Roman"/>
          <w:color w:val="000000"/>
        </w:rPr>
        <w:t>(</w:t>
      </w:r>
      <w:r w:rsidR="00D50FA4" w:rsidRPr="00EC2F88">
        <w:rPr>
          <w:rFonts w:ascii="Times New Roman" w:eastAsia="Cambria" w:hAnsi="Times New Roman" w:cs="Times New Roman"/>
          <w:color w:val="000000"/>
        </w:rPr>
        <w:t>1</w:t>
      </w:r>
      <w:r w:rsidR="00784DF8">
        <w:rPr>
          <w:rFonts w:ascii="Times New Roman" w:eastAsia="Cambria" w:hAnsi="Times New Roman" w:cs="Times New Roman"/>
          <w:color w:val="000000"/>
        </w:rPr>
        <w:t>)</w:t>
      </w:r>
      <w:r w:rsidR="00D50FA4" w:rsidRPr="00EC2F88">
        <w:rPr>
          <w:rFonts w:ascii="Times New Roman" w:eastAsia="Cambria" w:hAnsi="Times New Roman" w:cs="Times New Roman"/>
          <w:color w:val="000000"/>
        </w:rPr>
        <w:t xml:space="preserve"> is defined as the natural logarithm of out-of-pocket health expenditure (controlling for the natural logarithm of </w:t>
      </w:r>
      <w:r w:rsidR="00094A6E">
        <w:rPr>
          <w:rFonts w:ascii="Times New Roman" w:eastAsia="Cambria" w:hAnsi="Times New Roman" w:cs="Times New Roman"/>
          <w:color w:val="000000"/>
        </w:rPr>
        <w:t>public</w:t>
      </w:r>
      <w:r w:rsidR="00D50FA4" w:rsidRPr="00EC2F88">
        <w:rPr>
          <w:rFonts w:ascii="Times New Roman" w:eastAsia="Cambria" w:hAnsi="Times New Roman" w:cs="Times New Roman"/>
          <w:color w:val="000000"/>
        </w:rPr>
        <w:t xml:space="preserve"> health</w:t>
      </w:r>
      <w:r w:rsidR="00D50FA4">
        <w:rPr>
          <w:rFonts w:ascii="Times New Roman" w:eastAsia="Cambria" w:hAnsi="Times New Roman" w:cs="Times New Roman"/>
          <w:color w:val="000000"/>
        </w:rPr>
        <w:t xml:space="preserve"> expenditure). We estimate </w:t>
      </w:r>
      <w:r w:rsidR="00690576">
        <w:rPr>
          <w:rFonts w:ascii="Times New Roman" w:eastAsia="Cambria" w:hAnsi="Times New Roman" w:cs="Times New Roman"/>
          <w:color w:val="000000"/>
        </w:rPr>
        <w:t>a</w:t>
      </w:r>
      <w:r w:rsidR="00D50FA4">
        <w:rPr>
          <w:rFonts w:ascii="Times New Roman" w:eastAsia="Cambria" w:hAnsi="Times New Roman" w:cs="Times New Roman"/>
          <w:color w:val="000000"/>
        </w:rPr>
        <w:t xml:space="preserve"> weaker relationship, suggesting that the growth in privately financed health expenditure observed as inequality increases is likely due to an increase in private insurance premiums, rather than co-payments or out-of-pocket payments for services that are not covered by public or private plans</w:t>
      </w:r>
      <w:r w:rsidR="00D73628">
        <w:rPr>
          <w:rFonts w:ascii="Times New Roman" w:eastAsia="Cambria" w:hAnsi="Times New Roman" w:cs="Times New Roman"/>
          <w:color w:val="000000"/>
        </w:rPr>
        <w:t>.</w:t>
      </w:r>
    </w:p>
    <w:p w14:paraId="33B6324B" w14:textId="77777777" w:rsidR="00D50FA4" w:rsidRDefault="00D50FA4" w:rsidP="00D50FA4">
      <w:pPr>
        <w:jc w:val="both"/>
        <w:rPr>
          <w:rFonts w:ascii="Times New Roman" w:eastAsia="Cambria" w:hAnsi="Times New Roman" w:cs="Times New Roman"/>
          <w:b/>
        </w:rPr>
      </w:pPr>
    </w:p>
    <w:p w14:paraId="6FB426C8" w14:textId="77777777" w:rsidR="00D50FA4" w:rsidRPr="006D3D5F" w:rsidRDefault="00215540" w:rsidP="00D50FA4">
      <w:pPr>
        <w:shd w:val="clear" w:color="auto" w:fill="FFFFFF"/>
        <w:jc w:val="both"/>
        <w:rPr>
          <w:rFonts w:ascii="Times" w:eastAsia="Cambria" w:hAnsi="Times" w:cs="Times New Roman"/>
          <w:sz w:val="20"/>
          <w:szCs w:val="20"/>
          <w:lang w:val="en-US" w:eastAsia="fr-FR"/>
        </w:rPr>
      </w:pPr>
      <w:r>
        <w:rPr>
          <w:rFonts w:ascii="Times New Roman" w:eastAsia="Cambria" w:hAnsi="Times New Roman" w:cs="Times New Roman"/>
        </w:rPr>
        <w:t>Appendix t</w:t>
      </w:r>
      <w:r w:rsidR="00D50FA4" w:rsidRPr="00EC2F88">
        <w:rPr>
          <w:rFonts w:ascii="Times New Roman" w:eastAsia="Cambria" w:hAnsi="Times New Roman" w:cs="Times New Roman"/>
        </w:rPr>
        <w:t xml:space="preserve">ables </w:t>
      </w:r>
      <w:r w:rsidR="00D50FA4" w:rsidRPr="005117D8">
        <w:rPr>
          <w:rFonts w:ascii="Times New Roman" w:eastAsia="Cambria" w:hAnsi="Times New Roman" w:cs="Times New Roman"/>
        </w:rPr>
        <w:t>A</w:t>
      </w:r>
      <w:r w:rsidR="00EC2F88" w:rsidRPr="005117D8">
        <w:rPr>
          <w:rFonts w:ascii="Times New Roman" w:eastAsia="Cambria" w:hAnsi="Times New Roman" w:cs="Times New Roman"/>
        </w:rPr>
        <w:t>1</w:t>
      </w:r>
      <w:r w:rsidR="00D50FA4" w:rsidRPr="00EC2F88">
        <w:rPr>
          <w:rFonts w:ascii="Times New Roman" w:eastAsia="Cambria" w:hAnsi="Times New Roman" w:cs="Times New Roman"/>
        </w:rPr>
        <w:t xml:space="preserve"> to </w:t>
      </w:r>
      <w:r w:rsidR="00D50FA4" w:rsidRPr="005117D8">
        <w:rPr>
          <w:rFonts w:ascii="Times New Roman" w:eastAsia="Cambria" w:hAnsi="Times New Roman" w:cs="Times New Roman"/>
        </w:rPr>
        <w:t>A</w:t>
      </w:r>
      <w:r w:rsidR="00EC2F88" w:rsidRPr="005117D8">
        <w:rPr>
          <w:rFonts w:ascii="Times New Roman" w:eastAsia="Cambria" w:hAnsi="Times New Roman" w:cs="Times New Roman"/>
        </w:rPr>
        <w:t>4</w:t>
      </w:r>
      <w:r w:rsidR="00D50FA4" w:rsidRPr="00EC2F88">
        <w:rPr>
          <w:rFonts w:ascii="Times New Roman" w:eastAsia="Cambria" w:hAnsi="Times New Roman" w:cs="Times New Roman"/>
        </w:rPr>
        <w:t xml:space="preserve"> </w:t>
      </w:r>
      <w:r w:rsidR="001A05E7">
        <w:rPr>
          <w:rFonts w:ascii="Times New Roman" w:eastAsia="Cambria" w:hAnsi="Times New Roman" w:cs="Times New Roman"/>
        </w:rPr>
        <w:t>(available upon request)</w:t>
      </w:r>
      <w:r w:rsidR="00D50FA4">
        <w:rPr>
          <w:rFonts w:ascii="Times New Roman" w:eastAsia="Cambria" w:hAnsi="Times New Roman" w:cs="Times New Roman"/>
        </w:rPr>
        <w:t xml:space="preserve"> suggest that our results are generally robust to measuring inequality using Gini coefficients in lieu of top income shares. However, statistically significant associations are harder to capture using disposable income ratios to consider separately the distance between the median and, respectively, the top and the bottom of the income distribution. </w:t>
      </w:r>
    </w:p>
    <w:p w14:paraId="6D40C80E" w14:textId="77777777" w:rsidR="003A10DB" w:rsidRDefault="003A10DB" w:rsidP="00D50FA4">
      <w:pPr>
        <w:jc w:val="both"/>
        <w:rPr>
          <w:rFonts w:ascii="Times New Roman" w:eastAsia="Cambria" w:hAnsi="Times New Roman" w:cs="Times New Roman"/>
          <w:b/>
          <w:lang w:val="en-US"/>
        </w:rPr>
      </w:pPr>
    </w:p>
    <w:p w14:paraId="6947B599" w14:textId="77777777" w:rsidR="003A10DB" w:rsidRPr="00C22A89" w:rsidRDefault="00215540" w:rsidP="00215540">
      <w:pPr>
        <w:jc w:val="both"/>
        <w:rPr>
          <w:rFonts w:ascii="Times New Roman" w:eastAsia="Cambria" w:hAnsi="Times New Roman" w:cs="Times New Roman"/>
          <w:lang w:val="en-US"/>
        </w:rPr>
      </w:pPr>
      <w:r>
        <w:rPr>
          <w:rFonts w:ascii="Times New Roman" w:eastAsia="Cambria" w:hAnsi="Times New Roman" w:cs="Times New Roman"/>
          <w:lang w:val="en-US"/>
        </w:rPr>
        <w:t>Our cross-country estimates are suggestive of a relationship between top income shares and private health spending, particularly through the purchase of private insurance. However, this finding could reflect a variety of underlying mechanism</w:t>
      </w:r>
      <w:r w:rsidR="003A0482">
        <w:rPr>
          <w:rFonts w:ascii="Times New Roman" w:eastAsia="Cambria" w:hAnsi="Times New Roman" w:cs="Times New Roman"/>
          <w:lang w:val="en-US"/>
        </w:rPr>
        <w:t>s</w:t>
      </w:r>
      <w:r>
        <w:rPr>
          <w:rFonts w:ascii="Times New Roman" w:eastAsia="Cambria" w:hAnsi="Times New Roman" w:cs="Times New Roman"/>
          <w:lang w:val="en-US"/>
        </w:rPr>
        <w:t xml:space="preserve">. To try and understand the extent to which the concentration of income at the top end of the distribution is driving this relationship we </w:t>
      </w:r>
      <w:r w:rsidR="003A10DB">
        <w:rPr>
          <w:rFonts w:ascii="Times New Roman" w:eastAsia="Cambria" w:hAnsi="Times New Roman" w:cs="Times New Roman"/>
          <w:lang w:val="en-CA"/>
        </w:rPr>
        <w:t xml:space="preserve">turn to a micro-data analysis of healthcare spending by Canadian households. </w:t>
      </w:r>
    </w:p>
    <w:p w14:paraId="7F0E99CD" w14:textId="77777777" w:rsidR="003A10DB" w:rsidRPr="00C22A89" w:rsidRDefault="003A10DB" w:rsidP="00D50FA4">
      <w:pPr>
        <w:jc w:val="both"/>
        <w:rPr>
          <w:rFonts w:ascii="Times New Roman" w:eastAsia="Cambria" w:hAnsi="Times New Roman" w:cs="Times New Roman"/>
          <w:b/>
          <w:lang w:val="en-CA"/>
        </w:rPr>
      </w:pPr>
    </w:p>
    <w:p w14:paraId="6E2F4AE6" w14:textId="77777777" w:rsidR="00D50FA4" w:rsidRDefault="001207ED" w:rsidP="00CC5CC1">
      <w:pPr>
        <w:jc w:val="both"/>
        <w:outlineLvl w:val="0"/>
        <w:rPr>
          <w:rFonts w:ascii="Times New Roman" w:eastAsia="Cambria" w:hAnsi="Times New Roman" w:cs="Times New Roman"/>
          <w:b/>
        </w:rPr>
      </w:pPr>
      <w:r>
        <w:rPr>
          <w:rFonts w:ascii="Times New Roman" w:eastAsia="Cambria" w:hAnsi="Times New Roman" w:cs="Times New Roman"/>
          <w:b/>
        </w:rPr>
        <w:t>4</w:t>
      </w:r>
      <w:r w:rsidR="00D50FA4">
        <w:rPr>
          <w:rFonts w:ascii="Times New Roman" w:eastAsia="Cambria" w:hAnsi="Times New Roman" w:cs="Times New Roman"/>
          <w:b/>
        </w:rPr>
        <w:t>. Within-country analysis: The Canadian case</w:t>
      </w:r>
    </w:p>
    <w:p w14:paraId="27595C75" w14:textId="77777777" w:rsidR="00D50FA4" w:rsidRDefault="00D50FA4" w:rsidP="00D50FA4">
      <w:pPr>
        <w:jc w:val="both"/>
        <w:rPr>
          <w:rFonts w:ascii="Times New Roman" w:eastAsia="Cambria" w:hAnsi="Times New Roman" w:cs="Times New Roman"/>
          <w:b/>
        </w:rPr>
      </w:pPr>
    </w:p>
    <w:p w14:paraId="2A3CB492" w14:textId="77777777" w:rsidR="00E546E7" w:rsidRDefault="00FA1F3D" w:rsidP="00D50FA4">
      <w:pPr>
        <w:jc w:val="both"/>
        <w:rPr>
          <w:rFonts w:ascii="Times New Roman" w:eastAsia="Cambria" w:hAnsi="Times New Roman" w:cs="Times New Roman"/>
        </w:rPr>
      </w:pPr>
      <w:r>
        <w:rPr>
          <w:rFonts w:ascii="Times New Roman" w:eastAsia="Cambria" w:hAnsi="Times New Roman" w:cs="Times New Roman"/>
        </w:rPr>
        <w:t>The</w:t>
      </w:r>
      <w:r w:rsidR="00255C31">
        <w:rPr>
          <w:rFonts w:ascii="Times New Roman" w:eastAsia="Cambria" w:hAnsi="Times New Roman" w:cs="Times New Roman"/>
        </w:rPr>
        <w:t xml:space="preserve"> Canadian context offers an interesting environment in which to </w:t>
      </w:r>
      <w:r w:rsidR="00E546E7">
        <w:rPr>
          <w:rFonts w:ascii="Times New Roman" w:eastAsia="Cambria" w:hAnsi="Times New Roman" w:cs="Times New Roman"/>
        </w:rPr>
        <w:t xml:space="preserve">explore the hypothesis that increasing </w:t>
      </w:r>
      <w:r>
        <w:rPr>
          <w:rFonts w:ascii="Times New Roman" w:eastAsia="Cambria" w:hAnsi="Times New Roman" w:cs="Times New Roman"/>
        </w:rPr>
        <w:t xml:space="preserve">income concentration (as distinct from absolute income) may increase the use of private health care services.  </w:t>
      </w:r>
      <w:r w:rsidR="00255C31">
        <w:rPr>
          <w:rFonts w:ascii="Times New Roman" w:eastAsia="Cambria" w:hAnsi="Times New Roman" w:cs="Times New Roman"/>
        </w:rPr>
        <w:t xml:space="preserve">While most physician and hospital services are covered by universal public insurance, Medicare exists alongside a private market for </w:t>
      </w:r>
      <w:r>
        <w:rPr>
          <w:rFonts w:ascii="Times New Roman" w:eastAsia="Cambria" w:hAnsi="Times New Roman" w:cs="Times New Roman"/>
        </w:rPr>
        <w:t>many</w:t>
      </w:r>
      <w:r w:rsidR="00255C31">
        <w:rPr>
          <w:rFonts w:ascii="Times New Roman" w:eastAsia="Cambria" w:hAnsi="Times New Roman" w:cs="Times New Roman"/>
        </w:rPr>
        <w:t xml:space="preserve"> health professionals’ services, prescription drugs, long-term care,</w:t>
      </w:r>
      <w:r>
        <w:rPr>
          <w:rFonts w:ascii="Times New Roman" w:eastAsia="Cambria" w:hAnsi="Times New Roman" w:cs="Times New Roman"/>
        </w:rPr>
        <w:t xml:space="preserve"> dental care</w:t>
      </w:r>
      <w:r w:rsidR="00255C31">
        <w:rPr>
          <w:rFonts w:ascii="Times New Roman" w:eastAsia="Cambria" w:hAnsi="Times New Roman" w:cs="Times New Roman"/>
        </w:rPr>
        <w:t xml:space="preserve"> as well as some physician services.  </w:t>
      </w:r>
    </w:p>
    <w:p w14:paraId="75E80420" w14:textId="77777777" w:rsidR="00E41A1B" w:rsidRDefault="00E41A1B" w:rsidP="00D50FA4">
      <w:pPr>
        <w:jc w:val="both"/>
        <w:rPr>
          <w:rFonts w:ascii="Times New Roman" w:eastAsia="Cambria" w:hAnsi="Times New Roman" w:cs="Times New Roman"/>
        </w:rPr>
      </w:pPr>
    </w:p>
    <w:p w14:paraId="60F33D94" w14:textId="77777777" w:rsidR="00D50FA4" w:rsidRDefault="001207ED" w:rsidP="00CC5CC1">
      <w:pPr>
        <w:jc w:val="both"/>
        <w:outlineLvl w:val="0"/>
        <w:rPr>
          <w:rFonts w:ascii="Times New Roman" w:eastAsia="Cambria" w:hAnsi="Times New Roman" w:cs="Times New Roman"/>
          <w:b/>
        </w:rPr>
      </w:pPr>
      <w:r>
        <w:rPr>
          <w:rFonts w:ascii="Times New Roman" w:eastAsia="Cambria" w:hAnsi="Times New Roman" w:cs="Times New Roman"/>
          <w:b/>
        </w:rPr>
        <w:t>4</w:t>
      </w:r>
      <w:r w:rsidR="00D50FA4">
        <w:rPr>
          <w:rFonts w:ascii="Times New Roman" w:eastAsia="Cambria" w:hAnsi="Times New Roman" w:cs="Times New Roman"/>
          <w:b/>
        </w:rPr>
        <w:t>.1 Data</w:t>
      </w:r>
    </w:p>
    <w:p w14:paraId="6E8E3DA4" w14:textId="77777777" w:rsidR="00D50FA4" w:rsidRDefault="00D50FA4" w:rsidP="00D50FA4">
      <w:pPr>
        <w:jc w:val="both"/>
        <w:rPr>
          <w:rFonts w:ascii="Times New Roman" w:eastAsia="Cambria" w:hAnsi="Times New Roman" w:cs="Times New Roman"/>
        </w:rPr>
      </w:pPr>
    </w:p>
    <w:p w14:paraId="61DFA57A" w14:textId="77777777" w:rsidR="00D50FA4" w:rsidRDefault="00D50FA4" w:rsidP="00D50FA4">
      <w:pPr>
        <w:jc w:val="both"/>
        <w:rPr>
          <w:rFonts w:ascii="Times New Roman" w:eastAsia="Cambria" w:hAnsi="Times New Roman" w:cs="Times New Roman"/>
        </w:rPr>
      </w:pPr>
      <w:r>
        <w:rPr>
          <w:rFonts w:ascii="Times New Roman" w:eastAsia="Cambria" w:hAnsi="Times New Roman" w:cs="Times New Roman"/>
        </w:rPr>
        <w:t xml:space="preserve">We obtain information on income and spending on health related </w:t>
      </w:r>
      <w:r w:rsidR="009005D6">
        <w:rPr>
          <w:rFonts w:ascii="Times New Roman" w:eastAsia="Cambria" w:hAnsi="Times New Roman" w:cs="Times New Roman"/>
        </w:rPr>
        <w:t xml:space="preserve">goods and services </w:t>
      </w:r>
      <w:r>
        <w:rPr>
          <w:rFonts w:ascii="Times New Roman" w:eastAsia="Cambria" w:hAnsi="Times New Roman" w:cs="Times New Roman"/>
        </w:rPr>
        <w:t>at the household level from the public use microdata files of the Survey of Household Spending</w:t>
      </w:r>
      <w:r w:rsidR="0046198F">
        <w:rPr>
          <w:rFonts w:ascii="Times New Roman" w:eastAsia="Cambria" w:hAnsi="Times New Roman" w:cs="Times New Roman"/>
        </w:rPr>
        <w:t xml:space="preserve"> (SHS), an annual survey conducted and administered</w:t>
      </w:r>
      <w:r>
        <w:rPr>
          <w:rFonts w:ascii="Times New Roman" w:eastAsia="Cambria" w:hAnsi="Times New Roman" w:cs="Times New Roman"/>
        </w:rPr>
        <w:t xml:space="preserve"> by Statistics C</w:t>
      </w:r>
      <w:r w:rsidRPr="00464B01">
        <w:rPr>
          <w:rFonts w:ascii="Times New Roman" w:eastAsia="Cambria" w:hAnsi="Times New Roman" w:cs="Times New Roman"/>
        </w:rPr>
        <w:t>anada.</w:t>
      </w:r>
      <w:r w:rsidR="0046198F" w:rsidRPr="00464B01">
        <w:rPr>
          <w:rFonts w:ascii="Times New Roman" w:eastAsia="Cambria" w:hAnsi="Times New Roman" w:cs="Times New Roman"/>
        </w:rPr>
        <w:t xml:space="preserve"> </w:t>
      </w:r>
      <w:r w:rsidR="00707936" w:rsidRPr="00464B01">
        <w:rPr>
          <w:rFonts w:ascii="Times New Roman" w:eastAsia="Cambria" w:hAnsi="Times New Roman" w:cs="Times New Roman"/>
        </w:rPr>
        <w:t>The SHS collects information on Canadians spending patterns, with the exclusion of those who are institutionalized</w:t>
      </w:r>
      <w:r w:rsidR="004728AC">
        <w:rPr>
          <w:rFonts w:ascii="Times New Roman" w:eastAsia="Cambria" w:hAnsi="Times New Roman" w:cs="Times New Roman"/>
        </w:rPr>
        <w:t xml:space="preserve"> (including those living in nursing homes)</w:t>
      </w:r>
      <w:r w:rsidR="00707936" w:rsidRPr="00464B01">
        <w:rPr>
          <w:rFonts w:ascii="Times New Roman" w:eastAsia="Cambria" w:hAnsi="Times New Roman" w:cs="Times New Roman"/>
        </w:rPr>
        <w:t xml:space="preserve">, who live in military camps or who live on Indian reserves. </w:t>
      </w:r>
      <w:r w:rsidRPr="00464B01">
        <w:rPr>
          <w:rFonts w:ascii="Times New Roman" w:eastAsia="Cambria" w:hAnsi="Times New Roman" w:cs="Times New Roman"/>
        </w:rPr>
        <w:t>Our main estimating</w:t>
      </w:r>
      <w:r>
        <w:rPr>
          <w:rFonts w:ascii="Times New Roman" w:eastAsia="Cambria" w:hAnsi="Times New Roman" w:cs="Times New Roman"/>
        </w:rPr>
        <w:t xml:space="preserve"> sample is composed of thirteen cross-sectional </w:t>
      </w:r>
      <w:r w:rsidRPr="00D83087">
        <w:rPr>
          <w:rFonts w:ascii="Times New Roman" w:eastAsia="Cambria" w:hAnsi="Times New Roman" w:cs="Times New Roman"/>
        </w:rPr>
        <w:t>waves of the survey, covering the period spanning from 1997 to 2009</w:t>
      </w:r>
      <w:r>
        <w:rPr>
          <w:rFonts w:ascii="Times New Roman" w:eastAsia="Cambria" w:hAnsi="Times New Roman" w:cs="Times New Roman"/>
        </w:rPr>
        <w:t>.</w:t>
      </w:r>
      <w:r w:rsidR="00E85850">
        <w:rPr>
          <w:rStyle w:val="FootnoteReference"/>
          <w:rFonts w:ascii="Times New Roman" w:eastAsia="Cambria" w:hAnsi="Times New Roman" w:cs="Times New Roman"/>
        </w:rPr>
        <w:footnoteReference w:id="13"/>
      </w:r>
      <w:r>
        <w:rPr>
          <w:rFonts w:ascii="Times New Roman" w:eastAsia="Cambria" w:hAnsi="Times New Roman" w:cs="Times New Roman"/>
        </w:rPr>
        <w:t xml:space="preserve"> In addition to providing detailed information on households</w:t>
      </w:r>
      <w:r w:rsidR="00255C31">
        <w:rPr>
          <w:rFonts w:ascii="Times New Roman" w:eastAsia="Cambria" w:hAnsi="Times New Roman" w:cs="Times New Roman"/>
        </w:rPr>
        <w:t>’</w:t>
      </w:r>
      <w:r>
        <w:rPr>
          <w:rFonts w:ascii="Times New Roman" w:eastAsia="Cambria" w:hAnsi="Times New Roman" w:cs="Times New Roman"/>
        </w:rPr>
        <w:t xml:space="preserve"> sources of income before and after taxes and transfers, the SHS provides a granular overview of their annual expenditures on various categories of goods and services, including but not limited to shelter, clothing, transportation, and—most importantly for the purposes of this </w:t>
      </w:r>
      <w:r w:rsidR="00724EE7">
        <w:rPr>
          <w:rFonts w:ascii="Times New Roman" w:eastAsia="Cambria" w:hAnsi="Times New Roman" w:cs="Times New Roman"/>
        </w:rPr>
        <w:t>analysis</w:t>
      </w:r>
      <w:r>
        <w:rPr>
          <w:rFonts w:ascii="Times New Roman" w:eastAsia="Cambria" w:hAnsi="Times New Roman" w:cs="Times New Roman"/>
        </w:rPr>
        <w:t xml:space="preserve">— health care. </w:t>
      </w:r>
      <w:r w:rsidR="0046198F">
        <w:rPr>
          <w:rFonts w:ascii="Times New Roman" w:eastAsia="Cambria" w:hAnsi="Times New Roman" w:cs="Times New Roman"/>
        </w:rPr>
        <w:t>In each wave of the survey, information on expenditure and income was collected through interviews and</w:t>
      </w:r>
      <w:r w:rsidR="001A0F3C">
        <w:rPr>
          <w:rFonts w:ascii="Times New Roman" w:eastAsia="Cambria" w:hAnsi="Times New Roman" w:cs="Times New Roman"/>
        </w:rPr>
        <w:t xml:space="preserve"> recall bias was addressed with procedures including the</w:t>
      </w:r>
      <w:r w:rsidR="0046198F">
        <w:rPr>
          <w:rFonts w:ascii="Times New Roman" w:eastAsia="Cambria" w:hAnsi="Times New Roman" w:cs="Times New Roman"/>
        </w:rPr>
        <w:t xml:space="preserve"> verification of respondents' answer</w:t>
      </w:r>
      <w:r w:rsidR="004B0950">
        <w:rPr>
          <w:rFonts w:ascii="Times New Roman" w:eastAsia="Cambria" w:hAnsi="Times New Roman" w:cs="Times New Roman"/>
        </w:rPr>
        <w:t>s</w:t>
      </w:r>
      <w:r w:rsidR="0046198F">
        <w:rPr>
          <w:rFonts w:ascii="Times New Roman" w:eastAsia="Cambria" w:hAnsi="Times New Roman" w:cs="Times New Roman"/>
        </w:rPr>
        <w:t xml:space="preserve"> using households</w:t>
      </w:r>
      <w:r w:rsidR="001048C4">
        <w:rPr>
          <w:rFonts w:ascii="Times New Roman" w:eastAsia="Cambria" w:hAnsi="Times New Roman" w:cs="Times New Roman"/>
        </w:rPr>
        <w:t>'</w:t>
      </w:r>
      <w:r w:rsidR="0046198F">
        <w:rPr>
          <w:rFonts w:ascii="Times New Roman" w:eastAsia="Cambria" w:hAnsi="Times New Roman" w:cs="Times New Roman"/>
        </w:rPr>
        <w:t xml:space="preserve"> receipts. </w:t>
      </w:r>
      <w:r w:rsidR="00F72BB3">
        <w:rPr>
          <w:rFonts w:ascii="Times New Roman" w:eastAsia="Cambria" w:hAnsi="Times New Roman" w:cs="Times New Roman"/>
        </w:rPr>
        <w:t xml:space="preserve">All expenditures and income </w:t>
      </w:r>
      <w:r w:rsidR="00F72BB3">
        <w:rPr>
          <w:rFonts w:ascii="Times New Roman" w:eastAsia="Cambria" w:hAnsi="Times New Roman" w:cs="Times New Roman"/>
        </w:rPr>
        <w:lastRenderedPageBreak/>
        <w:t>values are transformed in constant 2002 dollars</w:t>
      </w:r>
      <w:r w:rsidR="002D3E04">
        <w:rPr>
          <w:rFonts w:ascii="Times New Roman" w:eastAsia="Cambria" w:hAnsi="Times New Roman" w:cs="Times New Roman"/>
        </w:rPr>
        <w:t xml:space="preserve"> using the all-items consumer price index published by Statistics Canada</w:t>
      </w:r>
      <w:r w:rsidR="00F72BB3">
        <w:rPr>
          <w:rFonts w:ascii="Times New Roman" w:eastAsia="Cambria" w:hAnsi="Times New Roman" w:cs="Times New Roman"/>
        </w:rPr>
        <w:t xml:space="preserve">. </w:t>
      </w:r>
    </w:p>
    <w:p w14:paraId="5BDC1E8C" w14:textId="77777777" w:rsidR="00D50FA4" w:rsidRDefault="00D50FA4" w:rsidP="00D50FA4">
      <w:pPr>
        <w:jc w:val="both"/>
        <w:rPr>
          <w:rFonts w:ascii="Times New Roman" w:eastAsia="Cambria" w:hAnsi="Times New Roman" w:cs="Times New Roman"/>
        </w:rPr>
      </w:pPr>
    </w:p>
    <w:p w14:paraId="268CC9E9" w14:textId="77777777" w:rsidR="00D50FA4" w:rsidRDefault="001207ED" w:rsidP="00CC5CC1">
      <w:pPr>
        <w:jc w:val="both"/>
        <w:outlineLvl w:val="0"/>
        <w:rPr>
          <w:rFonts w:ascii="Times New Roman" w:eastAsia="Cambria" w:hAnsi="Times New Roman" w:cs="Times New Roman"/>
        </w:rPr>
      </w:pPr>
      <w:r>
        <w:rPr>
          <w:rFonts w:ascii="Times New Roman" w:eastAsia="Cambria" w:hAnsi="Times New Roman" w:cs="Times New Roman"/>
        </w:rPr>
        <w:t>4</w:t>
      </w:r>
      <w:r w:rsidR="00D50FA4">
        <w:rPr>
          <w:rFonts w:ascii="Times New Roman" w:eastAsia="Cambria" w:hAnsi="Times New Roman" w:cs="Times New Roman"/>
        </w:rPr>
        <w:t xml:space="preserve">.1.1 Household income and income </w:t>
      </w:r>
      <w:proofErr w:type="spellStart"/>
      <w:r w:rsidR="00D50FA4">
        <w:rPr>
          <w:rFonts w:ascii="Times New Roman" w:eastAsia="Cambria" w:hAnsi="Times New Roman" w:cs="Times New Roman"/>
        </w:rPr>
        <w:t>fractiles</w:t>
      </w:r>
      <w:proofErr w:type="spellEnd"/>
    </w:p>
    <w:p w14:paraId="022ABC73" w14:textId="77777777" w:rsidR="00D50FA4" w:rsidRDefault="00D50FA4" w:rsidP="00D50FA4">
      <w:pPr>
        <w:jc w:val="both"/>
        <w:rPr>
          <w:rFonts w:ascii="Times New Roman" w:eastAsia="Cambria" w:hAnsi="Times New Roman" w:cs="Times New Roman"/>
        </w:rPr>
      </w:pPr>
    </w:p>
    <w:p w14:paraId="3C8C4239" w14:textId="13EC70F8" w:rsidR="00D50FA4" w:rsidRDefault="00D50FA4" w:rsidP="00D50FA4">
      <w:pPr>
        <w:jc w:val="both"/>
        <w:rPr>
          <w:rFonts w:ascii="Times New Roman" w:eastAsia="Cambria" w:hAnsi="Times New Roman" w:cs="Times New Roman"/>
        </w:rPr>
      </w:pPr>
      <w:r>
        <w:rPr>
          <w:rFonts w:ascii="Times New Roman" w:eastAsia="Cambria" w:hAnsi="Times New Roman" w:cs="Times New Roman"/>
        </w:rPr>
        <w:t xml:space="preserve">We focus on total income at the household level, consisting of earnings, </w:t>
      </w:r>
      <w:r w:rsidR="00F72BB3">
        <w:rPr>
          <w:rFonts w:ascii="Times New Roman" w:eastAsia="Cambria" w:hAnsi="Times New Roman" w:cs="Times New Roman"/>
        </w:rPr>
        <w:t xml:space="preserve">as well as income from </w:t>
      </w:r>
      <w:r>
        <w:rPr>
          <w:rFonts w:ascii="Times New Roman" w:eastAsia="Cambria" w:hAnsi="Times New Roman" w:cs="Times New Roman"/>
        </w:rPr>
        <w:t xml:space="preserve">investment </w:t>
      </w:r>
      <w:r w:rsidR="00F72BB3">
        <w:rPr>
          <w:rFonts w:ascii="Times New Roman" w:eastAsia="Cambria" w:hAnsi="Times New Roman" w:cs="Times New Roman"/>
        </w:rPr>
        <w:t>and other source</w:t>
      </w:r>
      <w:r>
        <w:rPr>
          <w:rFonts w:ascii="Times New Roman" w:eastAsia="Cambria" w:hAnsi="Times New Roman" w:cs="Times New Roman"/>
        </w:rPr>
        <w:t xml:space="preserve">s, including transfers but before taxes. To assign a position in the income distribution to each household </w:t>
      </w:r>
      <w:r w:rsidR="00743EEF">
        <w:rPr>
          <w:rFonts w:ascii="Times New Roman" w:eastAsia="Cambria" w:hAnsi="Times New Roman" w:cs="Times New Roman"/>
        </w:rPr>
        <w:t>in the sample, we first use the</w:t>
      </w:r>
      <w:r>
        <w:rPr>
          <w:rFonts w:ascii="Times New Roman" w:eastAsia="Cambria" w:hAnsi="Times New Roman" w:cs="Times New Roman"/>
        </w:rPr>
        <w:t xml:space="preserve"> survey weights to genera</w:t>
      </w:r>
      <w:r w:rsidR="00F72BB3">
        <w:rPr>
          <w:rFonts w:ascii="Times New Roman" w:eastAsia="Cambria" w:hAnsi="Times New Roman" w:cs="Times New Roman"/>
        </w:rPr>
        <w:t xml:space="preserve">te a distribution of household </w:t>
      </w:r>
      <w:r>
        <w:rPr>
          <w:rFonts w:ascii="Times New Roman" w:eastAsia="Cambria" w:hAnsi="Times New Roman" w:cs="Times New Roman"/>
        </w:rPr>
        <w:t>income for each year in our data, and identify the annual income thresholds corresponding to each percentile.</w:t>
      </w:r>
      <w:r w:rsidR="005948EE">
        <w:rPr>
          <w:rFonts w:ascii="Times New Roman" w:eastAsia="Cambria" w:hAnsi="Times New Roman" w:cs="Times New Roman"/>
        </w:rPr>
        <w:t xml:space="preserve"> </w:t>
      </w:r>
      <w:r w:rsidR="00F72BB3">
        <w:rPr>
          <w:rFonts w:ascii="Times New Roman" w:eastAsia="Cambria" w:hAnsi="Times New Roman" w:cs="Times New Roman"/>
        </w:rPr>
        <w:t>To ensure that this procedure generates t</w:t>
      </w:r>
      <w:r w:rsidR="00896358">
        <w:rPr>
          <w:rFonts w:ascii="Times New Roman" w:eastAsia="Cambria" w:hAnsi="Times New Roman" w:cs="Times New Roman"/>
        </w:rPr>
        <w:t>h</w:t>
      </w:r>
      <w:r w:rsidR="00F72BB3">
        <w:rPr>
          <w:rFonts w:ascii="Times New Roman" w:eastAsia="Cambria" w:hAnsi="Times New Roman" w:cs="Times New Roman"/>
        </w:rPr>
        <w:t xml:space="preserve">resholds that are representative to the true distributions, </w:t>
      </w:r>
      <w:r w:rsidR="005948EE">
        <w:rPr>
          <w:rFonts w:ascii="Times New Roman" w:eastAsia="Cambria" w:hAnsi="Times New Roman" w:cs="Times New Roman"/>
        </w:rPr>
        <w:t xml:space="preserve">we create similar thresholds for </w:t>
      </w:r>
      <w:r>
        <w:rPr>
          <w:rFonts w:ascii="Times New Roman" w:eastAsia="Cambria" w:hAnsi="Times New Roman" w:cs="Times New Roman"/>
        </w:rPr>
        <w:t>individuals</w:t>
      </w:r>
      <w:r w:rsidR="00896358">
        <w:rPr>
          <w:rFonts w:ascii="Times New Roman" w:eastAsia="Cambria" w:hAnsi="Times New Roman" w:cs="Times New Roman"/>
        </w:rPr>
        <w:t xml:space="preserve"> (instead of households)</w:t>
      </w:r>
      <w:r>
        <w:rPr>
          <w:rFonts w:ascii="Times New Roman" w:eastAsia="Cambria" w:hAnsi="Times New Roman" w:cs="Times New Roman"/>
        </w:rPr>
        <w:t xml:space="preserve"> </w:t>
      </w:r>
      <w:r w:rsidR="008C3594">
        <w:rPr>
          <w:rFonts w:ascii="Times New Roman" w:eastAsia="Cambria" w:hAnsi="Times New Roman" w:cs="Times New Roman"/>
        </w:rPr>
        <w:t>in the SHS</w:t>
      </w:r>
      <w:r w:rsidR="00F72BB3">
        <w:rPr>
          <w:rFonts w:ascii="Times New Roman" w:eastAsia="Cambria" w:hAnsi="Times New Roman" w:cs="Times New Roman"/>
        </w:rPr>
        <w:t>, and compare them with</w:t>
      </w:r>
      <w:r w:rsidR="005948EE">
        <w:rPr>
          <w:rFonts w:ascii="Times New Roman" w:eastAsia="Cambria" w:hAnsi="Times New Roman" w:cs="Times New Roman"/>
        </w:rPr>
        <w:t xml:space="preserve"> the</w:t>
      </w:r>
      <w:r w:rsidR="008C3594">
        <w:rPr>
          <w:rFonts w:ascii="Times New Roman" w:eastAsia="Cambria" w:hAnsi="Times New Roman" w:cs="Times New Roman"/>
        </w:rPr>
        <w:t xml:space="preserve"> thresholds derived from</w:t>
      </w:r>
      <w:r w:rsidR="005948EE">
        <w:rPr>
          <w:rFonts w:ascii="Times New Roman" w:eastAsia="Cambria" w:hAnsi="Times New Roman" w:cs="Times New Roman"/>
        </w:rPr>
        <w:t xml:space="preserve"> individual Canadian tax filers</w:t>
      </w:r>
      <w:r w:rsidR="001A35DA">
        <w:rPr>
          <w:rFonts w:ascii="Times New Roman" w:eastAsia="Cambria" w:hAnsi="Times New Roman" w:cs="Times New Roman"/>
        </w:rPr>
        <w:t>’</w:t>
      </w:r>
      <w:r w:rsidR="009469B4">
        <w:rPr>
          <w:rFonts w:ascii="Times New Roman" w:eastAsia="Cambria" w:hAnsi="Times New Roman" w:cs="Times New Roman"/>
        </w:rPr>
        <w:t xml:space="preserve"> </w:t>
      </w:r>
      <w:r w:rsidR="00F72BB3">
        <w:rPr>
          <w:rFonts w:ascii="Times New Roman" w:eastAsia="Cambria" w:hAnsi="Times New Roman" w:cs="Times New Roman"/>
        </w:rPr>
        <w:t xml:space="preserve">data </w:t>
      </w:r>
      <w:r w:rsidR="009469B4">
        <w:rPr>
          <w:rFonts w:ascii="Times New Roman" w:eastAsia="Cambria" w:hAnsi="Times New Roman" w:cs="Times New Roman"/>
        </w:rPr>
        <w:t>in</w:t>
      </w:r>
      <w:r w:rsidR="005948EE">
        <w:rPr>
          <w:rFonts w:ascii="Times New Roman" w:eastAsia="Cambria" w:hAnsi="Times New Roman" w:cs="Times New Roman"/>
        </w:rPr>
        <w:t xml:space="preserve"> the Longitudinal Administrative Database</w:t>
      </w:r>
      <w:r>
        <w:rPr>
          <w:rFonts w:ascii="Times New Roman" w:eastAsia="Cambria" w:hAnsi="Times New Roman" w:cs="Times New Roman"/>
        </w:rPr>
        <w:t>.</w:t>
      </w:r>
      <w:r>
        <w:rPr>
          <w:rStyle w:val="FootnoteReference"/>
          <w:rFonts w:ascii="Times New Roman" w:eastAsia="Cambria" w:hAnsi="Times New Roman" w:cs="Times New Roman"/>
        </w:rPr>
        <w:footnoteReference w:id="14"/>
      </w:r>
      <w:r>
        <w:rPr>
          <w:rFonts w:ascii="Times New Roman" w:eastAsia="Cambria" w:hAnsi="Times New Roman" w:cs="Times New Roman"/>
        </w:rPr>
        <w:t xml:space="preserve"> </w:t>
      </w:r>
      <w:r w:rsidR="005948EE">
        <w:rPr>
          <w:rFonts w:ascii="Times New Roman" w:eastAsia="Cambria" w:hAnsi="Times New Roman" w:cs="Times New Roman"/>
        </w:rPr>
        <w:t xml:space="preserve">The threshold values for the top 10% of income earners and for the median income earner </w:t>
      </w:r>
      <w:r w:rsidR="00291CD4">
        <w:rPr>
          <w:rFonts w:ascii="Times New Roman" w:eastAsia="Cambria" w:hAnsi="Times New Roman" w:cs="Times New Roman"/>
        </w:rPr>
        <w:t>are quite similar across sources</w:t>
      </w:r>
      <w:r w:rsidR="00896358">
        <w:rPr>
          <w:rFonts w:ascii="Times New Roman" w:eastAsia="Cambria" w:hAnsi="Times New Roman" w:cs="Times New Roman"/>
        </w:rPr>
        <w:t xml:space="preserve">. </w:t>
      </w:r>
      <w:r>
        <w:rPr>
          <w:rFonts w:ascii="Times New Roman" w:eastAsia="Cambria" w:hAnsi="Times New Roman" w:cs="Times New Roman"/>
        </w:rPr>
        <w:t>The SHS estimates of income thresholds for the top 1% are</w:t>
      </w:r>
      <w:r w:rsidR="00896358">
        <w:rPr>
          <w:rFonts w:ascii="Times New Roman" w:eastAsia="Cambria" w:hAnsi="Times New Roman" w:cs="Times New Roman"/>
        </w:rPr>
        <w:t>,</w:t>
      </w:r>
      <w:r>
        <w:rPr>
          <w:rFonts w:ascii="Times New Roman" w:eastAsia="Cambria" w:hAnsi="Times New Roman" w:cs="Times New Roman"/>
        </w:rPr>
        <w:t xml:space="preserve"> </w:t>
      </w:r>
      <w:r w:rsidR="00291CD4">
        <w:rPr>
          <w:rFonts w:ascii="Times New Roman" w:eastAsia="Cambria" w:hAnsi="Times New Roman" w:cs="Times New Roman"/>
        </w:rPr>
        <w:t>however</w:t>
      </w:r>
      <w:r w:rsidR="00896358">
        <w:rPr>
          <w:rFonts w:ascii="Times New Roman" w:eastAsia="Cambria" w:hAnsi="Times New Roman" w:cs="Times New Roman"/>
        </w:rPr>
        <w:t>,</w:t>
      </w:r>
      <w:r w:rsidR="00291CD4">
        <w:rPr>
          <w:rFonts w:ascii="Times New Roman" w:eastAsia="Cambria" w:hAnsi="Times New Roman" w:cs="Times New Roman"/>
        </w:rPr>
        <w:t xml:space="preserve"> </w:t>
      </w:r>
      <w:r w:rsidR="00896358">
        <w:rPr>
          <w:rFonts w:ascii="Times New Roman" w:eastAsia="Cambria" w:hAnsi="Times New Roman" w:cs="Times New Roman"/>
        </w:rPr>
        <w:t xml:space="preserve">are </w:t>
      </w:r>
      <w:r>
        <w:rPr>
          <w:rFonts w:ascii="Times New Roman" w:eastAsia="Cambria" w:hAnsi="Times New Roman" w:cs="Times New Roman"/>
        </w:rPr>
        <w:t>less precisely estimated</w:t>
      </w:r>
      <w:r w:rsidR="00896358">
        <w:rPr>
          <w:rFonts w:ascii="Times New Roman" w:eastAsia="Cambria" w:hAnsi="Times New Roman" w:cs="Times New Roman"/>
        </w:rPr>
        <w:t xml:space="preserve"> and</w:t>
      </w:r>
      <w:r w:rsidR="005948EE">
        <w:rPr>
          <w:rFonts w:ascii="Times New Roman" w:eastAsia="Cambria" w:hAnsi="Times New Roman" w:cs="Times New Roman"/>
        </w:rPr>
        <w:t xml:space="preserve"> </w:t>
      </w:r>
      <w:r>
        <w:rPr>
          <w:rFonts w:ascii="Times New Roman" w:eastAsia="Cambria" w:hAnsi="Times New Roman" w:cs="Times New Roman"/>
        </w:rPr>
        <w:t>our empirical approach</w:t>
      </w:r>
      <w:r w:rsidR="00896358">
        <w:rPr>
          <w:rFonts w:ascii="Times New Roman" w:eastAsia="Cambria" w:hAnsi="Times New Roman" w:cs="Times New Roman"/>
        </w:rPr>
        <w:t>,</w:t>
      </w:r>
      <w:r>
        <w:rPr>
          <w:rFonts w:ascii="Times New Roman" w:eastAsia="Cambria" w:hAnsi="Times New Roman" w:cs="Times New Roman"/>
        </w:rPr>
        <w:t xml:space="preserve"> </w:t>
      </w:r>
      <w:r w:rsidR="00882A72">
        <w:rPr>
          <w:rFonts w:ascii="Times New Roman" w:eastAsia="Cambria" w:hAnsi="Times New Roman" w:cs="Times New Roman"/>
        </w:rPr>
        <w:t>therefore</w:t>
      </w:r>
      <w:r w:rsidR="00896358">
        <w:rPr>
          <w:rFonts w:ascii="Times New Roman" w:eastAsia="Cambria" w:hAnsi="Times New Roman" w:cs="Times New Roman"/>
        </w:rPr>
        <w:t>, will</w:t>
      </w:r>
      <w:r w:rsidR="009469B4">
        <w:rPr>
          <w:rFonts w:ascii="Times New Roman" w:eastAsia="Cambria" w:hAnsi="Times New Roman" w:cs="Times New Roman"/>
        </w:rPr>
        <w:t xml:space="preserve"> </w:t>
      </w:r>
      <w:r>
        <w:rPr>
          <w:rFonts w:ascii="Times New Roman" w:eastAsia="Cambria" w:hAnsi="Times New Roman" w:cs="Times New Roman"/>
        </w:rPr>
        <w:t>mostly focus on the spending patterns of households in the top 10%</w:t>
      </w:r>
      <w:r w:rsidR="00F72BB3">
        <w:rPr>
          <w:rFonts w:ascii="Times New Roman" w:eastAsia="Cambria" w:hAnsi="Times New Roman" w:cs="Times New Roman"/>
        </w:rPr>
        <w:t xml:space="preserve">. We allocate all other households to one of the three following income </w:t>
      </w:r>
      <w:proofErr w:type="spellStart"/>
      <w:r w:rsidR="00F72BB3">
        <w:rPr>
          <w:rFonts w:ascii="Times New Roman" w:eastAsia="Cambria" w:hAnsi="Times New Roman" w:cs="Times New Roman"/>
        </w:rPr>
        <w:t>fractiles</w:t>
      </w:r>
      <w:proofErr w:type="spellEnd"/>
      <w:r w:rsidR="00F72BB3">
        <w:rPr>
          <w:rFonts w:ascii="Times New Roman" w:eastAsia="Cambria" w:hAnsi="Times New Roman" w:cs="Times New Roman"/>
        </w:rPr>
        <w:t>:</w:t>
      </w:r>
      <w:r>
        <w:rPr>
          <w:rFonts w:ascii="Times New Roman" w:eastAsia="Cambria" w:hAnsi="Times New Roman" w:cs="Times New Roman"/>
        </w:rPr>
        <w:t xml:space="preserve"> 51</w:t>
      </w:r>
      <w:r>
        <w:rPr>
          <w:rFonts w:ascii="Times New Roman" w:eastAsia="Cambria" w:hAnsi="Times New Roman" w:cs="Times New Roman"/>
          <w:vertAlign w:val="superscript"/>
        </w:rPr>
        <w:t>st</w:t>
      </w:r>
      <w:r>
        <w:rPr>
          <w:rFonts w:ascii="Times New Roman" w:eastAsia="Cambria" w:hAnsi="Times New Roman" w:cs="Times New Roman"/>
        </w:rPr>
        <w:t xml:space="preserve"> </w:t>
      </w:r>
      <w:r w:rsidR="00F72BB3">
        <w:rPr>
          <w:rFonts w:ascii="Times New Roman" w:eastAsia="Cambria" w:hAnsi="Times New Roman" w:cs="Times New Roman"/>
        </w:rPr>
        <w:t>to</w:t>
      </w:r>
      <w:r>
        <w:rPr>
          <w:rFonts w:ascii="Times New Roman" w:eastAsia="Cambria" w:hAnsi="Times New Roman" w:cs="Times New Roman"/>
        </w:rPr>
        <w:t xml:space="preserve"> 90</w:t>
      </w:r>
      <w:r w:rsidRPr="009D2AE4">
        <w:rPr>
          <w:rFonts w:ascii="Times New Roman" w:eastAsia="Cambria" w:hAnsi="Times New Roman" w:cs="Times New Roman"/>
          <w:vertAlign w:val="superscript"/>
        </w:rPr>
        <w:t>th</w:t>
      </w:r>
      <w:r>
        <w:rPr>
          <w:rFonts w:ascii="Times New Roman" w:eastAsia="Cambria" w:hAnsi="Times New Roman" w:cs="Times New Roman"/>
        </w:rPr>
        <w:t xml:space="preserve"> percentiles, 21</w:t>
      </w:r>
      <w:r>
        <w:rPr>
          <w:rFonts w:ascii="Times New Roman" w:eastAsia="Cambria" w:hAnsi="Times New Roman" w:cs="Times New Roman"/>
          <w:vertAlign w:val="superscript"/>
        </w:rPr>
        <w:t>st</w:t>
      </w:r>
      <w:r>
        <w:rPr>
          <w:rFonts w:ascii="Times New Roman" w:eastAsia="Cambria" w:hAnsi="Times New Roman" w:cs="Times New Roman"/>
        </w:rPr>
        <w:t xml:space="preserve"> </w:t>
      </w:r>
      <w:r w:rsidR="00F72BB3">
        <w:rPr>
          <w:rFonts w:ascii="Times New Roman" w:eastAsia="Cambria" w:hAnsi="Times New Roman" w:cs="Times New Roman"/>
        </w:rPr>
        <w:t xml:space="preserve">to </w:t>
      </w:r>
      <w:r>
        <w:rPr>
          <w:rFonts w:ascii="Times New Roman" w:eastAsia="Cambria" w:hAnsi="Times New Roman" w:cs="Times New Roman"/>
        </w:rPr>
        <w:t>50</w:t>
      </w:r>
      <w:r w:rsidRPr="009D2AE4">
        <w:rPr>
          <w:rFonts w:ascii="Times New Roman" w:eastAsia="Cambria" w:hAnsi="Times New Roman" w:cs="Times New Roman"/>
          <w:vertAlign w:val="superscript"/>
        </w:rPr>
        <w:t>th</w:t>
      </w:r>
      <w:r>
        <w:rPr>
          <w:rFonts w:ascii="Times New Roman" w:eastAsia="Cambria" w:hAnsi="Times New Roman" w:cs="Times New Roman"/>
        </w:rPr>
        <w:t xml:space="preserve"> </w:t>
      </w:r>
      <w:r w:rsidR="00F72BB3">
        <w:rPr>
          <w:rFonts w:ascii="Times New Roman" w:eastAsia="Cambria" w:hAnsi="Times New Roman" w:cs="Times New Roman"/>
        </w:rPr>
        <w:t xml:space="preserve">percentiles </w:t>
      </w:r>
      <w:r>
        <w:rPr>
          <w:rFonts w:ascii="Times New Roman" w:eastAsia="Cambria" w:hAnsi="Times New Roman" w:cs="Times New Roman"/>
        </w:rPr>
        <w:t>and the bottom 20</w:t>
      </w:r>
      <w:r w:rsidR="009469B4">
        <w:rPr>
          <w:rFonts w:ascii="Times New Roman" w:eastAsia="Cambria" w:hAnsi="Times New Roman" w:cs="Times New Roman"/>
        </w:rPr>
        <w:t xml:space="preserve"> percentile</w:t>
      </w:r>
      <w:r w:rsidR="00896358">
        <w:rPr>
          <w:rFonts w:ascii="Times New Roman" w:eastAsia="Cambria" w:hAnsi="Times New Roman" w:cs="Times New Roman"/>
        </w:rPr>
        <w:t>s</w:t>
      </w:r>
      <w:r>
        <w:rPr>
          <w:rFonts w:ascii="Times New Roman" w:eastAsia="Cambria" w:hAnsi="Times New Roman" w:cs="Times New Roman"/>
        </w:rPr>
        <w:t>.</w:t>
      </w:r>
    </w:p>
    <w:p w14:paraId="6BD55242" w14:textId="77777777" w:rsidR="00D50FA4" w:rsidRDefault="00D50FA4" w:rsidP="00D50FA4">
      <w:pPr>
        <w:jc w:val="both"/>
        <w:rPr>
          <w:rFonts w:ascii="Times New Roman" w:eastAsia="Cambria" w:hAnsi="Times New Roman" w:cs="Times New Roman"/>
        </w:rPr>
      </w:pPr>
    </w:p>
    <w:p w14:paraId="71C19EBE" w14:textId="77777777" w:rsidR="00D50FA4" w:rsidRDefault="001207ED" w:rsidP="00CC5CC1">
      <w:pPr>
        <w:jc w:val="both"/>
        <w:outlineLvl w:val="0"/>
        <w:rPr>
          <w:rFonts w:ascii="Times New Roman" w:eastAsia="Cambria" w:hAnsi="Times New Roman" w:cs="Times New Roman"/>
        </w:rPr>
      </w:pPr>
      <w:r>
        <w:rPr>
          <w:rFonts w:ascii="Times New Roman" w:eastAsia="Cambria" w:hAnsi="Times New Roman" w:cs="Times New Roman"/>
        </w:rPr>
        <w:t>4</w:t>
      </w:r>
      <w:r w:rsidR="00D50FA4">
        <w:rPr>
          <w:rFonts w:ascii="Times New Roman" w:eastAsia="Cambria" w:hAnsi="Times New Roman" w:cs="Times New Roman"/>
        </w:rPr>
        <w:t xml:space="preserve">.1.2 Household health care expenditures </w:t>
      </w:r>
    </w:p>
    <w:p w14:paraId="2BF3C71A" w14:textId="77777777" w:rsidR="00B646AA" w:rsidRDefault="00B646AA" w:rsidP="00D50FA4">
      <w:pPr>
        <w:jc w:val="both"/>
        <w:rPr>
          <w:rFonts w:ascii="Times New Roman" w:eastAsia="Cambria" w:hAnsi="Times New Roman" w:cs="Times New Roman"/>
        </w:rPr>
      </w:pPr>
    </w:p>
    <w:p w14:paraId="4229EF76" w14:textId="77777777" w:rsidR="00D50FA4" w:rsidRDefault="00B646AA" w:rsidP="00D50FA4">
      <w:pPr>
        <w:jc w:val="both"/>
        <w:rPr>
          <w:rFonts w:ascii="Times New Roman" w:eastAsia="Cambria" w:hAnsi="Times New Roman" w:cs="Times New Roman"/>
        </w:rPr>
      </w:pPr>
      <w:r>
        <w:rPr>
          <w:rFonts w:ascii="Times New Roman" w:eastAsia="Cambria" w:hAnsi="Times New Roman" w:cs="Times New Roman"/>
        </w:rPr>
        <w:t>We consider</w:t>
      </w:r>
      <w:r w:rsidR="00D50FA4">
        <w:rPr>
          <w:rFonts w:ascii="Times New Roman" w:eastAsia="Cambria" w:hAnsi="Times New Roman" w:cs="Times New Roman"/>
        </w:rPr>
        <w:t xml:space="preserve"> two</w:t>
      </w:r>
      <w:r>
        <w:rPr>
          <w:rFonts w:ascii="Times New Roman" w:eastAsia="Cambria" w:hAnsi="Times New Roman" w:cs="Times New Roman"/>
        </w:rPr>
        <w:t xml:space="preserve"> broad</w:t>
      </w:r>
      <w:r w:rsidR="00D50FA4">
        <w:rPr>
          <w:rFonts w:ascii="Times New Roman" w:eastAsia="Cambria" w:hAnsi="Times New Roman" w:cs="Times New Roman"/>
        </w:rPr>
        <w:t xml:space="preserve"> measures of overall </w:t>
      </w:r>
      <w:r>
        <w:rPr>
          <w:rFonts w:ascii="Times New Roman" w:eastAsia="Cambria" w:hAnsi="Times New Roman" w:cs="Times New Roman"/>
        </w:rPr>
        <w:t xml:space="preserve">household </w:t>
      </w:r>
      <w:r w:rsidR="00D50FA4">
        <w:rPr>
          <w:rFonts w:ascii="Times New Roman" w:eastAsia="Cambria" w:hAnsi="Times New Roman" w:cs="Times New Roman"/>
        </w:rPr>
        <w:t>health care expenditure</w:t>
      </w:r>
      <w:r>
        <w:rPr>
          <w:rFonts w:ascii="Times New Roman" w:eastAsia="Cambria" w:hAnsi="Times New Roman" w:cs="Times New Roman"/>
        </w:rPr>
        <w:t>.</w:t>
      </w:r>
      <w:r w:rsidR="00D50FA4">
        <w:rPr>
          <w:rFonts w:ascii="Times New Roman" w:eastAsia="Cambria" w:hAnsi="Times New Roman" w:cs="Times New Roman"/>
        </w:rPr>
        <w:t xml:space="preserve"> </w:t>
      </w:r>
      <w:r>
        <w:rPr>
          <w:rFonts w:ascii="Times New Roman" w:eastAsia="Cambria" w:hAnsi="Times New Roman" w:cs="Times New Roman"/>
        </w:rPr>
        <w:t xml:space="preserve">First, total health care expenditure corresponds to the sum </w:t>
      </w:r>
      <w:r w:rsidR="006547B9">
        <w:rPr>
          <w:rFonts w:ascii="Times New Roman" w:eastAsia="Cambria" w:hAnsi="Times New Roman" w:cs="Times New Roman"/>
        </w:rPr>
        <w:t xml:space="preserve">of </w:t>
      </w:r>
      <w:r w:rsidR="00E210AA">
        <w:rPr>
          <w:rFonts w:ascii="Times New Roman" w:eastAsia="Cambria" w:hAnsi="Times New Roman" w:cs="Times New Roman"/>
        </w:rPr>
        <w:t>eleven categories capturing various dimensions of health care spending by households</w:t>
      </w:r>
      <w:r w:rsidR="002D3E04">
        <w:rPr>
          <w:rFonts w:ascii="Times New Roman" w:eastAsia="Cambria" w:hAnsi="Times New Roman" w:cs="Times New Roman"/>
        </w:rPr>
        <w:t>: hospital and other residential facilities</w:t>
      </w:r>
      <w:r w:rsidR="00E210AA">
        <w:rPr>
          <w:rFonts w:ascii="Times New Roman" w:eastAsia="Cambria" w:hAnsi="Times New Roman" w:cs="Times New Roman"/>
        </w:rPr>
        <w:t xml:space="preserve">, physician care, other healthcare professional services, other health care and medical services, prescription drugs, other medicinal or pharmaceutical products, private health insurance, public hospital or medical or drug plans, health care supplies, eye care, and dental care. </w:t>
      </w:r>
      <w:r w:rsidR="00901643">
        <w:rPr>
          <w:rFonts w:ascii="Times New Roman" w:eastAsia="Cambria" w:hAnsi="Times New Roman" w:cs="Times New Roman"/>
        </w:rPr>
        <w:t xml:space="preserve">A detailed description of the items covered by each category is given in </w:t>
      </w:r>
      <w:r w:rsidR="00901643" w:rsidRPr="00EC2F88">
        <w:rPr>
          <w:rFonts w:ascii="Times New Roman" w:eastAsia="Cambria" w:hAnsi="Times New Roman" w:cs="Times New Roman"/>
        </w:rPr>
        <w:t xml:space="preserve">table </w:t>
      </w:r>
      <w:r w:rsidR="00901643" w:rsidRPr="005117D8">
        <w:rPr>
          <w:rFonts w:ascii="Times New Roman" w:eastAsia="Cambria" w:hAnsi="Times New Roman" w:cs="Times New Roman"/>
        </w:rPr>
        <w:t>A</w:t>
      </w:r>
      <w:r w:rsidR="00901643" w:rsidRPr="00EC2F88">
        <w:rPr>
          <w:rFonts w:ascii="Times New Roman" w:eastAsia="Cambria" w:hAnsi="Times New Roman" w:cs="Times New Roman"/>
        </w:rPr>
        <w:t>5</w:t>
      </w:r>
      <w:r w:rsidR="00901643">
        <w:rPr>
          <w:rFonts w:ascii="Times New Roman" w:eastAsia="Cambria" w:hAnsi="Times New Roman" w:cs="Times New Roman"/>
        </w:rPr>
        <w:t xml:space="preserve"> in the </w:t>
      </w:r>
      <w:r w:rsidR="00784DF8">
        <w:rPr>
          <w:rFonts w:ascii="Times New Roman" w:eastAsia="Cambria" w:hAnsi="Times New Roman" w:cs="Times New Roman"/>
        </w:rPr>
        <w:t>a</w:t>
      </w:r>
      <w:r w:rsidR="00901643">
        <w:rPr>
          <w:rFonts w:ascii="Times New Roman" w:eastAsia="Cambria" w:hAnsi="Times New Roman" w:cs="Times New Roman"/>
        </w:rPr>
        <w:t xml:space="preserve">ppendix. </w:t>
      </w:r>
      <w:r w:rsidR="00E210AA">
        <w:rPr>
          <w:rFonts w:ascii="Times New Roman" w:eastAsia="Cambria" w:hAnsi="Times New Roman" w:cs="Times New Roman"/>
        </w:rPr>
        <w:t xml:space="preserve">Second, </w:t>
      </w:r>
      <w:r w:rsidR="00D50FA4">
        <w:rPr>
          <w:rFonts w:ascii="Times New Roman" w:eastAsia="Cambria" w:hAnsi="Times New Roman" w:cs="Times New Roman"/>
        </w:rPr>
        <w:t>direct health care costs to</w:t>
      </w:r>
      <w:r w:rsidR="00E210AA">
        <w:rPr>
          <w:rFonts w:ascii="Times New Roman" w:eastAsia="Cambria" w:hAnsi="Times New Roman" w:cs="Times New Roman"/>
        </w:rPr>
        <w:t xml:space="preserve"> the</w:t>
      </w:r>
      <w:r w:rsidR="00D50FA4">
        <w:rPr>
          <w:rFonts w:ascii="Times New Roman" w:eastAsia="Cambria" w:hAnsi="Times New Roman" w:cs="Times New Roman"/>
        </w:rPr>
        <w:t xml:space="preserve"> household corresponds to expenditures from </w:t>
      </w:r>
      <w:r w:rsidR="00E210AA">
        <w:rPr>
          <w:rFonts w:ascii="Times New Roman" w:eastAsia="Cambria" w:hAnsi="Times New Roman" w:cs="Times New Roman"/>
        </w:rPr>
        <w:t>total health care costs, from which</w:t>
      </w:r>
      <w:r w:rsidR="00D50FA4">
        <w:rPr>
          <w:rFonts w:ascii="Times New Roman" w:eastAsia="Cambria" w:hAnsi="Times New Roman" w:cs="Times New Roman"/>
        </w:rPr>
        <w:t xml:space="preserve"> private health insurance and public hospital or medical or drug plans</w:t>
      </w:r>
      <w:r w:rsidR="00901643">
        <w:rPr>
          <w:rFonts w:ascii="Times New Roman" w:eastAsia="Cambria" w:hAnsi="Times New Roman" w:cs="Times New Roman"/>
        </w:rPr>
        <w:t xml:space="preserve"> are sub</w:t>
      </w:r>
      <w:r w:rsidR="00E210AA">
        <w:rPr>
          <w:rFonts w:ascii="Times New Roman" w:eastAsia="Cambria" w:hAnsi="Times New Roman" w:cs="Times New Roman"/>
        </w:rPr>
        <w:t xml:space="preserve">tracted. </w:t>
      </w:r>
      <w:r w:rsidR="00D50FA4">
        <w:rPr>
          <w:rFonts w:ascii="Times New Roman" w:eastAsia="Cambria" w:hAnsi="Times New Roman" w:cs="Times New Roman"/>
        </w:rPr>
        <w:t xml:space="preserve">In section </w:t>
      </w:r>
      <w:r w:rsidR="00901643">
        <w:rPr>
          <w:rFonts w:ascii="Times New Roman" w:eastAsia="Cambria" w:hAnsi="Times New Roman" w:cs="Times New Roman"/>
        </w:rPr>
        <w:t>4</w:t>
      </w:r>
      <w:r w:rsidR="00D50FA4" w:rsidRPr="005117D8">
        <w:rPr>
          <w:rFonts w:ascii="Times New Roman" w:eastAsia="Cambria" w:hAnsi="Times New Roman" w:cs="Times New Roman"/>
        </w:rPr>
        <w:t>.2</w:t>
      </w:r>
      <w:r w:rsidR="00D50FA4" w:rsidRPr="00EC2F88">
        <w:rPr>
          <w:rFonts w:ascii="Times New Roman" w:eastAsia="Cambria" w:hAnsi="Times New Roman" w:cs="Times New Roman"/>
        </w:rPr>
        <w:t>,</w:t>
      </w:r>
      <w:r w:rsidR="00D50FA4">
        <w:rPr>
          <w:rFonts w:ascii="Times New Roman" w:eastAsia="Cambria" w:hAnsi="Times New Roman" w:cs="Times New Roman"/>
        </w:rPr>
        <w:t xml:space="preserve"> we look </w:t>
      </w:r>
      <w:r w:rsidR="00901643">
        <w:rPr>
          <w:rFonts w:ascii="Times New Roman" w:eastAsia="Cambria" w:hAnsi="Times New Roman" w:cs="Times New Roman"/>
        </w:rPr>
        <w:t xml:space="preserve">more closely at four individual categories of expenditures: prescription drugs, private insurance, hospital </w:t>
      </w:r>
      <w:r w:rsidR="002D3E04">
        <w:rPr>
          <w:rFonts w:ascii="Times New Roman" w:eastAsia="Cambria" w:hAnsi="Times New Roman" w:cs="Times New Roman"/>
        </w:rPr>
        <w:t xml:space="preserve">and other residential facilities </w:t>
      </w:r>
      <w:r w:rsidR="00901643">
        <w:rPr>
          <w:rFonts w:ascii="Times New Roman" w:eastAsia="Cambria" w:hAnsi="Times New Roman" w:cs="Times New Roman"/>
        </w:rPr>
        <w:t xml:space="preserve">and physician care. </w:t>
      </w:r>
      <w:r w:rsidR="002D3E04">
        <w:rPr>
          <w:rFonts w:ascii="Times New Roman" w:eastAsia="Cambria" w:hAnsi="Times New Roman" w:cs="Times New Roman"/>
        </w:rPr>
        <w:t>Looking separately at these categories helps understand if private health spending is focused on accessing care that replaces or complements the features of the Canadian universal health system</w:t>
      </w:r>
      <w:r w:rsidR="003340F4">
        <w:rPr>
          <w:rFonts w:ascii="Times New Roman" w:eastAsia="Cambria" w:hAnsi="Times New Roman" w:cs="Times New Roman"/>
        </w:rPr>
        <w:t>.</w:t>
      </w:r>
      <w:r w:rsidR="002D3E04">
        <w:rPr>
          <w:rFonts w:ascii="Times New Roman" w:eastAsia="Cambria" w:hAnsi="Times New Roman" w:cs="Times New Roman"/>
        </w:rPr>
        <w:t xml:space="preserve"> </w:t>
      </w:r>
    </w:p>
    <w:p w14:paraId="5DD4527D" w14:textId="77777777" w:rsidR="00D50FA4" w:rsidRDefault="00D50FA4" w:rsidP="00D50FA4">
      <w:pPr>
        <w:jc w:val="both"/>
        <w:rPr>
          <w:rFonts w:ascii="Times New Roman" w:eastAsia="Cambria" w:hAnsi="Times New Roman" w:cs="Times New Roman"/>
        </w:rPr>
      </w:pPr>
    </w:p>
    <w:p w14:paraId="356D7055" w14:textId="77777777" w:rsidR="00D50FA4" w:rsidRDefault="001207ED" w:rsidP="00CC5CC1">
      <w:pPr>
        <w:jc w:val="both"/>
        <w:outlineLvl w:val="0"/>
        <w:rPr>
          <w:rFonts w:ascii="Times New Roman" w:eastAsia="Cambria" w:hAnsi="Times New Roman" w:cs="Times New Roman"/>
        </w:rPr>
      </w:pPr>
      <w:r>
        <w:rPr>
          <w:rFonts w:ascii="Times New Roman" w:eastAsia="Cambria" w:hAnsi="Times New Roman" w:cs="Times New Roman"/>
        </w:rPr>
        <w:t>4</w:t>
      </w:r>
      <w:r w:rsidR="00D50FA4">
        <w:rPr>
          <w:rFonts w:ascii="Times New Roman" w:eastAsia="Cambria" w:hAnsi="Times New Roman" w:cs="Times New Roman"/>
        </w:rPr>
        <w:t>.1.3 Household characteristics</w:t>
      </w:r>
    </w:p>
    <w:p w14:paraId="427B4E70" w14:textId="77777777" w:rsidR="00D50FA4" w:rsidRDefault="00D50FA4" w:rsidP="00D50FA4">
      <w:pPr>
        <w:jc w:val="both"/>
        <w:rPr>
          <w:rFonts w:ascii="Times New Roman" w:eastAsia="Cambria" w:hAnsi="Times New Roman" w:cs="Times New Roman"/>
        </w:rPr>
      </w:pPr>
    </w:p>
    <w:p w14:paraId="0F7CE533" w14:textId="77777777" w:rsidR="00D50FA4" w:rsidRDefault="00D50FA4" w:rsidP="00D50FA4">
      <w:pPr>
        <w:jc w:val="both"/>
        <w:rPr>
          <w:rFonts w:ascii="Times New Roman" w:eastAsia="Cambria" w:hAnsi="Times New Roman" w:cs="Times New Roman"/>
        </w:rPr>
      </w:pPr>
      <w:r>
        <w:rPr>
          <w:rFonts w:ascii="Times New Roman" w:eastAsia="Cambria" w:hAnsi="Times New Roman" w:cs="Times New Roman"/>
        </w:rPr>
        <w:t>We obtain a series of socio-demogr</w:t>
      </w:r>
      <w:r w:rsidR="000C1D2D">
        <w:rPr>
          <w:rFonts w:ascii="Times New Roman" w:eastAsia="Cambria" w:hAnsi="Times New Roman" w:cs="Times New Roman"/>
        </w:rPr>
        <w:t xml:space="preserve">aphic information from the SHS </w:t>
      </w:r>
      <w:r>
        <w:rPr>
          <w:rFonts w:ascii="Times New Roman" w:eastAsia="Cambria" w:hAnsi="Times New Roman" w:cs="Times New Roman"/>
        </w:rPr>
        <w:t>to control for household-specific characteristics in our empirical analysi</w:t>
      </w:r>
      <w:r w:rsidR="000158BD">
        <w:rPr>
          <w:rFonts w:ascii="Times New Roman" w:eastAsia="Cambria" w:hAnsi="Times New Roman" w:cs="Times New Roman"/>
        </w:rPr>
        <w:t>s. In addition to household size</w:t>
      </w:r>
      <w:r>
        <w:rPr>
          <w:rFonts w:ascii="Times New Roman" w:eastAsia="Cambria" w:hAnsi="Times New Roman" w:cs="Times New Roman"/>
        </w:rPr>
        <w:t xml:space="preserve">, we </w:t>
      </w:r>
      <w:r w:rsidR="00FB70FE">
        <w:rPr>
          <w:rFonts w:ascii="Times New Roman" w:eastAsia="Cambria" w:hAnsi="Times New Roman" w:cs="Times New Roman"/>
        </w:rPr>
        <w:t>use</w:t>
      </w:r>
      <w:r>
        <w:rPr>
          <w:rFonts w:ascii="Times New Roman" w:eastAsia="Cambria" w:hAnsi="Times New Roman" w:cs="Times New Roman"/>
        </w:rPr>
        <w:t xml:space="preserve"> information of the number of individuals aged 65 and above, the number of children, the age of the youngest child </w:t>
      </w:r>
      <w:r w:rsidR="00B045F8">
        <w:rPr>
          <w:rFonts w:ascii="Times New Roman" w:eastAsia="Cambria" w:hAnsi="Times New Roman" w:cs="Times New Roman"/>
        </w:rPr>
        <w:t>(0 to 5 years old and</w:t>
      </w:r>
      <w:r>
        <w:rPr>
          <w:rFonts w:ascii="Times New Roman" w:eastAsia="Cambria" w:hAnsi="Times New Roman" w:cs="Times New Roman"/>
        </w:rPr>
        <w:t xml:space="preserve"> 6 to 18 year</w:t>
      </w:r>
      <w:r w:rsidR="00594ACD">
        <w:rPr>
          <w:rFonts w:ascii="Times New Roman" w:eastAsia="Cambria" w:hAnsi="Times New Roman" w:cs="Times New Roman"/>
        </w:rPr>
        <w:t>s</w:t>
      </w:r>
      <w:r>
        <w:rPr>
          <w:rFonts w:ascii="Times New Roman" w:eastAsia="Cambria" w:hAnsi="Times New Roman" w:cs="Times New Roman"/>
        </w:rPr>
        <w:t xml:space="preserve"> old), the marital status of the main respondent, as well as the household's total annual expenditure, from which we can derive a measure of annual non-health expenditure.</w:t>
      </w:r>
    </w:p>
    <w:p w14:paraId="45718615" w14:textId="77777777" w:rsidR="00D50FA4" w:rsidRDefault="00D50FA4" w:rsidP="00D50FA4">
      <w:pPr>
        <w:jc w:val="both"/>
        <w:rPr>
          <w:rFonts w:ascii="Times New Roman" w:eastAsia="Cambria" w:hAnsi="Times New Roman" w:cs="Times New Roman"/>
        </w:rPr>
      </w:pPr>
    </w:p>
    <w:p w14:paraId="2F31A215" w14:textId="77777777" w:rsidR="00D50FA4" w:rsidRDefault="001207ED" w:rsidP="00CC5CC1">
      <w:pPr>
        <w:jc w:val="both"/>
        <w:outlineLvl w:val="0"/>
        <w:rPr>
          <w:rFonts w:ascii="Times New Roman" w:eastAsia="Cambria" w:hAnsi="Times New Roman" w:cs="Times New Roman"/>
        </w:rPr>
      </w:pPr>
      <w:r>
        <w:rPr>
          <w:rFonts w:ascii="Times New Roman" w:eastAsia="Cambria" w:hAnsi="Times New Roman" w:cs="Times New Roman"/>
        </w:rPr>
        <w:lastRenderedPageBreak/>
        <w:t>4</w:t>
      </w:r>
      <w:r w:rsidR="00D50FA4">
        <w:rPr>
          <w:rFonts w:ascii="Times New Roman" w:eastAsia="Cambria" w:hAnsi="Times New Roman" w:cs="Times New Roman"/>
        </w:rPr>
        <w:t>.1.</w:t>
      </w:r>
      <w:r w:rsidR="00E0192E">
        <w:rPr>
          <w:rFonts w:ascii="Times New Roman" w:eastAsia="Cambria" w:hAnsi="Times New Roman" w:cs="Times New Roman"/>
        </w:rPr>
        <w:t>4</w:t>
      </w:r>
      <w:r w:rsidR="00D50FA4">
        <w:rPr>
          <w:rFonts w:ascii="Times New Roman" w:eastAsia="Cambria" w:hAnsi="Times New Roman" w:cs="Times New Roman"/>
        </w:rPr>
        <w:t xml:space="preserve"> Summary Statistics </w:t>
      </w:r>
    </w:p>
    <w:p w14:paraId="1E23B9ED" w14:textId="77777777" w:rsidR="00D50FA4" w:rsidRDefault="00D50FA4" w:rsidP="00D50FA4">
      <w:pPr>
        <w:jc w:val="both"/>
        <w:rPr>
          <w:rFonts w:ascii="Times New Roman" w:eastAsia="Cambria" w:hAnsi="Times New Roman" w:cs="Times New Roman"/>
        </w:rPr>
      </w:pPr>
    </w:p>
    <w:p w14:paraId="5BA078B6" w14:textId="77777777" w:rsidR="00D50FA4" w:rsidRPr="001F7279" w:rsidRDefault="00D50FA4" w:rsidP="00432B0E">
      <w:pPr>
        <w:jc w:val="both"/>
        <w:rPr>
          <w:rFonts w:ascii="Times New Roman" w:eastAsia="Cambria" w:hAnsi="Times New Roman" w:cs="Times New Roman"/>
        </w:rPr>
      </w:pPr>
      <w:r>
        <w:rPr>
          <w:rFonts w:ascii="Times New Roman" w:eastAsia="Cambria" w:hAnsi="Times New Roman" w:cs="Times New Roman"/>
        </w:rPr>
        <w:t xml:space="preserve">Our main estimating sample </w:t>
      </w:r>
      <w:r w:rsidR="009840E7">
        <w:rPr>
          <w:rFonts w:ascii="Times New Roman" w:eastAsia="Cambria" w:hAnsi="Times New Roman" w:cs="Times New Roman"/>
        </w:rPr>
        <w:t xml:space="preserve">is composed of all observations </w:t>
      </w:r>
      <w:r>
        <w:rPr>
          <w:rFonts w:ascii="Times New Roman" w:eastAsia="Cambria" w:hAnsi="Times New Roman" w:cs="Times New Roman"/>
        </w:rPr>
        <w:t>coming from the ten Canadian provinces</w:t>
      </w:r>
      <w:r w:rsidR="00482A3C">
        <w:rPr>
          <w:rFonts w:ascii="Times New Roman" w:eastAsia="Cambria" w:hAnsi="Times New Roman" w:cs="Times New Roman"/>
        </w:rPr>
        <w:t xml:space="preserve"> between 1997 and 2009</w:t>
      </w:r>
      <w:r>
        <w:rPr>
          <w:rFonts w:ascii="Times New Roman" w:eastAsia="Cambria" w:hAnsi="Times New Roman" w:cs="Times New Roman"/>
        </w:rPr>
        <w:t xml:space="preserve">, excluding </w:t>
      </w:r>
      <w:r w:rsidR="00482A3C">
        <w:rPr>
          <w:rFonts w:ascii="Times New Roman" w:eastAsia="Cambria" w:hAnsi="Times New Roman" w:cs="Times New Roman"/>
        </w:rPr>
        <w:t>those</w:t>
      </w:r>
      <w:r>
        <w:rPr>
          <w:rFonts w:ascii="Times New Roman" w:eastAsia="Cambria" w:hAnsi="Times New Roman" w:cs="Times New Roman"/>
        </w:rPr>
        <w:t xml:space="preserve"> for which information on household composition is missing. We further exclude all households reporting a negative total income (from earnings, investment, other sources and transfers, before taxes) or a negative amount for total annual expenditures (excluding taxes, non-health insurance payments and contributions and gifts). Our final sample consists of 186,577 households.</w:t>
      </w:r>
      <w:r w:rsidR="00432B0E">
        <w:rPr>
          <w:rFonts w:ascii="Times New Roman" w:eastAsia="Cambria" w:hAnsi="Times New Roman" w:cs="Times New Roman"/>
        </w:rPr>
        <w:t xml:space="preserve"> Summary statistics for our sample are shown in </w:t>
      </w:r>
      <w:r w:rsidR="000A4D0D">
        <w:rPr>
          <w:rFonts w:ascii="Times New Roman" w:eastAsia="Cambria" w:hAnsi="Times New Roman" w:cs="Times New Roman"/>
        </w:rPr>
        <w:t>t</w:t>
      </w:r>
      <w:r w:rsidR="00432B0E">
        <w:rPr>
          <w:rFonts w:ascii="Times New Roman" w:eastAsia="Cambria" w:hAnsi="Times New Roman" w:cs="Times New Roman"/>
        </w:rPr>
        <w:t xml:space="preserve">able 5.  </w:t>
      </w:r>
      <w:r w:rsidR="004E6CB6">
        <w:rPr>
          <w:rFonts w:ascii="Times New Roman" w:eastAsia="Cambria" w:hAnsi="Times New Roman" w:cs="Times New Roman"/>
        </w:rPr>
        <w:t>Average annual h</w:t>
      </w:r>
      <w:r w:rsidR="00432B0E">
        <w:rPr>
          <w:rFonts w:ascii="Times New Roman" w:eastAsia="Cambria" w:hAnsi="Times New Roman" w:cs="Times New Roman"/>
        </w:rPr>
        <w:t>ousehold spen</w:t>
      </w:r>
      <w:r w:rsidR="004E6CB6">
        <w:rPr>
          <w:rFonts w:ascii="Times New Roman" w:eastAsia="Cambria" w:hAnsi="Times New Roman" w:cs="Times New Roman"/>
        </w:rPr>
        <w:t>ding is</w:t>
      </w:r>
      <w:r w:rsidRPr="006F07CE">
        <w:rPr>
          <w:rFonts w:ascii="Times New Roman" w:eastAsia="Cambria" w:hAnsi="Times New Roman" w:cs="Times New Roman"/>
        </w:rPr>
        <w:t xml:space="preserve"> $</w:t>
      </w:r>
      <w:r w:rsidR="000C1061" w:rsidRPr="006F07CE">
        <w:rPr>
          <w:rFonts w:ascii="Times New Roman" w:eastAsia="Cambria" w:hAnsi="Times New Roman" w:cs="Times New Roman"/>
        </w:rPr>
        <w:t>337.28</w:t>
      </w:r>
      <w:r w:rsidR="004E6CB6">
        <w:rPr>
          <w:rFonts w:ascii="Times New Roman" w:eastAsia="Cambria" w:hAnsi="Times New Roman" w:cs="Times New Roman"/>
        </w:rPr>
        <w:t xml:space="preserve"> </w:t>
      </w:r>
      <w:r w:rsidR="00432B0E">
        <w:rPr>
          <w:rFonts w:ascii="Times New Roman" w:eastAsia="Cambria" w:hAnsi="Times New Roman" w:cs="Times New Roman"/>
        </w:rPr>
        <w:t>on private health insurance</w:t>
      </w:r>
      <w:r w:rsidR="004E6CB6">
        <w:rPr>
          <w:rFonts w:ascii="Times New Roman" w:eastAsia="Cambria" w:hAnsi="Times New Roman" w:cs="Times New Roman"/>
        </w:rPr>
        <w:t>,</w:t>
      </w:r>
      <w:r w:rsidR="00432B0E">
        <w:rPr>
          <w:rFonts w:ascii="Times New Roman" w:eastAsia="Cambria" w:hAnsi="Times New Roman" w:cs="Times New Roman"/>
        </w:rPr>
        <w:t xml:space="preserve"> </w:t>
      </w:r>
      <w:r w:rsidRPr="006F07CE">
        <w:rPr>
          <w:rFonts w:ascii="Times New Roman" w:eastAsia="Cambria" w:hAnsi="Times New Roman" w:cs="Times New Roman"/>
        </w:rPr>
        <w:t>$</w:t>
      </w:r>
      <w:r w:rsidR="000C1061" w:rsidRPr="006F07CE">
        <w:rPr>
          <w:rFonts w:ascii="Times New Roman" w:eastAsia="Cambria" w:hAnsi="Times New Roman" w:cs="Times New Roman"/>
        </w:rPr>
        <w:t>250.97</w:t>
      </w:r>
      <w:r w:rsidRPr="006F07CE">
        <w:rPr>
          <w:rFonts w:ascii="Times New Roman" w:eastAsia="Cambria" w:hAnsi="Times New Roman" w:cs="Times New Roman"/>
        </w:rPr>
        <w:t xml:space="preserve"> </w:t>
      </w:r>
      <w:r w:rsidR="004E6CB6">
        <w:rPr>
          <w:rFonts w:ascii="Times New Roman" w:eastAsia="Cambria" w:hAnsi="Times New Roman" w:cs="Times New Roman"/>
        </w:rPr>
        <w:t>on prescription drugs and</w:t>
      </w:r>
      <w:r w:rsidRPr="006F07CE">
        <w:rPr>
          <w:rFonts w:ascii="Times New Roman" w:eastAsia="Cambria" w:hAnsi="Times New Roman" w:cs="Times New Roman"/>
        </w:rPr>
        <w:t xml:space="preserve"> $</w:t>
      </w:r>
      <w:r w:rsidR="004304E2">
        <w:rPr>
          <w:rFonts w:ascii="Times New Roman" w:eastAsia="Cambria" w:hAnsi="Times New Roman" w:cs="Times New Roman"/>
        </w:rPr>
        <w:t>293.57</w:t>
      </w:r>
      <w:r w:rsidR="004E6CB6">
        <w:rPr>
          <w:rFonts w:ascii="Times New Roman" w:eastAsia="Cambria" w:hAnsi="Times New Roman" w:cs="Times New Roman"/>
        </w:rPr>
        <w:t xml:space="preserve"> on dental care</w:t>
      </w:r>
      <w:r w:rsidRPr="006F07CE">
        <w:rPr>
          <w:rFonts w:ascii="Times New Roman" w:eastAsia="Cambria" w:hAnsi="Times New Roman" w:cs="Times New Roman"/>
        </w:rPr>
        <w:t xml:space="preserve">. Consistent with the nature of </w:t>
      </w:r>
      <w:r w:rsidR="004304E2">
        <w:rPr>
          <w:rFonts w:ascii="Times New Roman" w:eastAsia="Cambria" w:hAnsi="Times New Roman" w:cs="Times New Roman"/>
        </w:rPr>
        <w:t>the Canadian health care system</w:t>
      </w:r>
      <w:r w:rsidRPr="006F07CE">
        <w:rPr>
          <w:rFonts w:ascii="Times New Roman" w:eastAsia="Cambria" w:hAnsi="Times New Roman" w:cs="Times New Roman"/>
        </w:rPr>
        <w:t xml:space="preserve"> and with the provision of the Canada </w:t>
      </w:r>
      <w:r w:rsidR="00C554C7">
        <w:rPr>
          <w:rFonts w:ascii="Times New Roman" w:eastAsia="Cambria" w:hAnsi="Times New Roman" w:cs="Times New Roman"/>
        </w:rPr>
        <w:t>H</w:t>
      </w:r>
      <w:r w:rsidRPr="006F07CE">
        <w:rPr>
          <w:rFonts w:ascii="Times New Roman" w:eastAsia="Cambria" w:hAnsi="Times New Roman" w:cs="Times New Roman"/>
        </w:rPr>
        <w:t xml:space="preserve">ealth </w:t>
      </w:r>
      <w:r w:rsidR="00C554C7">
        <w:rPr>
          <w:rFonts w:ascii="Times New Roman" w:eastAsia="Cambria" w:hAnsi="Times New Roman" w:cs="Times New Roman"/>
        </w:rPr>
        <w:t>A</w:t>
      </w:r>
      <w:r w:rsidRPr="006F07CE">
        <w:rPr>
          <w:rFonts w:ascii="Times New Roman" w:eastAsia="Cambria" w:hAnsi="Times New Roman" w:cs="Times New Roman"/>
        </w:rPr>
        <w:t>ct, average expenditures</w:t>
      </w:r>
      <w:r w:rsidR="004304E2">
        <w:rPr>
          <w:rFonts w:ascii="Times New Roman" w:eastAsia="Cambria" w:hAnsi="Times New Roman" w:cs="Times New Roman"/>
        </w:rPr>
        <w:t xml:space="preserve"> on physician care and hospitals </w:t>
      </w:r>
      <w:r w:rsidRPr="006F07CE">
        <w:rPr>
          <w:rFonts w:ascii="Times New Roman" w:eastAsia="Cambria" w:hAnsi="Times New Roman" w:cs="Times New Roman"/>
        </w:rPr>
        <w:t>are low, at respectively $</w:t>
      </w:r>
      <w:r w:rsidR="00862247" w:rsidRPr="006F07CE">
        <w:rPr>
          <w:rFonts w:ascii="Times New Roman" w:eastAsia="Cambria" w:hAnsi="Times New Roman" w:cs="Times New Roman"/>
        </w:rPr>
        <w:t>18.22</w:t>
      </w:r>
      <w:r w:rsidRPr="006F07CE">
        <w:rPr>
          <w:rFonts w:ascii="Times New Roman" w:eastAsia="Cambria" w:hAnsi="Times New Roman" w:cs="Times New Roman"/>
        </w:rPr>
        <w:t xml:space="preserve"> and $</w:t>
      </w:r>
      <w:r w:rsidR="00862247" w:rsidRPr="006F07CE">
        <w:rPr>
          <w:rFonts w:ascii="Times New Roman" w:eastAsia="Cambria" w:hAnsi="Times New Roman" w:cs="Times New Roman"/>
        </w:rPr>
        <w:t>18.06</w:t>
      </w:r>
      <w:r w:rsidRPr="006F07CE">
        <w:rPr>
          <w:rFonts w:ascii="Times New Roman" w:eastAsia="Cambria" w:hAnsi="Times New Roman" w:cs="Times New Roman"/>
        </w:rPr>
        <w:t xml:space="preserve"> per year</w:t>
      </w:r>
      <w:r w:rsidR="00432B0E">
        <w:rPr>
          <w:rStyle w:val="FootnoteReference"/>
          <w:rFonts w:ascii="Times New Roman" w:eastAsia="Cambria" w:hAnsi="Times New Roman" w:cs="Times New Roman"/>
        </w:rPr>
        <w:footnoteReference w:id="15"/>
      </w:r>
      <w:r w:rsidRPr="006F07CE">
        <w:rPr>
          <w:rFonts w:ascii="Times New Roman" w:eastAsia="Cambria" w:hAnsi="Times New Roman" w:cs="Times New Roman"/>
        </w:rPr>
        <w:t xml:space="preserve">. </w:t>
      </w:r>
    </w:p>
    <w:p w14:paraId="3643C020" w14:textId="77777777" w:rsidR="009E6020" w:rsidRPr="002753FC" w:rsidRDefault="009E6020" w:rsidP="00D50FA4">
      <w:pPr>
        <w:jc w:val="both"/>
        <w:rPr>
          <w:rFonts w:ascii="Times New Roman" w:eastAsia="Cambria" w:hAnsi="Times New Roman" w:cs="Times New Roman"/>
        </w:rPr>
      </w:pPr>
    </w:p>
    <w:p w14:paraId="602E5594" w14:textId="77777777" w:rsidR="00D50FA4" w:rsidRDefault="00D50FA4" w:rsidP="00D50FA4">
      <w:pPr>
        <w:jc w:val="both"/>
        <w:rPr>
          <w:rFonts w:ascii="Times New Roman" w:eastAsia="Cambria" w:hAnsi="Times New Roman" w:cs="Times New Roman"/>
        </w:rPr>
      </w:pPr>
      <w:r w:rsidRPr="00EA5F6B">
        <w:rPr>
          <w:rFonts w:ascii="Times New Roman" w:eastAsia="Cambria" w:hAnsi="Times New Roman" w:cs="Times New Roman"/>
        </w:rPr>
        <w:t xml:space="preserve">Table </w:t>
      </w:r>
      <w:r w:rsidR="0070213E" w:rsidRPr="00EA5F6B">
        <w:rPr>
          <w:rFonts w:ascii="Times New Roman" w:eastAsia="Cambria" w:hAnsi="Times New Roman" w:cs="Times New Roman"/>
        </w:rPr>
        <w:t>6</w:t>
      </w:r>
      <w:r w:rsidRPr="00EA5F6B">
        <w:rPr>
          <w:rFonts w:ascii="Times New Roman" w:eastAsia="Cambria" w:hAnsi="Times New Roman" w:cs="Times New Roman"/>
        </w:rPr>
        <w:t xml:space="preserve"> takes a closer look at characteristics and health expenditure patterns for households in different income </w:t>
      </w:r>
      <w:proofErr w:type="spellStart"/>
      <w:r w:rsidRPr="00EA5F6B">
        <w:rPr>
          <w:rFonts w:ascii="Times New Roman" w:eastAsia="Cambria" w:hAnsi="Times New Roman" w:cs="Times New Roman"/>
        </w:rPr>
        <w:t>fractiles</w:t>
      </w:r>
      <w:proofErr w:type="spellEnd"/>
      <w:r w:rsidRPr="00EA5F6B">
        <w:rPr>
          <w:rFonts w:ascii="Times New Roman" w:eastAsia="Cambria" w:hAnsi="Times New Roman" w:cs="Times New Roman"/>
        </w:rPr>
        <w:t xml:space="preserve">. </w:t>
      </w:r>
      <w:r w:rsidR="00D80E8B">
        <w:rPr>
          <w:rFonts w:ascii="Times New Roman" w:eastAsia="Cambria" w:hAnsi="Times New Roman" w:cs="Times New Roman"/>
        </w:rPr>
        <w:t xml:space="preserve"> High </w:t>
      </w:r>
      <w:r w:rsidRPr="00EA5F6B">
        <w:rPr>
          <w:rFonts w:ascii="Times New Roman" w:eastAsia="Cambria" w:hAnsi="Times New Roman" w:cs="Times New Roman"/>
        </w:rPr>
        <w:t xml:space="preserve">and low income households </w:t>
      </w:r>
      <w:r w:rsidR="00D80E8B">
        <w:rPr>
          <w:rFonts w:ascii="Times New Roman" w:eastAsia="Cambria" w:hAnsi="Times New Roman" w:cs="Times New Roman"/>
        </w:rPr>
        <w:t xml:space="preserve">in our sample </w:t>
      </w:r>
      <w:r w:rsidRPr="00EA5F6B">
        <w:rPr>
          <w:rFonts w:ascii="Times New Roman" w:eastAsia="Cambria" w:hAnsi="Times New Roman" w:cs="Times New Roman"/>
        </w:rPr>
        <w:t xml:space="preserve">are significantly different. Households in the bottom 20% are more likely to be </w:t>
      </w:r>
      <w:r w:rsidR="00F15E43">
        <w:rPr>
          <w:rFonts w:ascii="Times New Roman" w:eastAsia="Cambria" w:hAnsi="Times New Roman" w:cs="Times New Roman"/>
        </w:rPr>
        <w:t xml:space="preserve">composed </w:t>
      </w:r>
      <w:r w:rsidRPr="00EA5F6B">
        <w:rPr>
          <w:rFonts w:ascii="Times New Roman" w:eastAsia="Cambria" w:hAnsi="Times New Roman" w:cs="Times New Roman"/>
        </w:rPr>
        <w:t>of</w:t>
      </w:r>
      <w:r w:rsidRPr="008303CE">
        <w:rPr>
          <w:rFonts w:ascii="Times New Roman" w:eastAsia="Cambria" w:hAnsi="Times New Roman" w:cs="Times New Roman"/>
        </w:rPr>
        <w:t xml:space="preserve"> only one individual, and are on average less </w:t>
      </w:r>
      <w:r w:rsidR="00C554C7">
        <w:rPr>
          <w:rFonts w:ascii="Times New Roman" w:eastAsia="Cambria" w:hAnsi="Times New Roman" w:cs="Times New Roman"/>
        </w:rPr>
        <w:t xml:space="preserve">than </w:t>
      </w:r>
      <w:r w:rsidRPr="008303CE">
        <w:rPr>
          <w:rFonts w:ascii="Times New Roman" w:eastAsia="Cambria" w:hAnsi="Times New Roman" w:cs="Times New Roman"/>
        </w:rPr>
        <w:t>half the size of households in the top 10%</w:t>
      </w:r>
      <w:r w:rsidR="00C554C7">
        <w:rPr>
          <w:rFonts w:ascii="Times New Roman" w:eastAsia="Cambria" w:hAnsi="Times New Roman" w:cs="Times New Roman"/>
        </w:rPr>
        <w:t>, who</w:t>
      </w:r>
      <w:r w:rsidRPr="008303CE">
        <w:rPr>
          <w:rFonts w:ascii="Times New Roman" w:eastAsia="Cambria" w:hAnsi="Times New Roman" w:cs="Times New Roman"/>
        </w:rPr>
        <w:t xml:space="preserve"> are more than four times more likely to have a</w:t>
      </w:r>
      <w:r w:rsidRPr="00A94F45">
        <w:rPr>
          <w:rFonts w:ascii="Times New Roman" w:eastAsia="Cambria" w:hAnsi="Times New Roman" w:cs="Times New Roman"/>
        </w:rPr>
        <w:t xml:space="preserve"> married respondent. </w:t>
      </w:r>
      <w:r w:rsidR="00202385">
        <w:rPr>
          <w:rFonts w:ascii="Times New Roman" w:eastAsia="Cambria" w:hAnsi="Times New Roman" w:cs="Times New Roman"/>
        </w:rPr>
        <w:t>H</w:t>
      </w:r>
      <w:r w:rsidRPr="00A94F45">
        <w:rPr>
          <w:rFonts w:ascii="Times New Roman" w:eastAsia="Cambria" w:hAnsi="Times New Roman" w:cs="Times New Roman"/>
        </w:rPr>
        <w:t>ouseholds</w:t>
      </w:r>
      <w:r w:rsidR="00202385">
        <w:rPr>
          <w:rFonts w:ascii="Times New Roman" w:eastAsia="Cambria" w:hAnsi="Times New Roman" w:cs="Times New Roman"/>
        </w:rPr>
        <w:t xml:space="preserve"> with an income below the median</w:t>
      </w:r>
      <w:r w:rsidRPr="00A94F45">
        <w:rPr>
          <w:rFonts w:ascii="Times New Roman" w:eastAsia="Cambria" w:hAnsi="Times New Roman" w:cs="Times New Roman"/>
        </w:rPr>
        <w:t xml:space="preserve"> are also more likely to include at least one individual aged 65 or more, </w:t>
      </w:r>
      <w:r w:rsidR="00C554C7">
        <w:rPr>
          <w:rFonts w:ascii="Times New Roman" w:eastAsia="Cambria" w:hAnsi="Times New Roman" w:cs="Times New Roman"/>
        </w:rPr>
        <w:t xml:space="preserve">and </w:t>
      </w:r>
      <w:r w:rsidRPr="00A94F45">
        <w:rPr>
          <w:rFonts w:ascii="Times New Roman" w:eastAsia="Cambria" w:hAnsi="Times New Roman" w:cs="Times New Roman"/>
        </w:rPr>
        <w:t>are l</w:t>
      </w:r>
      <w:r w:rsidRPr="00CD3ABB">
        <w:rPr>
          <w:rFonts w:ascii="Times New Roman" w:eastAsia="Cambria" w:hAnsi="Times New Roman" w:cs="Times New Roman"/>
        </w:rPr>
        <w:t xml:space="preserve">ess likely to include children. There is a substantial difference in the average income between households in the bottom 20%, at </w:t>
      </w:r>
      <w:r w:rsidRPr="006F07CE">
        <w:rPr>
          <w:rFonts w:ascii="Times New Roman" w:eastAsia="Cambria" w:hAnsi="Times New Roman" w:cs="Times New Roman"/>
        </w:rPr>
        <w:t>$1</w:t>
      </w:r>
      <w:r w:rsidR="004F6F2D" w:rsidRPr="006F07CE">
        <w:rPr>
          <w:rFonts w:ascii="Times New Roman" w:eastAsia="Cambria" w:hAnsi="Times New Roman" w:cs="Times New Roman"/>
        </w:rPr>
        <w:t>4,279</w:t>
      </w:r>
      <w:r w:rsidRPr="006F07CE">
        <w:rPr>
          <w:rFonts w:ascii="Times New Roman" w:eastAsia="Cambria" w:hAnsi="Times New Roman" w:cs="Times New Roman"/>
        </w:rPr>
        <w:t>, and those in the top 10%, $</w:t>
      </w:r>
      <w:r w:rsidR="004F6F2D" w:rsidRPr="006F07CE">
        <w:rPr>
          <w:rFonts w:ascii="Times New Roman" w:eastAsia="Cambria" w:hAnsi="Times New Roman" w:cs="Times New Roman"/>
        </w:rPr>
        <w:t>180,233</w:t>
      </w:r>
      <w:r w:rsidRPr="006F07CE">
        <w:rPr>
          <w:rFonts w:ascii="Times New Roman" w:eastAsia="Cambria" w:hAnsi="Times New Roman" w:cs="Times New Roman"/>
        </w:rPr>
        <w:t xml:space="preserve">. Total expenditures also increase through the income distribution, although the gradient is less pronounced than </w:t>
      </w:r>
      <w:r>
        <w:rPr>
          <w:rFonts w:ascii="Times New Roman" w:eastAsia="Cambria" w:hAnsi="Times New Roman" w:cs="Times New Roman"/>
        </w:rPr>
        <w:t xml:space="preserve">the increase in income between the bottom, middle and top </w:t>
      </w:r>
      <w:proofErr w:type="spellStart"/>
      <w:r>
        <w:rPr>
          <w:rFonts w:ascii="Times New Roman" w:eastAsia="Cambria" w:hAnsi="Times New Roman" w:cs="Times New Roman"/>
        </w:rPr>
        <w:t>fractiles</w:t>
      </w:r>
      <w:proofErr w:type="spellEnd"/>
      <w:r>
        <w:rPr>
          <w:rFonts w:ascii="Times New Roman" w:eastAsia="Cambria" w:hAnsi="Times New Roman" w:cs="Times New Roman"/>
        </w:rPr>
        <w:t xml:space="preserve">. </w:t>
      </w:r>
    </w:p>
    <w:p w14:paraId="6C95F351" w14:textId="77777777" w:rsidR="00D50FA4" w:rsidRDefault="00D50FA4" w:rsidP="00D50FA4">
      <w:pPr>
        <w:jc w:val="both"/>
        <w:rPr>
          <w:rFonts w:ascii="Times New Roman" w:eastAsia="Cambria" w:hAnsi="Times New Roman" w:cs="Times New Roman"/>
        </w:rPr>
      </w:pPr>
    </w:p>
    <w:p w14:paraId="4FA4617C" w14:textId="2913CCAD" w:rsidR="00D50FA4" w:rsidRDefault="00D50FA4" w:rsidP="00D50FA4">
      <w:pPr>
        <w:jc w:val="both"/>
        <w:rPr>
          <w:rFonts w:ascii="Times New Roman" w:eastAsia="Cambria" w:hAnsi="Times New Roman" w:cs="Times New Roman"/>
        </w:rPr>
      </w:pPr>
      <w:r>
        <w:rPr>
          <w:rFonts w:ascii="Times New Roman" w:eastAsia="Cambria" w:hAnsi="Times New Roman" w:cs="Times New Roman"/>
        </w:rPr>
        <w:t>As expected</w:t>
      </w:r>
      <w:r w:rsidR="001048C4">
        <w:rPr>
          <w:rFonts w:ascii="Times New Roman" w:eastAsia="Cambria" w:hAnsi="Times New Roman" w:cs="Times New Roman"/>
        </w:rPr>
        <w:t>, health expenditure</w:t>
      </w:r>
      <w:r>
        <w:rPr>
          <w:rFonts w:ascii="Times New Roman" w:eastAsia="Cambria" w:hAnsi="Times New Roman" w:cs="Times New Roman"/>
        </w:rPr>
        <w:t xml:space="preserve"> increase</w:t>
      </w:r>
      <w:r w:rsidR="00A85B55">
        <w:rPr>
          <w:rFonts w:ascii="Times New Roman" w:eastAsia="Cambria" w:hAnsi="Times New Roman" w:cs="Times New Roman"/>
        </w:rPr>
        <w:t>s</w:t>
      </w:r>
      <w:r>
        <w:rPr>
          <w:rFonts w:ascii="Times New Roman" w:eastAsia="Cambria" w:hAnsi="Times New Roman" w:cs="Times New Roman"/>
        </w:rPr>
        <w:t xml:space="preserve"> as one </w:t>
      </w:r>
      <w:r w:rsidR="001048C4">
        <w:rPr>
          <w:rFonts w:ascii="Times New Roman" w:eastAsia="Cambria" w:hAnsi="Times New Roman" w:cs="Times New Roman"/>
        </w:rPr>
        <w:t>moves from low- to high-</w:t>
      </w:r>
      <w:r>
        <w:rPr>
          <w:rFonts w:ascii="Times New Roman" w:eastAsia="Cambria" w:hAnsi="Times New Roman" w:cs="Times New Roman"/>
        </w:rPr>
        <w:t>income households</w:t>
      </w:r>
      <w:r w:rsidR="008C4F9A">
        <w:rPr>
          <w:rFonts w:ascii="Times New Roman" w:eastAsia="Cambria" w:hAnsi="Times New Roman" w:cs="Times New Roman"/>
        </w:rPr>
        <w:t>.</w:t>
      </w:r>
      <w:r w:rsidR="00655BEA">
        <w:rPr>
          <w:rFonts w:ascii="Times New Roman" w:eastAsia="Cambria" w:hAnsi="Times New Roman" w:cs="Times New Roman"/>
        </w:rPr>
        <w:t xml:space="preserve"> </w:t>
      </w:r>
      <w:r w:rsidR="001048C4">
        <w:rPr>
          <w:rFonts w:ascii="Times New Roman" w:eastAsia="Cambria" w:hAnsi="Times New Roman" w:cs="Times New Roman"/>
        </w:rPr>
        <w:t xml:space="preserve">The bottom panel of </w:t>
      </w:r>
      <w:r w:rsidR="001048C4" w:rsidRPr="008A6630">
        <w:rPr>
          <w:rFonts w:ascii="Times New Roman" w:eastAsia="Cambria" w:hAnsi="Times New Roman" w:cs="Times New Roman"/>
        </w:rPr>
        <w:t>t</w:t>
      </w:r>
      <w:r w:rsidRPr="008A6630">
        <w:rPr>
          <w:rFonts w:ascii="Times New Roman" w:eastAsia="Cambria" w:hAnsi="Times New Roman" w:cs="Times New Roman"/>
        </w:rPr>
        <w:t xml:space="preserve">able </w:t>
      </w:r>
      <w:r w:rsidR="0070213E" w:rsidRPr="005117D8">
        <w:rPr>
          <w:rFonts w:ascii="Times New Roman" w:eastAsia="Cambria" w:hAnsi="Times New Roman" w:cs="Times New Roman"/>
        </w:rPr>
        <w:t>6</w:t>
      </w:r>
      <w:r w:rsidRPr="008A6630">
        <w:rPr>
          <w:rFonts w:ascii="Times New Roman" w:eastAsia="Cambria" w:hAnsi="Times New Roman" w:cs="Times New Roman"/>
        </w:rPr>
        <w:t xml:space="preserve"> </w:t>
      </w:r>
      <w:r w:rsidR="001048C4" w:rsidRPr="008A6630">
        <w:rPr>
          <w:rFonts w:ascii="Times New Roman" w:eastAsia="Cambria" w:hAnsi="Times New Roman" w:cs="Times New Roman"/>
        </w:rPr>
        <w:t>suggest</w:t>
      </w:r>
      <w:r w:rsidR="00957749" w:rsidRPr="008A6630">
        <w:rPr>
          <w:rFonts w:ascii="Times New Roman" w:eastAsia="Cambria" w:hAnsi="Times New Roman" w:cs="Times New Roman"/>
        </w:rPr>
        <w:t>s</w:t>
      </w:r>
      <w:r w:rsidR="001048C4" w:rsidRPr="008A6630">
        <w:rPr>
          <w:rFonts w:ascii="Times New Roman" w:eastAsia="Cambria" w:hAnsi="Times New Roman" w:cs="Times New Roman"/>
        </w:rPr>
        <w:t xml:space="preserve"> </w:t>
      </w:r>
      <w:r w:rsidR="008C4F9A" w:rsidRPr="00EC2F88">
        <w:rPr>
          <w:rFonts w:ascii="Times New Roman" w:eastAsia="Cambria" w:hAnsi="Times New Roman" w:cs="Times New Roman"/>
        </w:rPr>
        <w:t>that</w:t>
      </w:r>
      <w:r w:rsidR="008C4F9A">
        <w:rPr>
          <w:rFonts w:ascii="Times New Roman" w:eastAsia="Cambria" w:hAnsi="Times New Roman" w:cs="Times New Roman"/>
        </w:rPr>
        <w:t xml:space="preserve"> the health expenditure-income gradient would become more pronounced at the top of the income distribution</w:t>
      </w:r>
      <w:r w:rsidR="001048C4">
        <w:rPr>
          <w:rFonts w:ascii="Times New Roman" w:eastAsia="Cambria" w:hAnsi="Times New Roman" w:cs="Times New Roman"/>
        </w:rPr>
        <w:t>; for example, households in the top 1% spen</w:t>
      </w:r>
      <w:r w:rsidR="00321731">
        <w:rPr>
          <w:rFonts w:ascii="Times New Roman" w:eastAsia="Cambria" w:hAnsi="Times New Roman" w:cs="Times New Roman"/>
        </w:rPr>
        <w:t>d nearly</w:t>
      </w:r>
      <w:r w:rsidR="001048C4">
        <w:rPr>
          <w:rFonts w:ascii="Times New Roman" w:eastAsia="Cambria" w:hAnsi="Times New Roman" w:cs="Times New Roman"/>
        </w:rPr>
        <w:t xml:space="preserve"> 1.5 times </w:t>
      </w:r>
      <w:r w:rsidR="00B37A27">
        <w:rPr>
          <w:rFonts w:ascii="Times New Roman" w:eastAsia="Cambria" w:hAnsi="Times New Roman" w:cs="Times New Roman"/>
        </w:rPr>
        <w:t>what household</w:t>
      </w:r>
      <w:r w:rsidR="003F7D1D">
        <w:rPr>
          <w:rFonts w:ascii="Times New Roman" w:eastAsia="Cambria" w:hAnsi="Times New Roman" w:cs="Times New Roman"/>
        </w:rPr>
        <w:t>s</w:t>
      </w:r>
      <w:r w:rsidR="00B37A27">
        <w:rPr>
          <w:rFonts w:ascii="Times New Roman" w:eastAsia="Cambria" w:hAnsi="Times New Roman" w:cs="Times New Roman"/>
        </w:rPr>
        <w:t xml:space="preserve"> </w:t>
      </w:r>
      <w:r w:rsidR="001048C4">
        <w:rPr>
          <w:rFonts w:ascii="Times New Roman" w:eastAsia="Cambria" w:hAnsi="Times New Roman" w:cs="Times New Roman"/>
        </w:rPr>
        <w:t>located between the 90</w:t>
      </w:r>
      <w:r w:rsidR="003F7D1D">
        <w:rPr>
          <w:rFonts w:ascii="Times New Roman" w:eastAsia="Cambria" w:hAnsi="Times New Roman" w:cs="Times New Roman"/>
          <w:vertAlign w:val="superscript"/>
        </w:rPr>
        <w:t>th</w:t>
      </w:r>
      <w:r w:rsidR="001048C4">
        <w:rPr>
          <w:rFonts w:ascii="Times New Roman" w:eastAsia="Cambria" w:hAnsi="Times New Roman" w:cs="Times New Roman"/>
        </w:rPr>
        <w:t xml:space="preserve"> and the 99</w:t>
      </w:r>
      <w:r w:rsidR="001048C4" w:rsidRPr="00FA3913">
        <w:rPr>
          <w:rFonts w:ascii="Times New Roman" w:eastAsia="Cambria" w:hAnsi="Times New Roman" w:cs="Times New Roman"/>
          <w:vertAlign w:val="superscript"/>
        </w:rPr>
        <w:t>th</w:t>
      </w:r>
      <w:r w:rsidR="001048C4">
        <w:rPr>
          <w:rFonts w:ascii="Times New Roman" w:eastAsia="Cambria" w:hAnsi="Times New Roman" w:cs="Times New Roman"/>
        </w:rPr>
        <w:t xml:space="preserve"> percentiles</w:t>
      </w:r>
      <w:r w:rsidR="00B37A27">
        <w:rPr>
          <w:rFonts w:ascii="Times New Roman" w:eastAsia="Cambria" w:hAnsi="Times New Roman" w:cs="Times New Roman"/>
        </w:rPr>
        <w:t xml:space="preserve"> spend on health-related goods and services than households</w:t>
      </w:r>
      <w:r w:rsidR="001048C4">
        <w:rPr>
          <w:rFonts w:ascii="Times New Roman" w:eastAsia="Cambria" w:hAnsi="Times New Roman" w:cs="Times New Roman"/>
        </w:rPr>
        <w:t>.</w:t>
      </w:r>
      <w:r w:rsidR="002D6696" w:rsidRPr="00EF508C">
        <w:rPr>
          <w:rStyle w:val="FootnoteReference"/>
          <w:rFonts w:ascii="Times New Roman" w:eastAsia="Cambria" w:hAnsi="Times New Roman" w:cs="Times New Roman"/>
        </w:rPr>
        <w:footnoteReference w:id="16"/>
      </w:r>
      <w:r w:rsidR="001048C4" w:rsidRPr="00EF508C">
        <w:rPr>
          <w:rFonts w:ascii="Times New Roman" w:eastAsia="Cambria" w:hAnsi="Times New Roman" w:cs="Times New Roman"/>
        </w:rPr>
        <w:t xml:space="preserve"> </w:t>
      </w:r>
      <w:r w:rsidR="008C4F9A">
        <w:rPr>
          <w:rFonts w:ascii="Times New Roman" w:eastAsia="Cambria" w:hAnsi="Times New Roman" w:cs="Times New Roman"/>
        </w:rPr>
        <w:t xml:space="preserve">A similar pattern is observed for almost all health expenditure categories, with the exception of </w:t>
      </w:r>
      <w:r w:rsidR="001048C4">
        <w:rPr>
          <w:rFonts w:ascii="Times New Roman" w:eastAsia="Cambria" w:hAnsi="Times New Roman" w:cs="Times New Roman"/>
        </w:rPr>
        <w:t>prescription drugs.</w:t>
      </w:r>
      <w:r w:rsidR="00BE5742">
        <w:rPr>
          <w:rFonts w:ascii="Times New Roman" w:eastAsia="Cambria" w:hAnsi="Times New Roman" w:cs="Times New Roman"/>
        </w:rPr>
        <w:t xml:space="preserve"> </w:t>
      </w:r>
      <w:r w:rsidR="001048C4">
        <w:rPr>
          <w:rFonts w:ascii="Times New Roman" w:eastAsia="Cambria" w:hAnsi="Times New Roman" w:cs="Times New Roman"/>
        </w:rPr>
        <w:t xml:space="preserve"> </w:t>
      </w:r>
      <w:r w:rsidR="00B44273">
        <w:rPr>
          <w:rFonts w:ascii="Times New Roman" w:eastAsia="Cambria" w:hAnsi="Times New Roman" w:cs="Times New Roman"/>
        </w:rPr>
        <w:t xml:space="preserve">Households </w:t>
      </w:r>
      <w:r w:rsidR="003C7C99">
        <w:rPr>
          <w:rFonts w:ascii="Times New Roman" w:eastAsia="Cambria" w:hAnsi="Times New Roman" w:cs="Times New Roman"/>
        </w:rPr>
        <w:t>in</w:t>
      </w:r>
      <w:r w:rsidR="001048C4">
        <w:rPr>
          <w:rFonts w:ascii="Times New Roman" w:eastAsia="Cambria" w:hAnsi="Times New Roman" w:cs="Times New Roman"/>
        </w:rPr>
        <w:t xml:space="preserve"> the bottom </w:t>
      </w:r>
      <w:r w:rsidR="00B44273">
        <w:rPr>
          <w:rFonts w:ascii="Times New Roman" w:eastAsia="Cambria" w:hAnsi="Times New Roman" w:cs="Times New Roman"/>
        </w:rPr>
        <w:t>2</w:t>
      </w:r>
      <w:r w:rsidR="001048C4">
        <w:rPr>
          <w:rFonts w:ascii="Times New Roman" w:eastAsia="Cambria" w:hAnsi="Times New Roman" w:cs="Times New Roman"/>
        </w:rPr>
        <w:t xml:space="preserve">0% of the income distribution </w:t>
      </w:r>
      <w:r w:rsidR="003C7C99">
        <w:rPr>
          <w:rFonts w:ascii="Times New Roman" w:eastAsia="Cambria" w:hAnsi="Times New Roman" w:cs="Times New Roman"/>
        </w:rPr>
        <w:t>spend</w:t>
      </w:r>
      <w:r w:rsidR="009913F7">
        <w:rPr>
          <w:rFonts w:ascii="Times New Roman" w:eastAsia="Cambria" w:hAnsi="Times New Roman" w:cs="Times New Roman"/>
        </w:rPr>
        <w:t xml:space="preserve"> less</w:t>
      </w:r>
      <w:r w:rsidR="001048C4">
        <w:rPr>
          <w:rFonts w:ascii="Times New Roman" w:eastAsia="Cambria" w:hAnsi="Times New Roman" w:cs="Times New Roman"/>
        </w:rPr>
        <w:t xml:space="preserve"> on prescription drugs</w:t>
      </w:r>
      <w:r w:rsidR="002F181D">
        <w:rPr>
          <w:rFonts w:ascii="Times New Roman" w:eastAsia="Cambria" w:hAnsi="Times New Roman" w:cs="Times New Roman"/>
        </w:rPr>
        <w:t>,</w:t>
      </w:r>
      <w:r w:rsidR="001048C4">
        <w:rPr>
          <w:rFonts w:ascii="Times New Roman" w:eastAsia="Cambria" w:hAnsi="Times New Roman" w:cs="Times New Roman"/>
        </w:rPr>
        <w:t xml:space="preserve"> which could be explained both by </w:t>
      </w:r>
      <w:r w:rsidR="002F181D">
        <w:rPr>
          <w:rFonts w:ascii="Times New Roman" w:eastAsia="Cambria" w:hAnsi="Times New Roman" w:cs="Times New Roman"/>
        </w:rPr>
        <w:t>constrained financial resources</w:t>
      </w:r>
      <w:r w:rsidR="003C7C99">
        <w:rPr>
          <w:rFonts w:ascii="Times New Roman" w:eastAsia="Cambria" w:hAnsi="Times New Roman" w:cs="Times New Roman"/>
        </w:rPr>
        <w:t xml:space="preserve"> and possible</w:t>
      </w:r>
      <w:r w:rsidR="001048C4">
        <w:rPr>
          <w:rFonts w:ascii="Times New Roman" w:eastAsia="Cambria" w:hAnsi="Times New Roman" w:cs="Times New Roman"/>
        </w:rPr>
        <w:t xml:space="preserve"> eligib</w:t>
      </w:r>
      <w:r w:rsidR="003C7C99">
        <w:rPr>
          <w:rFonts w:ascii="Times New Roman" w:eastAsia="Cambria" w:hAnsi="Times New Roman" w:cs="Times New Roman"/>
        </w:rPr>
        <w:t>ility</w:t>
      </w:r>
      <w:r w:rsidR="001048C4">
        <w:rPr>
          <w:rFonts w:ascii="Times New Roman" w:eastAsia="Cambria" w:hAnsi="Times New Roman" w:cs="Times New Roman"/>
        </w:rPr>
        <w:t xml:space="preserve"> </w:t>
      </w:r>
      <w:r w:rsidR="00905990">
        <w:rPr>
          <w:rFonts w:ascii="Times New Roman" w:eastAsia="Cambria" w:hAnsi="Times New Roman" w:cs="Times New Roman"/>
        </w:rPr>
        <w:t>for</w:t>
      </w:r>
      <w:r w:rsidR="001048C4">
        <w:rPr>
          <w:rFonts w:ascii="Times New Roman" w:eastAsia="Cambria" w:hAnsi="Times New Roman" w:cs="Times New Roman"/>
        </w:rPr>
        <w:t xml:space="preserve"> public</w:t>
      </w:r>
      <w:r w:rsidR="003C7C99">
        <w:rPr>
          <w:rFonts w:ascii="Times New Roman" w:eastAsia="Cambria" w:hAnsi="Times New Roman" w:cs="Times New Roman"/>
        </w:rPr>
        <w:t xml:space="preserve"> drug</w:t>
      </w:r>
      <w:r w:rsidR="00B44273">
        <w:rPr>
          <w:rFonts w:ascii="Times New Roman" w:eastAsia="Cambria" w:hAnsi="Times New Roman" w:cs="Times New Roman"/>
        </w:rPr>
        <w:t xml:space="preserve"> plans </w:t>
      </w:r>
      <w:r w:rsidR="003C7C99">
        <w:rPr>
          <w:rFonts w:ascii="Times New Roman" w:eastAsia="Cambria" w:hAnsi="Times New Roman" w:cs="Times New Roman"/>
        </w:rPr>
        <w:t>for low</w:t>
      </w:r>
      <w:r w:rsidR="00A13127">
        <w:rPr>
          <w:rFonts w:ascii="Times New Roman" w:eastAsia="Cambria" w:hAnsi="Times New Roman" w:cs="Times New Roman"/>
        </w:rPr>
        <w:t>-</w:t>
      </w:r>
      <w:r w:rsidR="003C7C99">
        <w:rPr>
          <w:rFonts w:ascii="Times New Roman" w:eastAsia="Cambria" w:hAnsi="Times New Roman" w:cs="Times New Roman"/>
        </w:rPr>
        <w:t>income families</w:t>
      </w:r>
      <w:r w:rsidR="00AF2EFA">
        <w:rPr>
          <w:rFonts w:ascii="Times New Roman" w:eastAsia="Cambria" w:hAnsi="Times New Roman" w:cs="Times New Roman"/>
        </w:rPr>
        <w:t>.</w:t>
      </w:r>
      <w:r w:rsidR="002F181D">
        <w:rPr>
          <w:rFonts w:ascii="Times New Roman" w:eastAsia="Cambria" w:hAnsi="Times New Roman" w:cs="Times New Roman"/>
        </w:rPr>
        <w:t xml:space="preserve"> Out</w:t>
      </w:r>
      <w:r w:rsidR="001048C4">
        <w:rPr>
          <w:rFonts w:ascii="Times New Roman" w:eastAsia="Cambria" w:hAnsi="Times New Roman" w:cs="Times New Roman"/>
        </w:rPr>
        <w:t>-of-pocket expenditure</w:t>
      </w:r>
      <w:r w:rsidR="002D47E1">
        <w:rPr>
          <w:rFonts w:ascii="Times New Roman" w:eastAsia="Cambria" w:hAnsi="Times New Roman" w:cs="Times New Roman"/>
        </w:rPr>
        <w:t xml:space="preserve"> on prescription drugs</w:t>
      </w:r>
      <w:r w:rsidR="006F07CE">
        <w:rPr>
          <w:rFonts w:ascii="Times New Roman" w:eastAsia="Cambria" w:hAnsi="Times New Roman" w:cs="Times New Roman"/>
        </w:rPr>
        <w:t xml:space="preserve"> is</w:t>
      </w:r>
      <w:r w:rsidR="001048C4">
        <w:rPr>
          <w:rFonts w:ascii="Times New Roman" w:eastAsia="Cambria" w:hAnsi="Times New Roman" w:cs="Times New Roman"/>
        </w:rPr>
        <w:t xml:space="preserve"> higher for the rest of households in the bottom half of the income distribution, </w:t>
      </w:r>
      <w:r w:rsidR="002F181D">
        <w:rPr>
          <w:rFonts w:ascii="Times New Roman" w:eastAsia="Cambria" w:hAnsi="Times New Roman" w:cs="Times New Roman"/>
        </w:rPr>
        <w:t>but</w:t>
      </w:r>
      <w:r w:rsidR="003C7C99">
        <w:rPr>
          <w:rFonts w:ascii="Times New Roman" w:eastAsia="Cambria" w:hAnsi="Times New Roman" w:cs="Times New Roman"/>
        </w:rPr>
        <w:t xml:space="preserve"> mostly</w:t>
      </w:r>
      <w:r w:rsidR="001048C4">
        <w:rPr>
          <w:rFonts w:ascii="Times New Roman" w:eastAsia="Cambria" w:hAnsi="Times New Roman" w:cs="Times New Roman"/>
        </w:rPr>
        <w:t xml:space="preserve"> decrease</w:t>
      </w:r>
      <w:r w:rsidR="00B44273">
        <w:rPr>
          <w:rFonts w:ascii="Times New Roman" w:eastAsia="Cambria" w:hAnsi="Times New Roman" w:cs="Times New Roman"/>
        </w:rPr>
        <w:t>s</w:t>
      </w:r>
      <w:r w:rsidR="001048C4">
        <w:rPr>
          <w:rFonts w:ascii="Times New Roman" w:eastAsia="Cambria" w:hAnsi="Times New Roman" w:cs="Times New Roman"/>
        </w:rPr>
        <w:t xml:space="preserve"> </w:t>
      </w:r>
      <w:r w:rsidR="002D47E1">
        <w:rPr>
          <w:rFonts w:ascii="Times New Roman" w:eastAsia="Cambria" w:hAnsi="Times New Roman" w:cs="Times New Roman"/>
        </w:rPr>
        <w:t xml:space="preserve">for households in </w:t>
      </w:r>
      <w:r w:rsidR="001048C4">
        <w:rPr>
          <w:rFonts w:ascii="Times New Roman" w:eastAsia="Cambria" w:hAnsi="Times New Roman" w:cs="Times New Roman"/>
        </w:rPr>
        <w:t>the upper half income distribution</w:t>
      </w:r>
      <w:r w:rsidR="003C7C99">
        <w:rPr>
          <w:rFonts w:ascii="Times New Roman" w:eastAsia="Cambria" w:hAnsi="Times New Roman" w:cs="Times New Roman"/>
        </w:rPr>
        <w:t>.</w:t>
      </w:r>
    </w:p>
    <w:p w14:paraId="703CC403" w14:textId="77777777" w:rsidR="005117D8" w:rsidRDefault="005117D8" w:rsidP="00D50FA4">
      <w:pPr>
        <w:jc w:val="both"/>
        <w:rPr>
          <w:rFonts w:ascii="Times New Roman" w:eastAsia="Cambria" w:hAnsi="Times New Roman" w:cs="Times New Roman"/>
        </w:rPr>
      </w:pPr>
    </w:p>
    <w:p w14:paraId="66388B7E" w14:textId="77777777" w:rsidR="00355B49" w:rsidRDefault="001207ED" w:rsidP="00CC5CC1">
      <w:pPr>
        <w:jc w:val="both"/>
        <w:outlineLvl w:val="0"/>
        <w:rPr>
          <w:rFonts w:ascii="Times New Roman" w:eastAsia="Cambria" w:hAnsi="Times New Roman" w:cs="Times New Roman"/>
          <w:b/>
        </w:rPr>
      </w:pPr>
      <w:r>
        <w:rPr>
          <w:rFonts w:ascii="Times New Roman" w:eastAsia="Cambria" w:hAnsi="Times New Roman" w:cs="Times New Roman"/>
          <w:b/>
        </w:rPr>
        <w:t>4</w:t>
      </w:r>
      <w:r w:rsidR="00D50FA4">
        <w:rPr>
          <w:rFonts w:ascii="Times New Roman" w:eastAsia="Cambria" w:hAnsi="Times New Roman" w:cs="Times New Roman"/>
          <w:b/>
        </w:rPr>
        <w:t>.2 Results</w:t>
      </w:r>
    </w:p>
    <w:p w14:paraId="224C49E6" w14:textId="77777777" w:rsidR="00EE29EF" w:rsidRDefault="00EE29EF" w:rsidP="00D50FA4">
      <w:pPr>
        <w:jc w:val="both"/>
        <w:rPr>
          <w:rFonts w:ascii="Times New Roman" w:eastAsia="Cambria" w:hAnsi="Times New Roman" w:cs="Times New Roman"/>
        </w:rPr>
      </w:pPr>
    </w:p>
    <w:p w14:paraId="63BBD053" w14:textId="77777777" w:rsidR="00CA08AA" w:rsidRDefault="00CA08AA" w:rsidP="00D50FA4">
      <w:pPr>
        <w:jc w:val="both"/>
        <w:rPr>
          <w:rFonts w:ascii="Times New Roman" w:eastAsia="Cambria" w:hAnsi="Times New Roman" w:cs="Times New Roman"/>
        </w:rPr>
      </w:pPr>
      <w:r>
        <w:rPr>
          <w:rFonts w:ascii="Times New Roman" w:eastAsia="Cambria" w:hAnsi="Times New Roman" w:cs="Times New Roman"/>
        </w:rPr>
        <w:t xml:space="preserve">Our main empirical specification is given by </w:t>
      </w:r>
      <w:r w:rsidRPr="00D03F81">
        <w:rPr>
          <w:rFonts w:ascii="Times New Roman" w:eastAsia="Cambria" w:hAnsi="Times New Roman" w:cs="Times New Roman"/>
        </w:rPr>
        <w:t xml:space="preserve">equation </w:t>
      </w:r>
      <w:r w:rsidR="00784DF8">
        <w:rPr>
          <w:rFonts w:ascii="Times New Roman" w:eastAsia="Cambria" w:hAnsi="Times New Roman" w:cs="Times New Roman"/>
        </w:rPr>
        <w:t>(</w:t>
      </w:r>
      <w:r w:rsidRPr="005117D8">
        <w:rPr>
          <w:rFonts w:ascii="Times New Roman" w:eastAsia="Cambria" w:hAnsi="Times New Roman" w:cs="Times New Roman"/>
        </w:rPr>
        <w:t>2</w:t>
      </w:r>
      <w:r w:rsidR="00784DF8">
        <w:rPr>
          <w:rFonts w:ascii="Times New Roman" w:eastAsia="Cambria" w:hAnsi="Times New Roman" w:cs="Times New Roman"/>
        </w:rPr>
        <w:t>)</w:t>
      </w:r>
      <w:r w:rsidRPr="00D03F81">
        <w:rPr>
          <w:rFonts w:ascii="Times New Roman" w:eastAsia="Cambria" w:hAnsi="Times New Roman" w:cs="Times New Roman"/>
        </w:rPr>
        <w:t>, in</w:t>
      </w:r>
      <w:r>
        <w:rPr>
          <w:rFonts w:ascii="Times New Roman" w:eastAsia="Cambria" w:hAnsi="Times New Roman" w:cs="Times New Roman"/>
        </w:rPr>
        <w:t xml:space="preserve"> which </w:t>
      </w:r>
      <w:r>
        <w:rPr>
          <w:rFonts w:ascii="Times New Roman" w:eastAsia="Cambria" w:hAnsi="Times New Roman" w:cs="Times New Roman"/>
          <w:i/>
        </w:rPr>
        <w:t xml:space="preserve">Health </w:t>
      </w:r>
      <w:proofErr w:type="spellStart"/>
      <w:r>
        <w:rPr>
          <w:rFonts w:ascii="Times New Roman" w:eastAsia="Cambria" w:hAnsi="Times New Roman" w:cs="Times New Roman"/>
          <w:i/>
        </w:rPr>
        <w:t>expenditure</w:t>
      </w:r>
      <w:r w:rsidRPr="00CA08AA">
        <w:rPr>
          <w:rFonts w:ascii="Times New Roman" w:eastAsia="Cambria" w:hAnsi="Times New Roman" w:cs="Times New Roman"/>
          <w:i/>
          <w:vertAlign w:val="subscript"/>
        </w:rPr>
        <w:t>ipt</w:t>
      </w:r>
      <w:proofErr w:type="spellEnd"/>
      <w:r>
        <w:rPr>
          <w:rFonts w:ascii="Times New Roman" w:eastAsia="Cambria" w:hAnsi="Times New Roman" w:cs="Times New Roman"/>
          <w:i/>
        </w:rPr>
        <w:t xml:space="preserve"> </w:t>
      </w:r>
      <w:r>
        <w:rPr>
          <w:rFonts w:ascii="Times New Roman" w:eastAsia="Cambria" w:hAnsi="Times New Roman" w:cs="Times New Roman"/>
        </w:rPr>
        <w:t xml:space="preserve">corresponds to the expenditure of household </w:t>
      </w:r>
      <w:proofErr w:type="spellStart"/>
      <w:r>
        <w:rPr>
          <w:rFonts w:ascii="Times New Roman" w:eastAsia="Cambria" w:hAnsi="Times New Roman" w:cs="Times New Roman"/>
          <w:i/>
        </w:rPr>
        <w:t>i</w:t>
      </w:r>
      <w:proofErr w:type="spellEnd"/>
      <w:r>
        <w:rPr>
          <w:rFonts w:ascii="Times New Roman" w:eastAsia="Cambria" w:hAnsi="Times New Roman" w:cs="Times New Roman"/>
          <w:i/>
        </w:rPr>
        <w:t xml:space="preserve"> </w:t>
      </w:r>
      <w:r>
        <w:rPr>
          <w:rFonts w:ascii="Times New Roman" w:eastAsia="Cambria" w:hAnsi="Times New Roman" w:cs="Times New Roman"/>
        </w:rPr>
        <w:t xml:space="preserve">residing in province </w:t>
      </w:r>
      <w:r>
        <w:rPr>
          <w:rFonts w:ascii="Times New Roman" w:eastAsia="Cambria" w:hAnsi="Times New Roman" w:cs="Times New Roman"/>
          <w:i/>
        </w:rPr>
        <w:t xml:space="preserve">p </w:t>
      </w:r>
      <w:r w:rsidR="00010A17">
        <w:rPr>
          <w:rFonts w:ascii="Times New Roman" w:eastAsia="Cambria" w:hAnsi="Times New Roman" w:cs="Times New Roman"/>
        </w:rPr>
        <w:t>observed in</w:t>
      </w:r>
      <w:r>
        <w:rPr>
          <w:rFonts w:ascii="Times New Roman" w:eastAsia="Cambria" w:hAnsi="Times New Roman" w:cs="Times New Roman"/>
        </w:rPr>
        <w:t xml:space="preserve"> year </w:t>
      </w:r>
      <w:r>
        <w:rPr>
          <w:rFonts w:ascii="Times New Roman" w:eastAsia="Cambria" w:hAnsi="Times New Roman" w:cs="Times New Roman"/>
          <w:i/>
        </w:rPr>
        <w:t>t</w:t>
      </w:r>
      <w:r>
        <w:rPr>
          <w:rFonts w:ascii="Times New Roman" w:eastAsia="Cambria" w:hAnsi="Times New Roman" w:cs="Times New Roman"/>
        </w:rPr>
        <w:t xml:space="preserve">. </w:t>
      </w:r>
      <w:r>
        <w:rPr>
          <w:rFonts w:ascii="Times New Roman" w:eastAsia="Cambria" w:hAnsi="Times New Roman" w:cs="Times New Roman"/>
          <w:i/>
        </w:rPr>
        <w:t xml:space="preserve">Income </w:t>
      </w:r>
      <w:proofErr w:type="spellStart"/>
      <w:r>
        <w:rPr>
          <w:rFonts w:ascii="Times New Roman" w:eastAsia="Cambria" w:hAnsi="Times New Roman" w:cs="Times New Roman"/>
          <w:i/>
        </w:rPr>
        <w:t>Fractile</w:t>
      </w:r>
      <w:r>
        <w:rPr>
          <w:rFonts w:ascii="Times New Roman" w:eastAsia="Cambria" w:hAnsi="Times New Roman" w:cs="Times New Roman"/>
          <w:i/>
          <w:vertAlign w:val="subscript"/>
        </w:rPr>
        <w:t>ipt</w:t>
      </w:r>
      <w:proofErr w:type="spellEnd"/>
      <w:r>
        <w:rPr>
          <w:rFonts w:ascii="Times New Roman" w:eastAsia="Cambria" w:hAnsi="Times New Roman" w:cs="Times New Roman"/>
          <w:i/>
        </w:rPr>
        <w:t xml:space="preserve"> </w:t>
      </w:r>
      <w:r>
        <w:rPr>
          <w:rFonts w:ascii="Times New Roman" w:eastAsia="Cambria" w:hAnsi="Times New Roman" w:cs="Times New Roman"/>
        </w:rPr>
        <w:t>consists of a series of 3 dummies indicating the household's position in the income distribution, either between the 21</w:t>
      </w:r>
      <w:r w:rsidRPr="00FA66F0">
        <w:rPr>
          <w:rFonts w:ascii="Times New Roman" w:eastAsia="Cambria" w:hAnsi="Times New Roman" w:cs="Times New Roman"/>
          <w:vertAlign w:val="superscript"/>
        </w:rPr>
        <w:t>st</w:t>
      </w:r>
      <w:r>
        <w:rPr>
          <w:rFonts w:ascii="Times New Roman" w:eastAsia="Cambria" w:hAnsi="Times New Roman" w:cs="Times New Roman"/>
        </w:rPr>
        <w:t xml:space="preserve"> to the 50</w:t>
      </w:r>
      <w:r w:rsidRPr="00FA66F0">
        <w:rPr>
          <w:rFonts w:ascii="Times New Roman" w:eastAsia="Cambria" w:hAnsi="Times New Roman" w:cs="Times New Roman"/>
          <w:vertAlign w:val="superscript"/>
        </w:rPr>
        <w:t>th</w:t>
      </w:r>
      <w:r>
        <w:rPr>
          <w:rFonts w:ascii="Times New Roman" w:eastAsia="Cambria" w:hAnsi="Times New Roman" w:cs="Times New Roman"/>
        </w:rPr>
        <w:t xml:space="preserve"> percentiles, between the 51</w:t>
      </w:r>
      <w:r w:rsidRPr="00FA66F0">
        <w:rPr>
          <w:rFonts w:ascii="Times New Roman" w:eastAsia="Cambria" w:hAnsi="Times New Roman" w:cs="Times New Roman"/>
          <w:vertAlign w:val="superscript"/>
        </w:rPr>
        <w:t>st</w:t>
      </w:r>
      <w:r>
        <w:rPr>
          <w:rFonts w:ascii="Times New Roman" w:eastAsia="Cambria" w:hAnsi="Times New Roman" w:cs="Times New Roman"/>
        </w:rPr>
        <w:t xml:space="preserve"> and the 90</w:t>
      </w:r>
      <w:r w:rsidRPr="00FA66F0">
        <w:rPr>
          <w:rFonts w:ascii="Times New Roman" w:eastAsia="Cambria" w:hAnsi="Times New Roman" w:cs="Times New Roman"/>
          <w:vertAlign w:val="superscript"/>
        </w:rPr>
        <w:t>th</w:t>
      </w:r>
      <w:r>
        <w:rPr>
          <w:rFonts w:ascii="Times New Roman" w:eastAsia="Cambria" w:hAnsi="Times New Roman" w:cs="Times New Roman"/>
        </w:rPr>
        <w:t xml:space="preserve"> </w:t>
      </w:r>
      <w:r>
        <w:rPr>
          <w:rFonts w:ascii="Times New Roman" w:eastAsia="Cambria" w:hAnsi="Times New Roman" w:cs="Times New Roman"/>
        </w:rPr>
        <w:lastRenderedPageBreak/>
        <w:t xml:space="preserve">percentiles, or in the top 10% </w:t>
      </w:r>
      <w:r w:rsidR="00010A17">
        <w:rPr>
          <w:rFonts w:ascii="Times New Roman" w:eastAsia="Cambria" w:hAnsi="Times New Roman" w:cs="Times New Roman"/>
        </w:rPr>
        <w:t>(</w:t>
      </w:r>
      <w:r>
        <w:rPr>
          <w:rFonts w:ascii="Times New Roman" w:eastAsia="Cambria" w:hAnsi="Times New Roman" w:cs="Times New Roman"/>
        </w:rPr>
        <w:t>the omitted category being the bottom 20% of the distribution</w:t>
      </w:r>
      <w:r w:rsidR="00010A17">
        <w:rPr>
          <w:rFonts w:ascii="Times New Roman" w:eastAsia="Cambria" w:hAnsi="Times New Roman" w:cs="Times New Roman"/>
        </w:rPr>
        <w:t>)</w:t>
      </w:r>
      <w:r w:rsidR="00EB65C4">
        <w:rPr>
          <w:rFonts w:ascii="Times New Roman" w:eastAsia="Cambria" w:hAnsi="Times New Roman" w:cs="Times New Roman"/>
        </w:rPr>
        <w:t>.</w:t>
      </w:r>
      <w:r>
        <w:rPr>
          <w:rFonts w:ascii="Times New Roman" w:eastAsia="Cambria" w:hAnsi="Times New Roman" w:cs="Times New Roman"/>
        </w:rPr>
        <w:t xml:space="preserve"> </w:t>
      </w:r>
      <w:r w:rsidR="00EB65C4">
        <w:rPr>
          <w:rFonts w:ascii="Times New Roman" w:eastAsia="Cambria" w:hAnsi="Times New Roman" w:cs="Times New Roman"/>
        </w:rPr>
        <w:t xml:space="preserve">Other control variables included in </w:t>
      </w:r>
      <w:proofErr w:type="spellStart"/>
      <w:r w:rsidR="00EB65C4">
        <w:rPr>
          <w:rFonts w:ascii="Times New Roman" w:eastAsia="Cambria" w:hAnsi="Times New Roman" w:cs="Times New Roman"/>
          <w:i/>
        </w:rPr>
        <w:t>X</w:t>
      </w:r>
      <w:r w:rsidR="00EB65C4" w:rsidRPr="00EB65C4">
        <w:rPr>
          <w:rFonts w:ascii="Times New Roman" w:eastAsia="Cambria" w:hAnsi="Times New Roman" w:cs="Times New Roman"/>
          <w:i/>
          <w:vertAlign w:val="subscript"/>
        </w:rPr>
        <w:t>ipt</w:t>
      </w:r>
      <w:proofErr w:type="spellEnd"/>
      <w:r w:rsidR="00EB65C4">
        <w:rPr>
          <w:rFonts w:ascii="Times New Roman" w:eastAsia="Cambria" w:hAnsi="Times New Roman" w:cs="Times New Roman"/>
          <w:i/>
        </w:rPr>
        <w:t xml:space="preserve"> </w:t>
      </w:r>
      <w:r w:rsidR="00010A17">
        <w:rPr>
          <w:rFonts w:ascii="Times New Roman" w:eastAsia="Cambria" w:hAnsi="Times New Roman" w:cs="Times New Roman"/>
        </w:rPr>
        <w:t>are</w:t>
      </w:r>
      <w:r w:rsidR="00EB65C4">
        <w:rPr>
          <w:rFonts w:ascii="Times New Roman" w:eastAsia="Cambria" w:hAnsi="Times New Roman" w:cs="Times New Roman"/>
        </w:rPr>
        <w:t xml:space="preserve"> total household income</w:t>
      </w:r>
      <w:r w:rsidR="00EB65C4">
        <w:rPr>
          <w:rStyle w:val="FootnoteReference"/>
          <w:rFonts w:ascii="Times New Roman" w:eastAsia="Cambria" w:hAnsi="Times New Roman" w:cs="Times New Roman"/>
        </w:rPr>
        <w:footnoteReference w:id="17"/>
      </w:r>
      <w:r w:rsidR="00EB65C4">
        <w:rPr>
          <w:rFonts w:ascii="Times New Roman" w:eastAsia="Cambria" w:hAnsi="Times New Roman" w:cs="Times New Roman"/>
        </w:rPr>
        <w:t xml:space="preserve">, the number of adults aged 65 and above within the household, the presence of children in the household, the total number of individuals within the household and the marital status of the main respondent to the SHS. We also include a vector of province fixed effects, </w:t>
      </w:r>
      <w:r w:rsidR="00EB65C4" w:rsidRPr="00EB65C4">
        <w:rPr>
          <w:rFonts w:ascii="Times New Roman" w:eastAsia="Cambria" w:hAnsi="Times New Roman" w:cs="Times New Roman"/>
          <w:i/>
          <w:color w:val="000000"/>
        </w:rPr>
        <w:sym w:font="Symbol" w:char="F066"/>
      </w:r>
      <w:r w:rsidR="00EB65C4" w:rsidRPr="00EB65C4">
        <w:rPr>
          <w:rFonts w:ascii="Times New Roman" w:eastAsia="Cambria" w:hAnsi="Times New Roman" w:cs="Times New Roman"/>
          <w:i/>
          <w:color w:val="000000"/>
          <w:vertAlign w:val="subscript"/>
        </w:rPr>
        <w:t>p</w:t>
      </w:r>
      <w:r w:rsidR="00A13127">
        <w:rPr>
          <w:rFonts w:ascii="Times New Roman" w:eastAsia="Cambria" w:hAnsi="Times New Roman" w:cs="Times New Roman"/>
          <w:i/>
          <w:color w:val="000000"/>
          <w:vertAlign w:val="subscript"/>
        </w:rPr>
        <w:t>,</w:t>
      </w:r>
      <w:r w:rsidR="00EB65C4">
        <w:rPr>
          <w:rFonts w:ascii="Times New Roman" w:eastAsia="Cambria" w:hAnsi="Times New Roman" w:cs="Times New Roman"/>
          <w:i/>
          <w:color w:val="000000"/>
          <w:vertAlign w:val="subscript"/>
        </w:rPr>
        <w:t xml:space="preserve"> </w:t>
      </w:r>
      <w:r w:rsidR="00EB65C4">
        <w:rPr>
          <w:rFonts w:ascii="Times New Roman" w:eastAsia="Cambria" w:hAnsi="Times New Roman" w:cs="Times New Roman"/>
          <w:color w:val="000000"/>
        </w:rPr>
        <w:t xml:space="preserve">to account for the fact that, </w:t>
      </w:r>
      <w:r w:rsidR="00010A17">
        <w:rPr>
          <w:rFonts w:ascii="Times New Roman" w:eastAsia="Cambria" w:hAnsi="Times New Roman" w:cs="Times New Roman"/>
          <w:color w:val="000000"/>
        </w:rPr>
        <w:t>beyond</w:t>
      </w:r>
      <w:r w:rsidR="00EB65C4">
        <w:rPr>
          <w:rFonts w:ascii="Times New Roman" w:eastAsia="Cambria" w:hAnsi="Times New Roman" w:cs="Times New Roman"/>
          <w:color w:val="000000"/>
        </w:rPr>
        <w:t xml:space="preserve"> the main principles set in the </w:t>
      </w:r>
      <w:r w:rsidR="0094578F">
        <w:rPr>
          <w:rFonts w:ascii="Times New Roman" w:eastAsia="Cambria" w:hAnsi="Times New Roman" w:cs="Times New Roman"/>
          <w:color w:val="000000"/>
        </w:rPr>
        <w:t xml:space="preserve">Canada </w:t>
      </w:r>
      <w:r w:rsidR="00EB65C4">
        <w:rPr>
          <w:rFonts w:ascii="Times New Roman" w:eastAsia="Cambria" w:hAnsi="Times New Roman" w:cs="Times New Roman"/>
          <w:color w:val="000000"/>
        </w:rPr>
        <w:t>Health Act, p</w:t>
      </w:r>
      <w:r w:rsidR="002E3E03">
        <w:rPr>
          <w:rFonts w:ascii="Times New Roman" w:eastAsia="Cambria" w:hAnsi="Times New Roman" w:cs="Times New Roman"/>
          <w:color w:val="000000"/>
        </w:rPr>
        <w:t xml:space="preserve">rovinces </w:t>
      </w:r>
      <w:r w:rsidR="00B44273">
        <w:rPr>
          <w:rFonts w:ascii="Times New Roman" w:eastAsia="Cambria" w:hAnsi="Times New Roman" w:cs="Times New Roman"/>
          <w:color w:val="000000"/>
        </w:rPr>
        <w:t>can decide on</w:t>
      </w:r>
      <w:r w:rsidR="002E3E03">
        <w:rPr>
          <w:rFonts w:ascii="Times New Roman" w:eastAsia="Cambria" w:hAnsi="Times New Roman" w:cs="Times New Roman"/>
          <w:color w:val="000000"/>
        </w:rPr>
        <w:t xml:space="preserve"> </w:t>
      </w:r>
      <w:r w:rsidR="00EB65C4">
        <w:rPr>
          <w:rFonts w:ascii="Times New Roman" w:eastAsia="Cambria" w:hAnsi="Times New Roman" w:cs="Times New Roman"/>
          <w:color w:val="000000"/>
        </w:rPr>
        <w:t xml:space="preserve">the nature and scope of additional </w:t>
      </w:r>
      <w:r w:rsidR="001A0F3C">
        <w:rPr>
          <w:rFonts w:ascii="Times New Roman" w:eastAsia="Cambria" w:hAnsi="Times New Roman" w:cs="Times New Roman"/>
          <w:color w:val="000000"/>
        </w:rPr>
        <w:t xml:space="preserve">publicly provided </w:t>
      </w:r>
      <w:r w:rsidR="002E3E03">
        <w:rPr>
          <w:rFonts w:ascii="Times New Roman" w:eastAsia="Cambria" w:hAnsi="Times New Roman" w:cs="Times New Roman"/>
          <w:color w:val="000000"/>
        </w:rPr>
        <w:t>hea</w:t>
      </w:r>
      <w:r w:rsidR="00B44273">
        <w:rPr>
          <w:rFonts w:ascii="Times New Roman" w:eastAsia="Cambria" w:hAnsi="Times New Roman" w:cs="Times New Roman"/>
          <w:color w:val="000000"/>
        </w:rPr>
        <w:t>l</w:t>
      </w:r>
      <w:r w:rsidR="002E3E03">
        <w:rPr>
          <w:rFonts w:ascii="Times New Roman" w:eastAsia="Cambria" w:hAnsi="Times New Roman" w:cs="Times New Roman"/>
          <w:color w:val="000000"/>
        </w:rPr>
        <w:t xml:space="preserve">th </w:t>
      </w:r>
      <w:r w:rsidR="00EB65C4">
        <w:rPr>
          <w:rFonts w:ascii="Times New Roman" w:eastAsia="Cambria" w:hAnsi="Times New Roman" w:cs="Times New Roman"/>
          <w:color w:val="000000"/>
        </w:rPr>
        <w:t>coverag</w:t>
      </w:r>
      <w:r w:rsidR="002E3E03">
        <w:rPr>
          <w:rFonts w:ascii="Times New Roman" w:eastAsia="Cambria" w:hAnsi="Times New Roman" w:cs="Times New Roman"/>
          <w:color w:val="000000"/>
        </w:rPr>
        <w:t>e</w:t>
      </w:r>
      <w:r w:rsidR="001A0F3C">
        <w:rPr>
          <w:rFonts w:ascii="Times New Roman" w:eastAsia="Cambria" w:hAnsi="Times New Roman" w:cs="Times New Roman"/>
          <w:color w:val="000000"/>
        </w:rPr>
        <w:t>, and have jurisdiction on the organization of the health care system</w:t>
      </w:r>
      <w:r w:rsidR="001A0F3C">
        <w:rPr>
          <w:rFonts w:ascii="Times New Roman" w:eastAsia="Cambria" w:hAnsi="Times New Roman" w:cs="Times New Roman"/>
        </w:rPr>
        <w:t>.</w:t>
      </w:r>
      <w:r w:rsidR="002E3E03">
        <w:rPr>
          <w:rFonts w:ascii="Times New Roman" w:eastAsia="Cambria" w:hAnsi="Times New Roman" w:cs="Times New Roman"/>
          <w:color w:val="000000"/>
        </w:rPr>
        <w:t xml:space="preserve"> </w:t>
      </w:r>
      <w:r w:rsidR="006F07CE">
        <w:rPr>
          <w:rFonts w:ascii="Times New Roman" w:eastAsia="Cambria" w:hAnsi="Times New Roman" w:cs="Times New Roman"/>
          <w:color w:val="000000"/>
        </w:rPr>
        <w:t>Consequently</w:t>
      </w:r>
      <w:r w:rsidR="002E3E03">
        <w:rPr>
          <w:rFonts w:ascii="Times New Roman" w:eastAsia="Cambria" w:hAnsi="Times New Roman" w:cs="Times New Roman"/>
          <w:color w:val="000000"/>
        </w:rPr>
        <w:t xml:space="preserve">, </w:t>
      </w:r>
      <w:r w:rsidR="00EB65C4">
        <w:rPr>
          <w:rFonts w:ascii="Times New Roman" w:eastAsia="Cambria" w:hAnsi="Times New Roman" w:cs="Times New Roman"/>
          <w:color w:val="000000"/>
        </w:rPr>
        <w:t>prescription drugs for some population groups or services offered by certain health professionals</w:t>
      </w:r>
      <w:r w:rsidR="002E3E03">
        <w:rPr>
          <w:rFonts w:ascii="Times New Roman" w:eastAsia="Cambria" w:hAnsi="Times New Roman" w:cs="Times New Roman"/>
          <w:color w:val="000000"/>
        </w:rPr>
        <w:t xml:space="preserve">, </w:t>
      </w:r>
      <w:r w:rsidR="00F41135">
        <w:rPr>
          <w:rFonts w:ascii="Times New Roman" w:eastAsia="Cambria" w:hAnsi="Times New Roman" w:cs="Times New Roman"/>
          <w:color w:val="000000"/>
        </w:rPr>
        <w:t>for example</w:t>
      </w:r>
      <w:r w:rsidR="00B44273">
        <w:rPr>
          <w:rFonts w:ascii="Times New Roman" w:eastAsia="Cambria" w:hAnsi="Times New Roman" w:cs="Times New Roman"/>
          <w:color w:val="000000"/>
        </w:rPr>
        <w:t>,</w:t>
      </w:r>
      <w:r w:rsidR="00EB65C4">
        <w:rPr>
          <w:rFonts w:ascii="Times New Roman" w:eastAsia="Cambria" w:hAnsi="Times New Roman" w:cs="Times New Roman"/>
          <w:color w:val="000000"/>
        </w:rPr>
        <w:t xml:space="preserve"> vary across jurisdictions within the country. In this context, the inclusion of province fixed-effects allows us to perform a within-province analysis. </w:t>
      </w:r>
      <w:r w:rsidR="00EB65C4" w:rsidRPr="00EB65C4">
        <w:rPr>
          <w:rFonts w:ascii="Times New Roman" w:eastAsia="Cambria" w:hAnsi="Times New Roman" w:cs="Times New Roman"/>
          <w:color w:val="000000"/>
        </w:rPr>
        <w:t xml:space="preserve">Finally, </w:t>
      </w:r>
      <w:r w:rsidR="00EB65C4" w:rsidRPr="00EB65C4">
        <w:rPr>
          <w:rFonts w:ascii="Times New Roman" w:eastAsia="Cambria" w:hAnsi="Times New Roman" w:cs="Times New Roman"/>
          <w:i/>
          <w:color w:val="000000"/>
        </w:rPr>
        <w:t>µ</w:t>
      </w:r>
      <w:r w:rsidR="00EB65C4" w:rsidRPr="00EB65C4">
        <w:rPr>
          <w:rFonts w:ascii="Times New Roman" w:eastAsia="Cambria" w:hAnsi="Times New Roman" w:cs="Times New Roman"/>
          <w:i/>
          <w:color w:val="000000"/>
          <w:vertAlign w:val="subscript"/>
        </w:rPr>
        <w:t>t</w:t>
      </w:r>
      <w:r w:rsidR="00EB65C4" w:rsidRPr="00EB65C4">
        <w:rPr>
          <w:rFonts w:ascii="Times New Roman" w:eastAsia="Cambria" w:hAnsi="Times New Roman" w:cs="Times New Roman"/>
          <w:color w:val="000000"/>
        </w:rPr>
        <w:t xml:space="preserve"> </w:t>
      </w:r>
      <w:r w:rsidR="00EB65C4">
        <w:rPr>
          <w:rFonts w:ascii="Times New Roman" w:eastAsia="Cambria" w:hAnsi="Times New Roman" w:cs="Times New Roman"/>
          <w:color w:val="000000"/>
        </w:rPr>
        <w:t xml:space="preserve">represents a vector of year fixed effects, capturing shocks common to households in all provinces, which might affect patterns in health care expenditure. </w:t>
      </w:r>
    </w:p>
    <w:p w14:paraId="3733DCD7" w14:textId="77777777" w:rsidR="00EE29EF" w:rsidRPr="00CA08AA" w:rsidRDefault="00EE29EF" w:rsidP="00D50FA4">
      <w:pPr>
        <w:jc w:val="both"/>
        <w:rPr>
          <w:rFonts w:ascii="Times New Roman" w:eastAsia="Cambria" w:hAnsi="Times New Roman" w:cs="Times New Roman"/>
        </w:rPr>
      </w:pPr>
    </w:p>
    <w:p w14:paraId="5BABF208" w14:textId="77777777" w:rsidR="00EE29EF" w:rsidRDefault="00EE29EF" w:rsidP="000F4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Times New Roman"/>
        </w:rPr>
      </w:pPr>
      <w:r w:rsidRPr="001048C4">
        <w:rPr>
          <w:rFonts w:ascii="Times New Roman" w:eastAsia="Cambria" w:hAnsi="Times New Roman" w:cs="Menlo Regular"/>
          <w:i/>
          <w:color w:val="000000"/>
          <w:sz w:val="23"/>
          <w:szCs w:val="22"/>
        </w:rPr>
        <w:t xml:space="preserve">Health </w:t>
      </w:r>
      <w:proofErr w:type="spellStart"/>
      <w:r w:rsidRPr="001048C4">
        <w:rPr>
          <w:rFonts w:ascii="Times New Roman" w:eastAsia="Cambria" w:hAnsi="Times New Roman" w:cs="Menlo Regular"/>
          <w:i/>
          <w:color w:val="000000"/>
          <w:sz w:val="23"/>
          <w:szCs w:val="22"/>
        </w:rPr>
        <w:t>Expenditure</w:t>
      </w:r>
      <w:r w:rsidR="001048C4" w:rsidRPr="001048C4">
        <w:rPr>
          <w:rFonts w:ascii="Times New Roman" w:eastAsia="Cambria" w:hAnsi="Times New Roman" w:cs="Menlo Regular"/>
          <w:i/>
          <w:color w:val="000000"/>
          <w:sz w:val="23"/>
          <w:szCs w:val="22"/>
          <w:vertAlign w:val="subscript"/>
        </w:rPr>
        <w:t>ip</w:t>
      </w:r>
      <w:r w:rsidRPr="001048C4">
        <w:rPr>
          <w:rFonts w:ascii="Times New Roman" w:eastAsia="Cambria" w:hAnsi="Times New Roman" w:cs="Menlo Regular"/>
          <w:i/>
          <w:color w:val="000000"/>
          <w:sz w:val="23"/>
          <w:szCs w:val="22"/>
          <w:vertAlign w:val="subscript"/>
        </w:rPr>
        <w:t>t</w:t>
      </w:r>
      <w:proofErr w:type="spellEnd"/>
      <w:r w:rsidRPr="001048C4">
        <w:rPr>
          <w:rFonts w:ascii="Times New Roman" w:eastAsia="Cambria" w:hAnsi="Times New Roman" w:cs="Menlo Regular"/>
          <w:i/>
          <w:color w:val="000000"/>
          <w:sz w:val="23"/>
          <w:szCs w:val="22"/>
        </w:rPr>
        <w:t xml:space="preserve"> = </w:t>
      </w:r>
      <w:r w:rsidRPr="001048C4">
        <w:rPr>
          <w:rFonts w:ascii="Times New Roman" w:eastAsia="Cambria" w:hAnsi="Times New Roman" w:cs="Times New Roman"/>
          <w:i/>
          <w:color w:val="000000"/>
          <w:sz w:val="23"/>
        </w:rPr>
        <w:sym w:font="Symbol" w:char="F061"/>
      </w:r>
      <w:r w:rsidRPr="001048C4">
        <w:rPr>
          <w:rFonts w:ascii="Times New Roman" w:eastAsia="Cambria" w:hAnsi="Times New Roman" w:cs="Times New Roman"/>
          <w:i/>
          <w:color w:val="000000"/>
          <w:sz w:val="23"/>
        </w:rPr>
        <w:t xml:space="preserve"> + Income </w:t>
      </w:r>
      <w:proofErr w:type="spellStart"/>
      <w:r w:rsidRPr="001048C4">
        <w:rPr>
          <w:rFonts w:ascii="Times New Roman" w:eastAsia="Cambria" w:hAnsi="Times New Roman" w:cs="Times New Roman"/>
          <w:i/>
          <w:color w:val="000000"/>
          <w:sz w:val="23"/>
        </w:rPr>
        <w:t>Fractile'</w:t>
      </w:r>
      <w:r w:rsidR="001048C4" w:rsidRPr="001048C4">
        <w:rPr>
          <w:rFonts w:ascii="Times New Roman" w:eastAsia="Cambria" w:hAnsi="Times New Roman" w:cs="Times New Roman"/>
          <w:i/>
          <w:color w:val="000000"/>
          <w:sz w:val="23"/>
          <w:vertAlign w:val="subscript"/>
        </w:rPr>
        <w:t>ip</w:t>
      </w:r>
      <w:r w:rsidRPr="001048C4">
        <w:rPr>
          <w:rFonts w:ascii="Times New Roman" w:eastAsia="Cambria" w:hAnsi="Times New Roman" w:cs="Times New Roman"/>
          <w:i/>
          <w:color w:val="000000"/>
          <w:sz w:val="23"/>
          <w:vertAlign w:val="subscript"/>
        </w:rPr>
        <w:t>t</w:t>
      </w:r>
      <w:proofErr w:type="spellEnd"/>
      <w:r w:rsidRPr="001048C4">
        <w:rPr>
          <w:rFonts w:ascii="Times New Roman" w:eastAsia="Cambria" w:hAnsi="Times New Roman" w:cs="Times New Roman"/>
          <w:i/>
          <w:color w:val="000000"/>
          <w:sz w:val="23"/>
          <w:vertAlign w:val="subscript"/>
        </w:rPr>
        <w:t xml:space="preserve"> </w:t>
      </w:r>
      <w:r w:rsidRPr="001048C4">
        <w:rPr>
          <w:rFonts w:ascii="Times New Roman" w:eastAsia="Cambria" w:hAnsi="Times New Roman" w:cs="Times New Roman"/>
          <w:i/>
          <w:color w:val="000000"/>
          <w:sz w:val="23"/>
        </w:rPr>
        <w:sym w:font="Symbol" w:char="F062"/>
      </w:r>
      <w:r w:rsidRPr="001048C4">
        <w:rPr>
          <w:rFonts w:ascii="Times New Roman" w:eastAsia="Cambria" w:hAnsi="Times New Roman" w:cs="Times New Roman"/>
          <w:i/>
          <w:color w:val="000000"/>
          <w:sz w:val="23"/>
        </w:rPr>
        <w:t xml:space="preserve"> + </w:t>
      </w:r>
      <w:proofErr w:type="spellStart"/>
      <w:r w:rsidRPr="001048C4">
        <w:rPr>
          <w:rFonts w:ascii="Times New Roman" w:eastAsia="Cambria" w:hAnsi="Times New Roman" w:cs="Times New Roman"/>
          <w:i/>
          <w:color w:val="000000"/>
          <w:sz w:val="23"/>
        </w:rPr>
        <w:t>X'</w:t>
      </w:r>
      <w:r w:rsidRPr="001048C4">
        <w:rPr>
          <w:rFonts w:ascii="Times New Roman" w:eastAsia="Cambria" w:hAnsi="Times New Roman" w:cs="Times New Roman"/>
          <w:i/>
          <w:color w:val="000000"/>
          <w:sz w:val="23"/>
          <w:vertAlign w:val="subscript"/>
        </w:rPr>
        <w:t>ipt</w:t>
      </w:r>
      <w:proofErr w:type="spellEnd"/>
      <w:r w:rsidRPr="001048C4">
        <w:rPr>
          <w:rFonts w:ascii="Times New Roman" w:eastAsia="Cambria" w:hAnsi="Times New Roman" w:cs="Times New Roman"/>
          <w:i/>
          <w:color w:val="000000"/>
          <w:sz w:val="23"/>
          <w:vertAlign w:val="subscript"/>
        </w:rPr>
        <w:t xml:space="preserve"> </w:t>
      </w:r>
      <w:r w:rsidRPr="001048C4">
        <w:rPr>
          <w:rFonts w:ascii="Times New Roman" w:eastAsia="Cambria" w:hAnsi="Times New Roman" w:cs="Times New Roman"/>
          <w:i/>
          <w:color w:val="000000"/>
          <w:sz w:val="23"/>
        </w:rPr>
        <w:t xml:space="preserve">∂ + </w:t>
      </w:r>
      <w:r w:rsidRPr="001048C4">
        <w:rPr>
          <w:rFonts w:ascii="Times New Roman" w:eastAsia="Cambria" w:hAnsi="Times New Roman" w:cs="Times New Roman"/>
          <w:i/>
          <w:color w:val="000000"/>
          <w:sz w:val="23"/>
        </w:rPr>
        <w:sym w:font="Symbol" w:char="F066"/>
      </w:r>
      <w:r w:rsidRPr="001048C4">
        <w:rPr>
          <w:rFonts w:ascii="Times New Roman" w:eastAsia="Cambria" w:hAnsi="Times New Roman" w:cs="Times New Roman"/>
          <w:i/>
          <w:color w:val="000000"/>
          <w:sz w:val="23"/>
          <w:vertAlign w:val="subscript"/>
        </w:rPr>
        <w:t>p</w:t>
      </w:r>
      <w:r w:rsidRPr="001048C4">
        <w:rPr>
          <w:rFonts w:ascii="Times New Roman" w:eastAsia="Cambria" w:hAnsi="Times New Roman" w:cs="Times New Roman"/>
          <w:i/>
          <w:color w:val="000000"/>
          <w:sz w:val="23"/>
        </w:rPr>
        <w:t xml:space="preserve"> + µ</w:t>
      </w:r>
      <w:r w:rsidRPr="001048C4">
        <w:rPr>
          <w:rFonts w:ascii="Times New Roman" w:eastAsia="Cambria" w:hAnsi="Times New Roman" w:cs="Times New Roman"/>
          <w:i/>
          <w:color w:val="000000"/>
          <w:sz w:val="23"/>
          <w:vertAlign w:val="subscript"/>
        </w:rPr>
        <w:t>t</w:t>
      </w:r>
      <w:r w:rsidRPr="001048C4">
        <w:rPr>
          <w:rFonts w:ascii="Times New Roman" w:eastAsia="Cambria" w:hAnsi="Times New Roman" w:cs="Times New Roman"/>
          <w:i/>
          <w:color w:val="000000"/>
          <w:sz w:val="23"/>
        </w:rPr>
        <w:t xml:space="preserve"> + </w:t>
      </w:r>
      <w:r w:rsidRPr="001048C4">
        <w:rPr>
          <w:rFonts w:ascii="Times New Roman" w:eastAsia="Cambria" w:hAnsi="Times New Roman" w:cs="Times New Roman"/>
          <w:i/>
          <w:color w:val="000000"/>
          <w:sz w:val="23"/>
        </w:rPr>
        <w:sym w:font="Symbol" w:char="F065"/>
      </w:r>
      <w:proofErr w:type="spellStart"/>
      <w:r w:rsidRPr="001048C4">
        <w:rPr>
          <w:rFonts w:ascii="Times New Roman" w:eastAsia="Cambria" w:hAnsi="Times New Roman" w:cs="Times New Roman"/>
          <w:i/>
          <w:color w:val="000000"/>
          <w:sz w:val="23"/>
          <w:vertAlign w:val="subscript"/>
        </w:rPr>
        <w:t>ct</w:t>
      </w:r>
      <w:proofErr w:type="spellEnd"/>
      <w:r w:rsidRPr="001048C4">
        <w:rPr>
          <w:rFonts w:ascii="Times New Roman" w:eastAsia="Cambria" w:hAnsi="Times New Roman" w:cs="Times New Roman"/>
          <w:i/>
          <w:color w:val="000000"/>
          <w:sz w:val="23"/>
        </w:rPr>
        <w:tab/>
      </w:r>
      <w:r w:rsidRPr="001048C4">
        <w:rPr>
          <w:rFonts w:ascii="Times New Roman" w:eastAsia="Cambria" w:hAnsi="Times New Roman" w:cs="Times New Roman"/>
          <w:i/>
          <w:color w:val="000000"/>
          <w:sz w:val="23"/>
        </w:rPr>
        <w:tab/>
      </w:r>
      <w:r w:rsidR="001048C4">
        <w:rPr>
          <w:rFonts w:ascii="Times New Roman" w:eastAsia="Cambria" w:hAnsi="Times New Roman" w:cs="Times New Roman"/>
          <w:i/>
          <w:color w:val="000000"/>
          <w:sz w:val="23"/>
        </w:rPr>
        <w:tab/>
      </w:r>
      <w:r w:rsidR="001048C4">
        <w:rPr>
          <w:rFonts w:ascii="Times New Roman" w:eastAsia="Cambria" w:hAnsi="Times New Roman" w:cs="Times New Roman"/>
          <w:i/>
          <w:color w:val="000000"/>
          <w:sz w:val="23"/>
        </w:rPr>
        <w:tab/>
        <w:t xml:space="preserve">           </w:t>
      </w:r>
      <w:r w:rsidR="001048C4" w:rsidRPr="005117D8">
        <w:rPr>
          <w:rFonts w:ascii="Times New Roman" w:eastAsia="Cambria" w:hAnsi="Times New Roman" w:cs="Times New Roman"/>
          <w:color w:val="000000"/>
          <w:sz w:val="23"/>
        </w:rPr>
        <w:t>(2</w:t>
      </w:r>
      <w:r w:rsidRPr="005117D8">
        <w:rPr>
          <w:rFonts w:ascii="Times New Roman" w:eastAsia="Cambria" w:hAnsi="Times New Roman" w:cs="Times New Roman"/>
          <w:color w:val="000000"/>
          <w:sz w:val="23"/>
        </w:rPr>
        <w:t>)</w:t>
      </w:r>
    </w:p>
    <w:p w14:paraId="6E70F325" w14:textId="77777777" w:rsidR="001C56B4" w:rsidRDefault="001C56B4" w:rsidP="001C56B4">
      <w:pPr>
        <w:jc w:val="both"/>
        <w:rPr>
          <w:rFonts w:ascii="Times New Roman" w:eastAsia="Cambria" w:hAnsi="Times New Roman" w:cs="Times New Roman"/>
        </w:rPr>
      </w:pPr>
    </w:p>
    <w:p w14:paraId="7E2CD543" w14:textId="77777777" w:rsidR="001C56B4" w:rsidRDefault="0094578F" w:rsidP="001C56B4">
      <w:pPr>
        <w:jc w:val="both"/>
        <w:rPr>
          <w:rFonts w:ascii="Times New Roman" w:eastAsia="Cambria" w:hAnsi="Times New Roman" w:cs="Times New Roman"/>
        </w:rPr>
      </w:pPr>
      <w:r>
        <w:rPr>
          <w:rFonts w:ascii="Times New Roman" w:eastAsia="Cambria" w:hAnsi="Times New Roman" w:cs="Times New Roman"/>
        </w:rPr>
        <w:t xml:space="preserve">Our estimates should </w:t>
      </w:r>
      <w:r w:rsidR="001C56B4">
        <w:rPr>
          <w:rFonts w:ascii="Times New Roman" w:eastAsia="Cambria" w:hAnsi="Times New Roman" w:cs="Times New Roman"/>
        </w:rPr>
        <w:t xml:space="preserve">be interpreted with caution given </w:t>
      </w:r>
      <w:r w:rsidR="008826A2">
        <w:rPr>
          <w:rFonts w:ascii="Times New Roman" w:eastAsia="Cambria" w:hAnsi="Times New Roman" w:cs="Times New Roman"/>
        </w:rPr>
        <w:t xml:space="preserve">that household income </w:t>
      </w:r>
      <w:r w:rsidR="0076121D">
        <w:rPr>
          <w:rFonts w:ascii="Times New Roman" w:eastAsia="Cambria" w:hAnsi="Times New Roman" w:cs="Times New Roman"/>
        </w:rPr>
        <w:t xml:space="preserve">may be </w:t>
      </w:r>
      <w:r w:rsidR="001C56B4">
        <w:rPr>
          <w:rFonts w:ascii="Times New Roman" w:eastAsia="Cambria" w:hAnsi="Times New Roman" w:cs="Times New Roman"/>
        </w:rPr>
        <w:t>endogenous</w:t>
      </w:r>
      <w:r w:rsidR="0076121D">
        <w:rPr>
          <w:rFonts w:ascii="Times New Roman" w:eastAsia="Cambria" w:hAnsi="Times New Roman" w:cs="Times New Roman"/>
        </w:rPr>
        <w:t xml:space="preserve"> and a function of health status. </w:t>
      </w:r>
      <w:r>
        <w:rPr>
          <w:rFonts w:ascii="Times New Roman" w:hAnsi="Times New Roman"/>
        </w:rPr>
        <w:t>The</w:t>
      </w:r>
      <w:r w:rsidR="001C56B4">
        <w:rPr>
          <w:rFonts w:ascii="Times New Roman" w:eastAsia="Cambria" w:hAnsi="Times New Roman" w:cs="Times New Roman"/>
        </w:rPr>
        <w:t xml:space="preserve"> SHS</w:t>
      </w:r>
      <w:r>
        <w:rPr>
          <w:rFonts w:ascii="Times New Roman" w:eastAsia="Cambria" w:hAnsi="Times New Roman" w:cs="Times New Roman"/>
        </w:rPr>
        <w:t xml:space="preserve"> </w:t>
      </w:r>
      <w:r w:rsidR="001C56B4">
        <w:rPr>
          <w:rFonts w:ascii="Times New Roman" w:eastAsia="Cambria" w:hAnsi="Times New Roman" w:cs="Times New Roman"/>
        </w:rPr>
        <w:t>does not document health conditions</w:t>
      </w:r>
      <w:r>
        <w:rPr>
          <w:rFonts w:ascii="Times New Roman" w:eastAsia="Cambria" w:hAnsi="Times New Roman" w:cs="Times New Roman"/>
        </w:rPr>
        <w:t xml:space="preserve"> and </w:t>
      </w:r>
      <w:r w:rsidR="001C56B4">
        <w:rPr>
          <w:rFonts w:ascii="Times New Roman" w:eastAsia="Cambria" w:hAnsi="Times New Roman" w:cs="Times New Roman"/>
        </w:rPr>
        <w:t>we do not address this endogeneity directly. Therefore,</w:t>
      </w:r>
      <w:r>
        <w:rPr>
          <w:rFonts w:ascii="Times New Roman" w:eastAsia="Cambria" w:hAnsi="Times New Roman" w:cs="Times New Roman"/>
        </w:rPr>
        <w:t xml:space="preserve"> </w:t>
      </w:r>
      <w:r w:rsidR="001C56B4">
        <w:rPr>
          <w:rFonts w:ascii="Times New Roman" w:eastAsia="Cambria" w:hAnsi="Times New Roman" w:cs="Times New Roman"/>
        </w:rPr>
        <w:t xml:space="preserve">we do not </w:t>
      </w:r>
      <w:r>
        <w:rPr>
          <w:rFonts w:ascii="Times New Roman" w:eastAsia="Cambria" w:hAnsi="Times New Roman" w:cs="Times New Roman"/>
        </w:rPr>
        <w:t>interpret our estimates as causal</w:t>
      </w:r>
      <w:r w:rsidR="001C56B4">
        <w:rPr>
          <w:rFonts w:ascii="Times New Roman" w:eastAsia="Cambria" w:hAnsi="Times New Roman" w:cs="Times New Roman"/>
        </w:rPr>
        <w:t xml:space="preserve">, but rather seek to understand how patterns of health care spending vary across the distribution of household incomes, and what these patterns may imply for the role of private and public financing of the Canadian health care system moving forward. </w:t>
      </w:r>
    </w:p>
    <w:p w14:paraId="18FE713D" w14:textId="77777777" w:rsidR="001C56B4" w:rsidRDefault="001C56B4" w:rsidP="00D50FA4">
      <w:pPr>
        <w:jc w:val="both"/>
        <w:rPr>
          <w:rFonts w:ascii="Times New Roman" w:eastAsia="Cambria" w:hAnsi="Times New Roman" w:cs="Times New Roman"/>
        </w:rPr>
      </w:pPr>
    </w:p>
    <w:p w14:paraId="744AFB69" w14:textId="779FC46A" w:rsidR="003F692D" w:rsidRPr="00C22A89" w:rsidRDefault="00EB65C4" w:rsidP="00D50FA4">
      <w:pPr>
        <w:jc w:val="both"/>
        <w:rPr>
          <w:rFonts w:ascii="Times New Roman" w:eastAsia="Cambria" w:hAnsi="Times New Roman" w:cs="Times New Roman"/>
          <w:lang w:val="en-CA"/>
        </w:rPr>
      </w:pPr>
      <w:r w:rsidRPr="008A6630">
        <w:rPr>
          <w:rFonts w:ascii="Times New Roman" w:eastAsia="Cambria" w:hAnsi="Times New Roman" w:cs="Times New Roman"/>
        </w:rPr>
        <w:t xml:space="preserve">Results from </w:t>
      </w:r>
      <w:r w:rsidR="0094578F">
        <w:rPr>
          <w:rFonts w:ascii="Times New Roman" w:eastAsia="Cambria" w:hAnsi="Times New Roman" w:cs="Times New Roman"/>
        </w:rPr>
        <w:t>estimating</w:t>
      </w:r>
      <w:r w:rsidRPr="008A6630">
        <w:rPr>
          <w:rFonts w:ascii="Times New Roman" w:eastAsia="Cambria" w:hAnsi="Times New Roman" w:cs="Times New Roman"/>
        </w:rPr>
        <w:t xml:space="preserve"> equation </w:t>
      </w:r>
      <w:r w:rsidR="00784DF8">
        <w:rPr>
          <w:rFonts w:ascii="Times New Roman" w:eastAsia="Cambria" w:hAnsi="Times New Roman" w:cs="Times New Roman"/>
        </w:rPr>
        <w:t>(</w:t>
      </w:r>
      <w:r w:rsidRPr="005117D8">
        <w:rPr>
          <w:rFonts w:ascii="Times New Roman" w:eastAsia="Cambria" w:hAnsi="Times New Roman" w:cs="Times New Roman"/>
        </w:rPr>
        <w:t>2</w:t>
      </w:r>
      <w:r w:rsidR="00784DF8">
        <w:rPr>
          <w:rFonts w:ascii="Times New Roman" w:eastAsia="Cambria" w:hAnsi="Times New Roman" w:cs="Times New Roman"/>
        </w:rPr>
        <w:t>)</w:t>
      </w:r>
      <w:r w:rsidRPr="008A6630">
        <w:rPr>
          <w:rFonts w:ascii="Times New Roman" w:eastAsia="Cambria" w:hAnsi="Times New Roman" w:cs="Times New Roman"/>
        </w:rPr>
        <w:t xml:space="preserve"> are displayed in table </w:t>
      </w:r>
      <w:r w:rsidR="0070213E" w:rsidRPr="005117D8">
        <w:rPr>
          <w:rFonts w:ascii="Times New Roman" w:eastAsia="Cambria" w:hAnsi="Times New Roman" w:cs="Times New Roman"/>
        </w:rPr>
        <w:t>7</w:t>
      </w:r>
      <w:r w:rsidR="009E478B" w:rsidRPr="008A6630">
        <w:rPr>
          <w:rFonts w:ascii="Times New Roman" w:eastAsia="Cambria" w:hAnsi="Times New Roman" w:cs="Times New Roman"/>
        </w:rPr>
        <w:t>. Looking first at total health expenditure, the results presented in</w:t>
      </w:r>
      <w:r w:rsidR="009E478B">
        <w:rPr>
          <w:rFonts w:ascii="Times New Roman" w:eastAsia="Cambria" w:hAnsi="Times New Roman" w:cs="Times New Roman"/>
        </w:rPr>
        <w:t xml:space="preserve"> column 1 suggest that compared to the </w:t>
      </w:r>
      <w:r w:rsidR="000C1D2D">
        <w:rPr>
          <w:rFonts w:ascii="Times New Roman" w:eastAsia="Cambria" w:hAnsi="Times New Roman" w:cs="Times New Roman"/>
        </w:rPr>
        <w:t xml:space="preserve">bottom </w:t>
      </w:r>
      <w:r w:rsidR="009E478B">
        <w:rPr>
          <w:rFonts w:ascii="Times New Roman" w:eastAsia="Cambria" w:hAnsi="Times New Roman" w:cs="Times New Roman"/>
        </w:rPr>
        <w:t xml:space="preserve">20% </w:t>
      </w:r>
      <w:r w:rsidR="00D5706D">
        <w:rPr>
          <w:rFonts w:ascii="Times New Roman" w:eastAsia="Cambria" w:hAnsi="Times New Roman" w:cs="Times New Roman"/>
        </w:rPr>
        <w:t xml:space="preserve">of </w:t>
      </w:r>
      <w:r w:rsidR="009E478B">
        <w:rPr>
          <w:rFonts w:ascii="Times New Roman" w:eastAsia="Cambria" w:hAnsi="Times New Roman" w:cs="Times New Roman"/>
        </w:rPr>
        <w:t xml:space="preserve">households, those higher up in the distribution spend significantly more on health care. The coefficients </w:t>
      </w:r>
      <w:r w:rsidR="00460A74">
        <w:rPr>
          <w:rFonts w:ascii="Times New Roman" w:eastAsia="Cambria" w:hAnsi="Times New Roman" w:cs="Times New Roman"/>
        </w:rPr>
        <w:t>associated with the</w:t>
      </w:r>
      <w:r w:rsidR="00D75505">
        <w:rPr>
          <w:rFonts w:ascii="Times New Roman" w:eastAsia="Cambria" w:hAnsi="Times New Roman" w:cs="Times New Roman"/>
        </w:rPr>
        <w:t xml:space="preserve"> income </w:t>
      </w:r>
      <w:proofErr w:type="spellStart"/>
      <w:r w:rsidR="00D75505">
        <w:rPr>
          <w:rFonts w:ascii="Times New Roman" w:eastAsia="Cambria" w:hAnsi="Times New Roman" w:cs="Times New Roman"/>
        </w:rPr>
        <w:t>fractiles</w:t>
      </w:r>
      <w:proofErr w:type="spellEnd"/>
      <w:r w:rsidR="009E478B">
        <w:rPr>
          <w:rFonts w:ascii="Times New Roman" w:eastAsia="Cambria" w:hAnsi="Times New Roman" w:cs="Times New Roman"/>
        </w:rPr>
        <w:t xml:space="preserve"> confirm a positive gradient, even when controlling for households' level of income. Being in the top 10% of the income distribution is associated, all else equal, </w:t>
      </w:r>
      <w:r w:rsidR="00D5706D">
        <w:rPr>
          <w:rFonts w:ascii="Times New Roman" w:eastAsia="Cambria" w:hAnsi="Times New Roman" w:cs="Times New Roman"/>
        </w:rPr>
        <w:t>with</w:t>
      </w:r>
      <w:r w:rsidR="009E478B">
        <w:rPr>
          <w:rFonts w:ascii="Times New Roman" w:eastAsia="Cambria" w:hAnsi="Times New Roman" w:cs="Times New Roman"/>
        </w:rPr>
        <w:t xml:space="preserve"> an increase </w:t>
      </w:r>
      <w:r w:rsidR="009E478B" w:rsidRPr="006F07CE">
        <w:rPr>
          <w:rFonts w:ascii="Times New Roman" w:eastAsia="Cambria" w:hAnsi="Times New Roman" w:cs="Times New Roman"/>
        </w:rPr>
        <w:t>of $1,</w:t>
      </w:r>
      <w:r w:rsidR="00944C87" w:rsidRPr="006F07CE">
        <w:rPr>
          <w:rFonts w:ascii="Times New Roman" w:eastAsia="Cambria" w:hAnsi="Times New Roman" w:cs="Times New Roman"/>
        </w:rPr>
        <w:t xml:space="preserve">235 </w:t>
      </w:r>
      <w:r w:rsidR="009E478B" w:rsidRPr="006F07CE">
        <w:rPr>
          <w:rFonts w:ascii="Times New Roman" w:eastAsia="Cambria" w:hAnsi="Times New Roman" w:cs="Times New Roman"/>
        </w:rPr>
        <w:t xml:space="preserve">in total </w:t>
      </w:r>
      <w:r w:rsidR="009E478B">
        <w:rPr>
          <w:rFonts w:ascii="Times New Roman" w:eastAsia="Cambria" w:hAnsi="Times New Roman" w:cs="Times New Roman"/>
        </w:rPr>
        <w:t>health expenditure compare</w:t>
      </w:r>
      <w:r w:rsidR="00D5706D">
        <w:rPr>
          <w:rFonts w:ascii="Times New Roman" w:eastAsia="Cambria" w:hAnsi="Times New Roman" w:cs="Times New Roman"/>
        </w:rPr>
        <w:t>d</w:t>
      </w:r>
      <w:r w:rsidR="009E478B">
        <w:rPr>
          <w:rFonts w:ascii="Times New Roman" w:eastAsia="Cambria" w:hAnsi="Times New Roman" w:cs="Times New Roman"/>
        </w:rPr>
        <w:t xml:space="preserve"> to </w:t>
      </w:r>
      <w:r w:rsidR="00D5706D">
        <w:rPr>
          <w:rFonts w:ascii="Times New Roman" w:eastAsia="Cambria" w:hAnsi="Times New Roman" w:cs="Times New Roman"/>
        </w:rPr>
        <w:t xml:space="preserve">the </w:t>
      </w:r>
      <w:r w:rsidR="009E478B">
        <w:rPr>
          <w:rFonts w:ascii="Times New Roman" w:eastAsia="Cambria" w:hAnsi="Times New Roman" w:cs="Times New Roman"/>
        </w:rPr>
        <w:t>bottom 2</w:t>
      </w:r>
      <w:r w:rsidR="000C1D2D">
        <w:rPr>
          <w:rFonts w:ascii="Times New Roman" w:eastAsia="Cambria" w:hAnsi="Times New Roman" w:cs="Times New Roman"/>
        </w:rPr>
        <w:t>0</w:t>
      </w:r>
      <w:r w:rsidR="009E478B">
        <w:rPr>
          <w:rFonts w:ascii="Times New Roman" w:eastAsia="Cambria" w:hAnsi="Times New Roman" w:cs="Times New Roman"/>
        </w:rPr>
        <w:t xml:space="preserve">% households, </w:t>
      </w:r>
      <w:r w:rsidR="007B1C97">
        <w:rPr>
          <w:rFonts w:ascii="Times New Roman" w:eastAsia="Cambria" w:hAnsi="Times New Roman" w:cs="Times New Roman"/>
        </w:rPr>
        <w:t>which corresponds to a little more than 60% of a standard deviation. Having an income between</w:t>
      </w:r>
      <w:r w:rsidR="00460A74">
        <w:rPr>
          <w:rFonts w:ascii="Times New Roman" w:eastAsia="Cambria" w:hAnsi="Times New Roman" w:cs="Times New Roman"/>
        </w:rPr>
        <w:t xml:space="preserve"> the 50</w:t>
      </w:r>
      <w:r w:rsidR="00460A74" w:rsidRPr="005708B3">
        <w:rPr>
          <w:rFonts w:ascii="Times New Roman" w:eastAsia="Cambria" w:hAnsi="Times New Roman" w:cs="Times New Roman"/>
          <w:vertAlign w:val="superscript"/>
        </w:rPr>
        <w:t>th</w:t>
      </w:r>
      <w:r w:rsidR="00460A74">
        <w:rPr>
          <w:rFonts w:ascii="Times New Roman" w:eastAsia="Cambria" w:hAnsi="Times New Roman" w:cs="Times New Roman"/>
        </w:rPr>
        <w:t xml:space="preserve"> and the 90</w:t>
      </w:r>
      <w:r w:rsidR="00460A74" w:rsidRPr="005708B3">
        <w:rPr>
          <w:rFonts w:ascii="Times New Roman" w:eastAsia="Cambria" w:hAnsi="Times New Roman" w:cs="Times New Roman"/>
          <w:vertAlign w:val="superscript"/>
        </w:rPr>
        <w:t>th</w:t>
      </w:r>
      <w:r w:rsidR="00460A74">
        <w:rPr>
          <w:rFonts w:ascii="Times New Roman" w:eastAsia="Cambria" w:hAnsi="Times New Roman" w:cs="Times New Roman"/>
        </w:rPr>
        <w:t xml:space="preserve"> percentiles </w:t>
      </w:r>
      <w:r w:rsidR="009E478B">
        <w:rPr>
          <w:rFonts w:ascii="Times New Roman" w:eastAsia="Cambria" w:hAnsi="Times New Roman" w:cs="Times New Roman"/>
        </w:rPr>
        <w:t>is</w:t>
      </w:r>
      <w:r w:rsidR="00460A74">
        <w:rPr>
          <w:rFonts w:ascii="Times New Roman" w:eastAsia="Cambria" w:hAnsi="Times New Roman" w:cs="Times New Roman"/>
        </w:rPr>
        <w:t xml:space="preserve"> associated with</w:t>
      </w:r>
      <w:r w:rsidR="009E478B">
        <w:rPr>
          <w:rFonts w:ascii="Times New Roman" w:eastAsia="Cambria" w:hAnsi="Times New Roman" w:cs="Times New Roman"/>
        </w:rPr>
        <w:t xml:space="preserve"> an increase of a little less than $800 compare</w:t>
      </w:r>
      <w:r w:rsidR="003F7D1D">
        <w:rPr>
          <w:rFonts w:ascii="Times New Roman" w:eastAsia="Cambria" w:hAnsi="Times New Roman" w:cs="Times New Roman"/>
        </w:rPr>
        <w:t>d</w:t>
      </w:r>
      <w:r w:rsidR="009E478B">
        <w:rPr>
          <w:rFonts w:ascii="Times New Roman" w:eastAsia="Cambria" w:hAnsi="Times New Roman" w:cs="Times New Roman"/>
        </w:rPr>
        <w:t xml:space="preserve"> to the bottom 20% </w:t>
      </w:r>
      <w:r w:rsidR="004D1498">
        <w:rPr>
          <w:rFonts w:ascii="Times New Roman" w:eastAsia="Cambria" w:hAnsi="Times New Roman" w:cs="Times New Roman"/>
        </w:rPr>
        <w:t xml:space="preserve">of </w:t>
      </w:r>
      <w:r w:rsidR="009E478B">
        <w:rPr>
          <w:rFonts w:ascii="Times New Roman" w:eastAsia="Cambria" w:hAnsi="Times New Roman" w:cs="Times New Roman"/>
        </w:rPr>
        <w:t xml:space="preserve">households. </w:t>
      </w:r>
      <w:r w:rsidR="00E11FA9" w:rsidRPr="00E11FA9">
        <w:rPr>
          <w:rFonts w:ascii="Times New Roman" w:eastAsia="Cambria" w:hAnsi="Times New Roman" w:cs="Times New Roman"/>
        </w:rPr>
        <w:t xml:space="preserve"> </w:t>
      </w:r>
      <w:r w:rsidR="00E11FA9">
        <w:rPr>
          <w:rFonts w:ascii="Times New Roman" w:eastAsia="Cambria" w:hAnsi="Times New Roman" w:cs="Times New Roman"/>
        </w:rPr>
        <w:t>The coefficients on the other variables also have the expected sign</w:t>
      </w:r>
      <w:r w:rsidR="0094578F">
        <w:rPr>
          <w:rFonts w:ascii="Times New Roman" w:eastAsia="Cambria" w:hAnsi="Times New Roman" w:cs="Times New Roman"/>
        </w:rPr>
        <w:t xml:space="preserve">. </w:t>
      </w:r>
      <w:r w:rsidR="003F7D1D">
        <w:rPr>
          <w:rFonts w:ascii="Times New Roman" w:eastAsia="Cambria" w:hAnsi="Times New Roman" w:cs="Times New Roman"/>
        </w:rPr>
        <w:t>With t</w:t>
      </w:r>
      <w:r w:rsidR="00E11FA9">
        <w:rPr>
          <w:rFonts w:ascii="Times New Roman" w:eastAsia="Cambria" w:hAnsi="Times New Roman" w:cs="Times New Roman"/>
        </w:rPr>
        <w:t>he presence of a senior in the household, total income and household size are</w:t>
      </w:r>
      <w:r w:rsidR="00457D2C">
        <w:rPr>
          <w:rFonts w:ascii="Times New Roman" w:eastAsia="Cambria" w:hAnsi="Times New Roman" w:cs="Times New Roman"/>
        </w:rPr>
        <w:t xml:space="preserve"> all</w:t>
      </w:r>
      <w:r w:rsidR="00E11FA9">
        <w:rPr>
          <w:rFonts w:ascii="Times New Roman" w:eastAsia="Cambria" w:hAnsi="Times New Roman" w:cs="Times New Roman"/>
        </w:rPr>
        <w:t xml:space="preserve"> positively associated with total health expenditures. </w:t>
      </w:r>
      <w:r w:rsidR="009E478B" w:rsidRPr="008A6630">
        <w:rPr>
          <w:rFonts w:ascii="Times New Roman" w:eastAsia="Cambria" w:hAnsi="Times New Roman" w:cs="Times New Roman"/>
        </w:rPr>
        <w:t xml:space="preserve">Column 2 of table </w:t>
      </w:r>
      <w:r w:rsidR="0070213E" w:rsidRPr="005117D8">
        <w:rPr>
          <w:rFonts w:ascii="Times New Roman" w:eastAsia="Cambria" w:hAnsi="Times New Roman" w:cs="Times New Roman"/>
        </w:rPr>
        <w:t>7</w:t>
      </w:r>
      <w:r w:rsidR="009E478B" w:rsidRPr="008A6630">
        <w:rPr>
          <w:rFonts w:ascii="Times New Roman" w:eastAsia="Cambria" w:hAnsi="Times New Roman" w:cs="Times New Roman"/>
        </w:rPr>
        <w:t xml:space="preserve"> present</w:t>
      </w:r>
      <w:r w:rsidR="005708B3">
        <w:rPr>
          <w:rFonts w:ascii="Times New Roman" w:eastAsia="Cambria" w:hAnsi="Times New Roman" w:cs="Times New Roman"/>
        </w:rPr>
        <w:t>s</w:t>
      </w:r>
      <w:r w:rsidR="009E478B" w:rsidRPr="008A6630">
        <w:rPr>
          <w:rFonts w:ascii="Times New Roman" w:eastAsia="Cambria" w:hAnsi="Times New Roman" w:cs="Times New Roman"/>
        </w:rPr>
        <w:t xml:space="preserve"> similar results for direct health care costs to households; although the coefficients on the income </w:t>
      </w:r>
      <w:proofErr w:type="spellStart"/>
      <w:r w:rsidR="009E478B" w:rsidRPr="008A6630">
        <w:rPr>
          <w:rFonts w:ascii="Times New Roman" w:eastAsia="Cambria" w:hAnsi="Times New Roman" w:cs="Times New Roman"/>
        </w:rPr>
        <w:t>fractile</w:t>
      </w:r>
      <w:proofErr w:type="spellEnd"/>
      <w:r w:rsidR="009E478B" w:rsidRPr="008A6630">
        <w:rPr>
          <w:rFonts w:ascii="Times New Roman" w:eastAsia="Cambria" w:hAnsi="Times New Roman" w:cs="Times New Roman"/>
        </w:rPr>
        <w:t xml:space="preserve"> dummies are smaller, they exhibit a similar pattern, suggesting that the findings</w:t>
      </w:r>
      <w:r w:rsidR="009E478B">
        <w:rPr>
          <w:rFonts w:ascii="Times New Roman" w:eastAsia="Cambria" w:hAnsi="Times New Roman" w:cs="Times New Roman"/>
        </w:rPr>
        <w:t xml:space="preserve"> from column 1 are not exclusively driven by the purchase of private health insurance by higher income households, </w:t>
      </w:r>
      <w:r w:rsidR="005708B3">
        <w:rPr>
          <w:rFonts w:ascii="Times New Roman" w:eastAsia="Cambria" w:hAnsi="Times New Roman" w:cs="Times New Roman"/>
        </w:rPr>
        <w:t>but</w:t>
      </w:r>
      <w:r w:rsidR="009E478B">
        <w:rPr>
          <w:rFonts w:ascii="Times New Roman" w:eastAsia="Cambria" w:hAnsi="Times New Roman" w:cs="Times New Roman"/>
        </w:rPr>
        <w:t xml:space="preserve"> also relate to out-of-pocket spending. However, the results from column 4 provide some strong evidence that </w:t>
      </w:r>
      <w:r w:rsidR="00484DE7">
        <w:rPr>
          <w:rFonts w:ascii="Times New Roman" w:eastAsia="Cambria" w:hAnsi="Times New Roman" w:cs="Times New Roman"/>
        </w:rPr>
        <w:t>b</w:t>
      </w:r>
      <w:r w:rsidR="009E478B">
        <w:rPr>
          <w:rFonts w:ascii="Times New Roman" w:eastAsia="Cambria" w:hAnsi="Times New Roman" w:cs="Times New Roman"/>
        </w:rPr>
        <w:t xml:space="preserve">eing in the top 10% of the income distribution is associated with an annual </w:t>
      </w:r>
      <w:r w:rsidR="009E478B" w:rsidRPr="00E33D53">
        <w:rPr>
          <w:rFonts w:ascii="Times New Roman" w:eastAsia="Cambria" w:hAnsi="Times New Roman" w:cs="Times New Roman"/>
        </w:rPr>
        <w:t>increase of $4</w:t>
      </w:r>
      <w:r w:rsidR="00B32565" w:rsidRPr="00E33D53">
        <w:rPr>
          <w:rFonts w:ascii="Times New Roman" w:eastAsia="Cambria" w:hAnsi="Times New Roman" w:cs="Times New Roman"/>
        </w:rPr>
        <w:t>6</w:t>
      </w:r>
      <w:r w:rsidR="009E478B" w:rsidRPr="00E33D53">
        <w:rPr>
          <w:rFonts w:ascii="Times New Roman" w:eastAsia="Cambria" w:hAnsi="Times New Roman" w:cs="Times New Roman"/>
        </w:rPr>
        <w:t xml:space="preserve">0 </w:t>
      </w:r>
      <w:r w:rsidR="009E478B">
        <w:rPr>
          <w:rFonts w:ascii="Times New Roman" w:eastAsia="Cambria" w:hAnsi="Times New Roman" w:cs="Times New Roman"/>
        </w:rPr>
        <w:t>on private health insurance premiums compared to the bottom 20% income</w:t>
      </w:r>
      <w:r w:rsidR="00F46661">
        <w:rPr>
          <w:rFonts w:ascii="Times New Roman" w:eastAsia="Cambria" w:hAnsi="Times New Roman" w:cs="Times New Roman"/>
        </w:rPr>
        <w:t xml:space="preserve"> (63% of a standard deviation)</w:t>
      </w:r>
      <w:r w:rsidR="009E478B">
        <w:rPr>
          <w:rFonts w:ascii="Times New Roman" w:eastAsia="Cambria" w:hAnsi="Times New Roman" w:cs="Times New Roman"/>
        </w:rPr>
        <w:t xml:space="preserve">, nearly a threefold increase compared to the impact of moving from the bottom 20% to the next income </w:t>
      </w:r>
      <w:proofErr w:type="spellStart"/>
      <w:r w:rsidR="009E478B">
        <w:rPr>
          <w:rFonts w:ascii="Times New Roman" w:eastAsia="Cambria" w:hAnsi="Times New Roman" w:cs="Times New Roman"/>
        </w:rPr>
        <w:t>fractile</w:t>
      </w:r>
      <w:proofErr w:type="spellEnd"/>
      <w:r w:rsidR="009E478B">
        <w:rPr>
          <w:rFonts w:ascii="Times New Roman" w:eastAsia="Cambria" w:hAnsi="Times New Roman" w:cs="Times New Roman"/>
        </w:rPr>
        <w:t>.</w:t>
      </w:r>
    </w:p>
    <w:p w14:paraId="7B9BEB91" w14:textId="77777777" w:rsidR="001F7279" w:rsidRDefault="001F7279" w:rsidP="00D50FA4">
      <w:pPr>
        <w:jc w:val="both"/>
        <w:rPr>
          <w:rFonts w:ascii="Times New Roman" w:eastAsia="Cambria" w:hAnsi="Times New Roman" w:cs="Times New Roman"/>
        </w:rPr>
      </w:pPr>
    </w:p>
    <w:p w14:paraId="27A926C4" w14:textId="77777777" w:rsidR="00492FFB" w:rsidRPr="00DA409F" w:rsidRDefault="002F6956" w:rsidP="00492FFB">
      <w:pPr>
        <w:jc w:val="both"/>
        <w:rPr>
          <w:rFonts w:ascii="Times New Roman" w:eastAsia="Cambria" w:hAnsi="Times New Roman" w:cs="Times New Roman"/>
        </w:rPr>
      </w:pPr>
      <w:r>
        <w:rPr>
          <w:rFonts w:ascii="Times New Roman" w:eastAsia="Cambria" w:hAnsi="Times New Roman" w:cs="Times New Roman"/>
        </w:rPr>
        <w:t xml:space="preserve">We note that the relationship we are capturing with respect to private health insurance is driven by premiums paid by individuals, either through plans purchased individually, or through </w:t>
      </w:r>
      <w:r w:rsidR="00AA2717">
        <w:rPr>
          <w:rFonts w:ascii="Times New Roman" w:eastAsia="Cambria" w:hAnsi="Times New Roman" w:cs="Times New Roman"/>
        </w:rPr>
        <w:t xml:space="preserve">employees’ </w:t>
      </w:r>
      <w:r w:rsidR="003C2E78">
        <w:rPr>
          <w:rFonts w:ascii="Times New Roman" w:eastAsia="Cambria" w:hAnsi="Times New Roman" w:cs="Times New Roman"/>
        </w:rPr>
        <w:t xml:space="preserve">contributions to </w:t>
      </w:r>
      <w:r>
        <w:rPr>
          <w:rFonts w:ascii="Times New Roman" w:eastAsia="Cambria" w:hAnsi="Times New Roman" w:cs="Times New Roman"/>
        </w:rPr>
        <w:t>employer sponsored plans.</w:t>
      </w:r>
      <w:r w:rsidR="00D675C5">
        <w:rPr>
          <w:rStyle w:val="FootnoteReference"/>
          <w:rFonts w:ascii="Times New Roman" w:eastAsia="Cambria" w:hAnsi="Times New Roman" w:cs="Times New Roman"/>
        </w:rPr>
        <w:footnoteReference w:id="18"/>
      </w:r>
      <w:r>
        <w:rPr>
          <w:rFonts w:ascii="Times New Roman" w:eastAsia="Cambria" w:hAnsi="Times New Roman" w:cs="Times New Roman"/>
        </w:rPr>
        <w:t xml:space="preserve"> </w:t>
      </w:r>
      <w:r w:rsidR="00346ED6">
        <w:rPr>
          <w:rFonts w:ascii="Times New Roman" w:eastAsia="Cambria" w:hAnsi="Times New Roman" w:cs="Times New Roman"/>
        </w:rPr>
        <w:t xml:space="preserve">However, it is quite unlikely that the </w:t>
      </w:r>
      <w:r w:rsidR="00346ED6">
        <w:rPr>
          <w:rFonts w:ascii="Times New Roman" w:eastAsia="Cambria" w:hAnsi="Times New Roman" w:cs="Times New Roman"/>
        </w:rPr>
        <w:lastRenderedPageBreak/>
        <w:t xml:space="preserve">difference </w:t>
      </w:r>
      <w:r w:rsidR="00DA409F">
        <w:rPr>
          <w:rFonts w:ascii="Times New Roman" w:eastAsia="Cambria" w:hAnsi="Times New Roman" w:cs="Times New Roman"/>
        </w:rPr>
        <w:t xml:space="preserve">we observe in coefficients associated with the top 10% and the other households in the top half of the income distribution is driven by differential </w:t>
      </w:r>
      <w:r w:rsidR="00DA409F">
        <w:rPr>
          <w:rFonts w:ascii="Times New Roman" w:eastAsia="Cambria" w:hAnsi="Times New Roman" w:cs="Times New Roman"/>
          <w:i/>
        </w:rPr>
        <w:t>access</w:t>
      </w:r>
      <w:r w:rsidR="00DA409F">
        <w:rPr>
          <w:rFonts w:ascii="Times New Roman" w:eastAsia="Cambria" w:hAnsi="Times New Roman" w:cs="Times New Roman"/>
        </w:rPr>
        <w:t xml:space="preserve"> to employer-sponsored private insurance plans</w:t>
      </w:r>
      <w:r w:rsidR="00AB4C5B">
        <w:rPr>
          <w:rFonts w:ascii="Times New Roman" w:eastAsia="Cambria" w:hAnsi="Times New Roman" w:cs="Times New Roman"/>
        </w:rPr>
        <w:t>, given that a vast majority of households in these two groups are employed full-time.</w:t>
      </w:r>
      <w:r w:rsidR="00A727C1">
        <w:rPr>
          <w:rFonts w:ascii="Times New Roman" w:eastAsia="Cambria" w:hAnsi="Times New Roman" w:cs="Times New Roman"/>
        </w:rPr>
        <w:t xml:space="preserve"> Moreover, o</w:t>
      </w:r>
      <w:r w:rsidR="00B27AF6">
        <w:rPr>
          <w:rFonts w:ascii="Times New Roman" w:eastAsia="Cambria" w:hAnsi="Times New Roman" w:cs="Times New Roman"/>
        </w:rPr>
        <w:t xml:space="preserve">ur results are robust to restricting </w:t>
      </w:r>
      <w:r w:rsidR="00A727C1">
        <w:rPr>
          <w:rFonts w:ascii="Times New Roman" w:eastAsia="Cambria" w:hAnsi="Times New Roman" w:cs="Times New Roman"/>
        </w:rPr>
        <w:t xml:space="preserve">the estimating </w:t>
      </w:r>
      <w:r w:rsidR="00B27AF6">
        <w:rPr>
          <w:rFonts w:ascii="Times New Roman" w:eastAsia="Cambria" w:hAnsi="Times New Roman" w:cs="Times New Roman"/>
        </w:rPr>
        <w:t xml:space="preserve">sample to full-time employees or to controlling for </w:t>
      </w:r>
      <w:r w:rsidR="00D31377">
        <w:rPr>
          <w:rFonts w:ascii="Times New Roman" w:eastAsia="Cambria" w:hAnsi="Times New Roman" w:cs="Times New Roman"/>
        </w:rPr>
        <w:t>the</w:t>
      </w:r>
      <w:r w:rsidR="00A727C1">
        <w:rPr>
          <w:rFonts w:ascii="Times New Roman" w:eastAsia="Cambria" w:hAnsi="Times New Roman" w:cs="Times New Roman"/>
        </w:rPr>
        <w:t xml:space="preserve"> household’s</w:t>
      </w:r>
      <w:r w:rsidR="00D31377">
        <w:rPr>
          <w:rFonts w:ascii="Times New Roman" w:eastAsia="Cambria" w:hAnsi="Times New Roman" w:cs="Times New Roman"/>
        </w:rPr>
        <w:t xml:space="preserve"> </w:t>
      </w:r>
      <w:r w:rsidR="00B27AF6">
        <w:rPr>
          <w:rFonts w:ascii="Times New Roman" w:eastAsia="Cambria" w:hAnsi="Times New Roman" w:cs="Times New Roman"/>
        </w:rPr>
        <w:t>main source of income (employment, investment, government transfers or others</w:t>
      </w:r>
      <w:r w:rsidR="00A727C1">
        <w:rPr>
          <w:rFonts w:ascii="Times New Roman" w:eastAsia="Cambria" w:hAnsi="Times New Roman" w:cs="Times New Roman"/>
        </w:rPr>
        <w:t>)</w:t>
      </w:r>
      <w:r w:rsidR="00D31377">
        <w:rPr>
          <w:rFonts w:ascii="Times New Roman" w:eastAsia="Cambria" w:hAnsi="Times New Roman" w:cs="Times New Roman"/>
        </w:rPr>
        <w:t xml:space="preserve">, </w:t>
      </w:r>
      <w:r w:rsidR="00481D8C">
        <w:rPr>
          <w:rFonts w:ascii="Times New Roman" w:eastAsia="Cambria" w:hAnsi="Times New Roman" w:cs="Times New Roman"/>
        </w:rPr>
        <w:t xml:space="preserve">or </w:t>
      </w:r>
      <w:r w:rsidR="00D31377">
        <w:rPr>
          <w:rFonts w:ascii="Times New Roman" w:eastAsia="Cambria" w:hAnsi="Times New Roman" w:cs="Times New Roman"/>
        </w:rPr>
        <w:t xml:space="preserve">for full-time working status of the </w:t>
      </w:r>
      <w:r w:rsidR="00A727C1">
        <w:rPr>
          <w:rFonts w:ascii="Times New Roman" w:eastAsia="Cambria" w:hAnsi="Times New Roman" w:cs="Times New Roman"/>
        </w:rPr>
        <w:t>main respondent</w:t>
      </w:r>
      <w:r w:rsidR="00B27AF6">
        <w:rPr>
          <w:rFonts w:ascii="Times New Roman" w:eastAsia="Cambria" w:hAnsi="Times New Roman" w:cs="Times New Roman"/>
        </w:rPr>
        <w:t>.</w:t>
      </w:r>
      <w:r w:rsidR="00AB4C5B" w:rsidRPr="00492FFB">
        <w:rPr>
          <w:rFonts w:ascii="Times New Roman" w:eastAsia="Cambria" w:hAnsi="Times New Roman" w:cs="Times New Roman"/>
        </w:rPr>
        <w:t xml:space="preserve"> The gradient </w:t>
      </w:r>
      <w:r w:rsidR="00492FFB" w:rsidRPr="00492FFB">
        <w:rPr>
          <w:rFonts w:ascii="Times New Roman" w:eastAsia="Cambria" w:hAnsi="Times New Roman" w:cs="Times New Roman"/>
        </w:rPr>
        <w:t>presented in column 4 of table 7</w:t>
      </w:r>
      <w:r w:rsidR="00AB4C5B" w:rsidRPr="00492FFB">
        <w:rPr>
          <w:rFonts w:ascii="Times New Roman" w:eastAsia="Cambria" w:hAnsi="Times New Roman" w:cs="Times New Roman"/>
        </w:rPr>
        <w:t xml:space="preserve"> </w:t>
      </w:r>
      <w:r w:rsidR="00A727C1">
        <w:rPr>
          <w:rFonts w:ascii="Times New Roman" w:eastAsia="Cambria" w:hAnsi="Times New Roman" w:cs="Times New Roman"/>
        </w:rPr>
        <w:t xml:space="preserve">is </w:t>
      </w:r>
      <w:r w:rsidR="00AB4C5B" w:rsidRPr="00492FFB">
        <w:rPr>
          <w:rFonts w:ascii="Times New Roman" w:eastAsia="Cambria" w:hAnsi="Times New Roman" w:cs="Times New Roman"/>
        </w:rPr>
        <w:t xml:space="preserve">therefore likely </w:t>
      </w:r>
      <w:r w:rsidR="003C2E78">
        <w:rPr>
          <w:rFonts w:ascii="Times New Roman" w:eastAsia="Cambria" w:hAnsi="Times New Roman" w:cs="Times New Roman"/>
        </w:rPr>
        <w:t xml:space="preserve">to be mostly </w:t>
      </w:r>
      <w:r w:rsidR="00A727C1">
        <w:rPr>
          <w:rFonts w:ascii="Times New Roman" w:eastAsia="Cambria" w:hAnsi="Times New Roman" w:cs="Times New Roman"/>
        </w:rPr>
        <w:t>driven by</w:t>
      </w:r>
      <w:r w:rsidR="003C2E78">
        <w:rPr>
          <w:rFonts w:ascii="Times New Roman" w:hAnsi="Times New Roman" w:cs="Times New Roman"/>
        </w:rPr>
        <w:t>, for example,</w:t>
      </w:r>
      <w:r w:rsidR="00DB7799">
        <w:rPr>
          <w:rFonts w:ascii="Times New Roman" w:hAnsi="Times New Roman" w:cs="Times New Roman"/>
        </w:rPr>
        <w:t xml:space="preserve"> top income households</w:t>
      </w:r>
      <w:r w:rsidR="00492FFB" w:rsidRPr="00D9073F">
        <w:rPr>
          <w:rFonts w:ascii="Times New Roman" w:hAnsi="Times New Roman" w:cs="Times New Roman"/>
        </w:rPr>
        <w:t xml:space="preserve"> purchas</w:t>
      </w:r>
      <w:r w:rsidR="00DB7799">
        <w:rPr>
          <w:rFonts w:ascii="Times New Roman" w:hAnsi="Times New Roman" w:cs="Times New Roman"/>
        </w:rPr>
        <w:t>ing</w:t>
      </w:r>
      <w:r w:rsidR="00481D8C">
        <w:rPr>
          <w:rFonts w:ascii="Times New Roman" w:hAnsi="Times New Roman" w:cs="Times New Roman"/>
        </w:rPr>
        <w:t xml:space="preserve"> </w:t>
      </w:r>
      <w:r w:rsidR="00492FFB" w:rsidRPr="00D9073F">
        <w:rPr>
          <w:rFonts w:ascii="Times New Roman" w:hAnsi="Times New Roman" w:cs="Times New Roman"/>
        </w:rPr>
        <w:t>more comprehensive options within the range of plans</w:t>
      </w:r>
      <w:r w:rsidR="00A727C1">
        <w:rPr>
          <w:rFonts w:ascii="Times New Roman" w:hAnsi="Times New Roman" w:cs="Times New Roman"/>
        </w:rPr>
        <w:t xml:space="preserve"> offered by their employers</w:t>
      </w:r>
      <w:r w:rsidR="00630999">
        <w:rPr>
          <w:rFonts w:ascii="Times New Roman" w:hAnsi="Times New Roman" w:cs="Times New Roman"/>
        </w:rPr>
        <w:t xml:space="preserve"> (in the case o</w:t>
      </w:r>
      <w:r w:rsidR="001069DB">
        <w:rPr>
          <w:rFonts w:ascii="Times New Roman" w:hAnsi="Times New Roman" w:cs="Times New Roman"/>
        </w:rPr>
        <w:t>f</w:t>
      </w:r>
      <w:r w:rsidR="00630999">
        <w:rPr>
          <w:rFonts w:ascii="Times New Roman" w:hAnsi="Times New Roman" w:cs="Times New Roman"/>
        </w:rPr>
        <w:t xml:space="preserve"> flexible plans)</w:t>
      </w:r>
      <w:r w:rsidR="00492FFB" w:rsidRPr="00D9073F">
        <w:rPr>
          <w:rFonts w:ascii="Times New Roman" w:hAnsi="Times New Roman" w:cs="Times New Roman"/>
        </w:rPr>
        <w:t xml:space="preserve"> or </w:t>
      </w:r>
      <w:r w:rsidR="00492FFB">
        <w:rPr>
          <w:rFonts w:ascii="Times New Roman" w:hAnsi="Times New Roman" w:cs="Times New Roman"/>
        </w:rPr>
        <w:t>supplement</w:t>
      </w:r>
      <w:r w:rsidR="00DB7799">
        <w:rPr>
          <w:rFonts w:ascii="Times New Roman" w:hAnsi="Times New Roman" w:cs="Times New Roman"/>
        </w:rPr>
        <w:t>ing</w:t>
      </w:r>
      <w:r w:rsidR="00492FFB">
        <w:rPr>
          <w:rFonts w:ascii="Times New Roman" w:hAnsi="Times New Roman" w:cs="Times New Roman"/>
        </w:rPr>
        <w:t xml:space="preserve"> these plans with </w:t>
      </w:r>
      <w:r w:rsidR="00492FFB" w:rsidRPr="00D9073F">
        <w:rPr>
          <w:rFonts w:ascii="Times New Roman" w:hAnsi="Times New Roman" w:cs="Times New Roman"/>
        </w:rPr>
        <w:t>individually purchased ones. We also note that a</w:t>
      </w:r>
      <w:r w:rsidR="00492FFB" w:rsidRPr="00D9073F">
        <w:rPr>
          <w:rFonts w:ascii="Times New Roman" w:eastAsia="Cambria" w:hAnsi="Times New Roman" w:cs="Times New Roman"/>
        </w:rPr>
        <w:t xml:space="preserve"> price effect might contribute to this estimated relationship; tax exemptions for private health insurance </w:t>
      </w:r>
      <w:r w:rsidR="00DB7799">
        <w:rPr>
          <w:rFonts w:ascii="Times New Roman" w:eastAsia="Cambria" w:hAnsi="Times New Roman" w:cs="Times New Roman"/>
        </w:rPr>
        <w:t xml:space="preserve">represent </w:t>
      </w:r>
      <w:r w:rsidR="00492FFB" w:rsidRPr="00D9073F">
        <w:rPr>
          <w:rFonts w:ascii="Times New Roman" w:eastAsia="Cambria" w:hAnsi="Times New Roman" w:cs="Times New Roman"/>
        </w:rPr>
        <w:t xml:space="preserve">a more important price incentive for high income earners whose marginal tax rates are likely higher, and </w:t>
      </w:r>
      <w:r w:rsidR="00DB7799">
        <w:rPr>
          <w:rFonts w:ascii="Times New Roman" w:eastAsia="Cambria" w:hAnsi="Times New Roman" w:cs="Times New Roman"/>
        </w:rPr>
        <w:t xml:space="preserve">have been shown to </w:t>
      </w:r>
      <w:r w:rsidR="00492FFB" w:rsidRPr="00D9073F">
        <w:rPr>
          <w:rFonts w:ascii="Times New Roman" w:eastAsia="Cambria" w:hAnsi="Times New Roman" w:cs="Times New Roman"/>
        </w:rPr>
        <w:t>influence indi</w:t>
      </w:r>
      <w:r w:rsidR="00D9073F">
        <w:rPr>
          <w:rFonts w:ascii="Times New Roman" w:eastAsia="Cambria" w:hAnsi="Times New Roman" w:cs="Times New Roman"/>
        </w:rPr>
        <w:t xml:space="preserve">viduals’ decision to spend on employer-sponsored </w:t>
      </w:r>
      <w:r w:rsidR="00492FFB" w:rsidRPr="00D9073F">
        <w:rPr>
          <w:rFonts w:ascii="Times New Roman" w:eastAsia="Cambria" w:hAnsi="Times New Roman" w:cs="Times New Roman"/>
        </w:rPr>
        <w:t>health insurance plan</w:t>
      </w:r>
      <w:r w:rsidR="00D9073F">
        <w:rPr>
          <w:rFonts w:ascii="Times New Roman" w:eastAsia="Cambria" w:hAnsi="Times New Roman" w:cs="Times New Roman"/>
        </w:rPr>
        <w:t>s</w:t>
      </w:r>
      <w:r w:rsidR="00DD247B">
        <w:rPr>
          <w:rFonts w:ascii="Times New Roman" w:eastAsia="Cambria" w:hAnsi="Times New Roman" w:cs="Times New Roman"/>
        </w:rPr>
        <w:t xml:space="preserve"> (Stabile 2001</w:t>
      </w:r>
      <w:r w:rsidR="00492FFB" w:rsidRPr="00D9073F">
        <w:rPr>
          <w:rFonts w:ascii="Times New Roman" w:eastAsia="Cambria" w:hAnsi="Times New Roman" w:cs="Times New Roman"/>
        </w:rPr>
        <w:t>).</w:t>
      </w:r>
    </w:p>
    <w:p w14:paraId="1F41083E" w14:textId="77777777" w:rsidR="003F692D" w:rsidRDefault="003F692D" w:rsidP="00D50FA4">
      <w:pPr>
        <w:jc w:val="both"/>
        <w:rPr>
          <w:rFonts w:ascii="Times New Roman" w:eastAsia="Cambria" w:hAnsi="Times New Roman" w:cs="Times New Roman"/>
        </w:rPr>
      </w:pPr>
    </w:p>
    <w:p w14:paraId="1CE6009A" w14:textId="77777777" w:rsidR="00A947AE" w:rsidRDefault="00A947AE" w:rsidP="003D5F41">
      <w:pPr>
        <w:jc w:val="both"/>
        <w:rPr>
          <w:rFonts w:ascii="Times New Roman" w:eastAsia="Cambria" w:hAnsi="Times New Roman" w:cs="Times New Roman"/>
        </w:rPr>
      </w:pPr>
      <w:r>
        <w:rPr>
          <w:rFonts w:ascii="Times New Roman" w:eastAsia="Cambria" w:hAnsi="Times New Roman" w:cs="Times New Roman"/>
        </w:rPr>
        <w:t xml:space="preserve">Column 3 of </w:t>
      </w:r>
      <w:r w:rsidR="00DB7799">
        <w:rPr>
          <w:rFonts w:ascii="Times New Roman" w:eastAsia="Cambria" w:hAnsi="Times New Roman" w:cs="Times New Roman"/>
        </w:rPr>
        <w:t>t</w:t>
      </w:r>
      <w:r>
        <w:rPr>
          <w:rFonts w:ascii="Times New Roman" w:eastAsia="Cambria" w:hAnsi="Times New Roman" w:cs="Times New Roman"/>
        </w:rPr>
        <w:t>able 7</w:t>
      </w:r>
      <w:r w:rsidR="004D1498">
        <w:rPr>
          <w:rFonts w:ascii="Times New Roman" w:eastAsia="Cambria" w:hAnsi="Times New Roman" w:cs="Times New Roman"/>
        </w:rPr>
        <w:t xml:space="preserve"> </w:t>
      </w:r>
      <w:r w:rsidR="007336BF">
        <w:rPr>
          <w:rFonts w:ascii="Times New Roman" w:eastAsia="Cambria" w:hAnsi="Times New Roman" w:cs="Times New Roman"/>
        </w:rPr>
        <w:t>looks at expenditure on</w:t>
      </w:r>
      <w:r w:rsidR="009E478B">
        <w:rPr>
          <w:rFonts w:ascii="Times New Roman" w:eastAsia="Cambria" w:hAnsi="Times New Roman" w:cs="Times New Roman"/>
        </w:rPr>
        <w:t xml:space="preserve"> prescription drug</w:t>
      </w:r>
      <w:r w:rsidR="007336BF">
        <w:rPr>
          <w:rFonts w:ascii="Times New Roman" w:eastAsia="Cambria" w:hAnsi="Times New Roman" w:cs="Times New Roman"/>
        </w:rPr>
        <w:t>s</w:t>
      </w:r>
      <w:r w:rsidR="009E478B">
        <w:rPr>
          <w:rFonts w:ascii="Times New Roman" w:eastAsia="Cambria" w:hAnsi="Times New Roman" w:cs="Times New Roman"/>
        </w:rPr>
        <w:t>. While moving from the bottom 20% of the income distribution to the group formed of the 21</w:t>
      </w:r>
      <w:r w:rsidR="009E478B" w:rsidRPr="009903FD">
        <w:rPr>
          <w:rFonts w:ascii="Times New Roman" w:eastAsia="Cambria" w:hAnsi="Times New Roman" w:cs="Times New Roman"/>
          <w:vertAlign w:val="superscript"/>
        </w:rPr>
        <w:t>st</w:t>
      </w:r>
      <w:r w:rsidR="009E478B">
        <w:rPr>
          <w:rFonts w:ascii="Times New Roman" w:eastAsia="Cambria" w:hAnsi="Times New Roman" w:cs="Times New Roman"/>
        </w:rPr>
        <w:t xml:space="preserve"> to the 50</w:t>
      </w:r>
      <w:r w:rsidR="009E478B" w:rsidRPr="009903FD">
        <w:rPr>
          <w:rFonts w:ascii="Times New Roman" w:eastAsia="Cambria" w:hAnsi="Times New Roman" w:cs="Times New Roman"/>
          <w:vertAlign w:val="superscript"/>
        </w:rPr>
        <w:t>th</w:t>
      </w:r>
      <w:r w:rsidR="009E478B">
        <w:rPr>
          <w:rFonts w:ascii="Times New Roman" w:eastAsia="Cambria" w:hAnsi="Times New Roman" w:cs="Times New Roman"/>
        </w:rPr>
        <w:t xml:space="preserve"> percentile</w:t>
      </w:r>
      <w:r w:rsidR="00E47505">
        <w:rPr>
          <w:rFonts w:ascii="Times New Roman" w:eastAsia="Cambria" w:hAnsi="Times New Roman" w:cs="Times New Roman"/>
        </w:rPr>
        <w:t>s</w:t>
      </w:r>
      <w:r w:rsidR="009E478B">
        <w:rPr>
          <w:rFonts w:ascii="Times New Roman" w:eastAsia="Cambria" w:hAnsi="Times New Roman" w:cs="Times New Roman"/>
        </w:rPr>
        <w:t xml:space="preserve"> is associated with an annual </w:t>
      </w:r>
      <w:r w:rsidR="009E478B" w:rsidRPr="006864E9">
        <w:rPr>
          <w:rFonts w:ascii="Times New Roman" w:eastAsia="Cambria" w:hAnsi="Times New Roman" w:cs="Times New Roman"/>
        </w:rPr>
        <w:t>increase</w:t>
      </w:r>
      <w:r w:rsidR="005967AE" w:rsidRPr="006864E9">
        <w:rPr>
          <w:rFonts w:ascii="Times New Roman" w:eastAsia="Cambria" w:hAnsi="Times New Roman" w:cs="Times New Roman"/>
        </w:rPr>
        <w:t xml:space="preserve"> </w:t>
      </w:r>
      <w:r w:rsidR="009E478B" w:rsidRPr="006864E9">
        <w:rPr>
          <w:rFonts w:ascii="Times New Roman" w:eastAsia="Cambria" w:hAnsi="Times New Roman" w:cs="Times New Roman"/>
        </w:rPr>
        <w:t>of $</w:t>
      </w:r>
      <w:r w:rsidR="009447D7" w:rsidRPr="006864E9">
        <w:rPr>
          <w:rFonts w:ascii="Times New Roman" w:eastAsia="Cambria" w:hAnsi="Times New Roman" w:cs="Times New Roman"/>
        </w:rPr>
        <w:t>55</w:t>
      </w:r>
      <w:r w:rsidR="009E478B" w:rsidRPr="006864E9">
        <w:rPr>
          <w:rFonts w:ascii="Times New Roman" w:eastAsia="Cambria" w:hAnsi="Times New Roman" w:cs="Times New Roman"/>
        </w:rPr>
        <w:t xml:space="preserve"> on prescribed medication, the increase is much smaller for households between the 51</w:t>
      </w:r>
      <w:r w:rsidR="009E478B" w:rsidRPr="001F7279">
        <w:rPr>
          <w:rFonts w:ascii="Times New Roman" w:eastAsia="Cambria" w:hAnsi="Times New Roman" w:cs="Times New Roman"/>
          <w:vertAlign w:val="superscript"/>
        </w:rPr>
        <w:t xml:space="preserve">st </w:t>
      </w:r>
      <w:r w:rsidR="009E478B" w:rsidRPr="001F7279">
        <w:rPr>
          <w:rFonts w:ascii="Times New Roman" w:eastAsia="Cambria" w:hAnsi="Times New Roman" w:cs="Times New Roman"/>
        </w:rPr>
        <w:t>and the 90</w:t>
      </w:r>
      <w:r w:rsidR="009E478B" w:rsidRPr="001F7279">
        <w:rPr>
          <w:rFonts w:ascii="Times New Roman" w:eastAsia="Cambria" w:hAnsi="Times New Roman" w:cs="Times New Roman"/>
          <w:vertAlign w:val="superscript"/>
        </w:rPr>
        <w:t>th</w:t>
      </w:r>
      <w:r w:rsidR="009E478B" w:rsidRPr="001F7279">
        <w:rPr>
          <w:rFonts w:ascii="Times New Roman" w:eastAsia="Cambria" w:hAnsi="Times New Roman" w:cs="Times New Roman"/>
        </w:rPr>
        <w:t xml:space="preserve"> percentile.</w:t>
      </w:r>
      <w:r>
        <w:rPr>
          <w:rFonts w:ascii="Times New Roman" w:eastAsia="Cambria" w:hAnsi="Times New Roman" w:cs="Times New Roman"/>
        </w:rPr>
        <w:t xml:space="preserve"> As noted above, this likely reflects better drug insurance coverage among these groups. </w:t>
      </w:r>
      <w:r w:rsidR="004D5D27">
        <w:rPr>
          <w:rFonts w:ascii="Times New Roman" w:eastAsia="Cambria" w:hAnsi="Times New Roman" w:cs="Times New Roman"/>
        </w:rPr>
        <w:t xml:space="preserve"> We re-estimate equation (2) using logs and find similar results (available in the appendix). </w:t>
      </w:r>
    </w:p>
    <w:p w14:paraId="3EB1D1C3" w14:textId="77777777" w:rsidR="00A947AE" w:rsidRDefault="00A947AE" w:rsidP="003D5F41">
      <w:pPr>
        <w:jc w:val="both"/>
        <w:rPr>
          <w:rFonts w:ascii="Times New Roman" w:eastAsia="Cambria" w:hAnsi="Times New Roman" w:cs="Times New Roman"/>
        </w:rPr>
      </w:pPr>
    </w:p>
    <w:p w14:paraId="46C8FA0F" w14:textId="77777777" w:rsidR="00F00129" w:rsidRDefault="00983660" w:rsidP="003D5F41">
      <w:pPr>
        <w:jc w:val="both"/>
        <w:rPr>
          <w:rFonts w:ascii="Times New Roman" w:eastAsia="Cambria" w:hAnsi="Times New Roman" w:cs="Times New Roman"/>
        </w:rPr>
      </w:pPr>
      <w:r>
        <w:rPr>
          <w:rFonts w:ascii="Times New Roman" w:eastAsia="Cambria" w:hAnsi="Times New Roman" w:cs="Times New Roman"/>
        </w:rPr>
        <w:t>H</w:t>
      </w:r>
      <w:r w:rsidR="00212EE2">
        <w:rPr>
          <w:rFonts w:ascii="Times New Roman" w:eastAsia="Cambria" w:hAnsi="Times New Roman" w:cs="Times New Roman"/>
        </w:rPr>
        <w:t>ouseholds’ health care needs</w:t>
      </w:r>
      <w:r>
        <w:rPr>
          <w:rFonts w:ascii="Times New Roman" w:eastAsia="Cambria" w:hAnsi="Times New Roman" w:cs="Times New Roman"/>
        </w:rPr>
        <w:t xml:space="preserve"> </w:t>
      </w:r>
      <w:r w:rsidR="00212EE2">
        <w:rPr>
          <w:rFonts w:ascii="Times New Roman" w:eastAsia="Cambria" w:hAnsi="Times New Roman" w:cs="Times New Roman"/>
        </w:rPr>
        <w:t xml:space="preserve">will vary </w:t>
      </w:r>
      <w:r>
        <w:rPr>
          <w:rFonts w:ascii="Times New Roman" w:eastAsia="Cambria" w:hAnsi="Times New Roman" w:cs="Times New Roman"/>
        </w:rPr>
        <w:t xml:space="preserve">as they age. </w:t>
      </w:r>
      <w:r w:rsidR="00212EE2">
        <w:rPr>
          <w:rFonts w:ascii="Times New Roman" w:eastAsia="Cambria" w:hAnsi="Times New Roman" w:cs="Times New Roman"/>
        </w:rPr>
        <w:t xml:space="preserve">For example, </w:t>
      </w:r>
      <w:r>
        <w:rPr>
          <w:rFonts w:ascii="Times New Roman" w:eastAsia="Cambria" w:hAnsi="Times New Roman" w:cs="Times New Roman"/>
        </w:rPr>
        <w:t xml:space="preserve">spending on residential care is likely to increase with age as might the relationship between income and spending on these types of services. To </w:t>
      </w:r>
      <w:r w:rsidR="002753FC">
        <w:rPr>
          <w:rFonts w:ascii="Times New Roman" w:eastAsia="Cambria" w:hAnsi="Times New Roman" w:cs="Times New Roman"/>
        </w:rPr>
        <w:t>investigate</w:t>
      </w:r>
      <w:r>
        <w:rPr>
          <w:rFonts w:ascii="Times New Roman" w:eastAsia="Cambria" w:hAnsi="Times New Roman" w:cs="Times New Roman"/>
        </w:rPr>
        <w:t xml:space="preserve"> whether our results differ significantly by age, </w:t>
      </w:r>
      <w:r w:rsidR="002753FC">
        <w:rPr>
          <w:rFonts w:ascii="Times New Roman" w:eastAsia="Cambria" w:hAnsi="Times New Roman" w:cs="Times New Roman"/>
        </w:rPr>
        <w:t>we define a subsample formed exclusively of households whose head is aged 65 or older, and we estimate all specifica</w:t>
      </w:r>
      <w:r w:rsidR="004D5D27">
        <w:rPr>
          <w:rFonts w:ascii="Times New Roman" w:eastAsia="Cambria" w:hAnsi="Times New Roman" w:cs="Times New Roman"/>
        </w:rPr>
        <w:t>tions presented in tables 7</w:t>
      </w:r>
      <w:r w:rsidR="002753FC">
        <w:rPr>
          <w:rFonts w:ascii="Times New Roman" w:eastAsia="Cambria" w:hAnsi="Times New Roman" w:cs="Times New Roman"/>
        </w:rPr>
        <w:t>.</w:t>
      </w:r>
      <w:r w:rsidR="002753FC">
        <w:rPr>
          <w:rStyle w:val="FootnoteReference"/>
          <w:rFonts w:ascii="Times New Roman" w:eastAsia="Cambria" w:hAnsi="Times New Roman" w:cs="Times New Roman"/>
        </w:rPr>
        <w:footnoteReference w:id="19"/>
      </w:r>
      <w:r w:rsidR="002753FC">
        <w:rPr>
          <w:rFonts w:ascii="Times New Roman" w:eastAsia="Cambria" w:hAnsi="Times New Roman" w:cs="Times New Roman"/>
        </w:rPr>
        <w:t xml:space="preserve"> </w:t>
      </w:r>
      <w:r w:rsidR="00F661C7">
        <w:rPr>
          <w:rFonts w:ascii="Times New Roman" w:eastAsia="Cambria" w:hAnsi="Times New Roman" w:cs="Times New Roman"/>
        </w:rPr>
        <w:t>Most of the patterns described for the full sample</w:t>
      </w:r>
      <w:r w:rsidR="00245E65">
        <w:rPr>
          <w:rFonts w:ascii="Times New Roman" w:eastAsia="Cambria" w:hAnsi="Times New Roman" w:cs="Times New Roman"/>
        </w:rPr>
        <w:t xml:space="preserve"> are</w:t>
      </w:r>
      <w:r w:rsidR="00F661C7">
        <w:rPr>
          <w:rFonts w:ascii="Times New Roman" w:eastAsia="Cambria" w:hAnsi="Times New Roman" w:cs="Times New Roman"/>
        </w:rPr>
        <w:t xml:space="preserve"> also observed for </w:t>
      </w:r>
      <w:r w:rsidR="00245E65">
        <w:rPr>
          <w:rFonts w:ascii="Times New Roman" w:eastAsia="Cambria" w:hAnsi="Times New Roman" w:cs="Times New Roman"/>
        </w:rPr>
        <w:t xml:space="preserve">this older group of households, and are often amplified. For example, </w:t>
      </w:r>
      <w:r w:rsidR="0074729F">
        <w:rPr>
          <w:rFonts w:ascii="Times New Roman" w:eastAsia="Cambria" w:hAnsi="Times New Roman" w:cs="Times New Roman"/>
        </w:rPr>
        <w:t>the coefficient on</w:t>
      </w:r>
      <w:r w:rsidR="00245E65">
        <w:rPr>
          <w:rFonts w:ascii="Times New Roman" w:eastAsia="Cambria" w:hAnsi="Times New Roman" w:cs="Times New Roman"/>
        </w:rPr>
        <w:t xml:space="preserve"> the top decile of the income distribution </w:t>
      </w:r>
      <w:r w:rsidR="0074729F">
        <w:rPr>
          <w:rFonts w:ascii="Times New Roman" w:eastAsia="Cambria" w:hAnsi="Times New Roman" w:cs="Times New Roman"/>
        </w:rPr>
        <w:t xml:space="preserve">is </w:t>
      </w:r>
      <w:r w:rsidR="00245E65">
        <w:rPr>
          <w:rFonts w:ascii="Times New Roman" w:eastAsia="Cambria" w:hAnsi="Times New Roman" w:cs="Times New Roman"/>
        </w:rPr>
        <w:t>twice as large as</w:t>
      </w:r>
      <w:r w:rsidR="0074729F">
        <w:rPr>
          <w:rFonts w:ascii="Times New Roman" w:eastAsia="Cambria" w:hAnsi="Times New Roman" w:cs="Times New Roman"/>
        </w:rPr>
        <w:t xml:space="preserve"> the one estimated</w:t>
      </w:r>
      <w:r w:rsidR="00245E65">
        <w:rPr>
          <w:rFonts w:ascii="Times New Roman" w:eastAsia="Cambria" w:hAnsi="Times New Roman" w:cs="Times New Roman"/>
        </w:rPr>
        <w:t xml:space="preserve"> in the main sample</w:t>
      </w:r>
      <w:r w:rsidR="0074729F">
        <w:rPr>
          <w:rFonts w:ascii="Times New Roman" w:eastAsia="Cambria" w:hAnsi="Times New Roman" w:cs="Times New Roman"/>
        </w:rPr>
        <w:t xml:space="preserve"> when looking at physician expenditure</w:t>
      </w:r>
      <w:r w:rsidR="00245E65">
        <w:rPr>
          <w:rFonts w:ascii="Times New Roman" w:eastAsia="Cambria" w:hAnsi="Times New Roman" w:cs="Times New Roman"/>
        </w:rPr>
        <w:t xml:space="preserve">, and movements towards top </w:t>
      </w:r>
      <w:proofErr w:type="spellStart"/>
      <w:r w:rsidR="00245E65">
        <w:rPr>
          <w:rFonts w:ascii="Times New Roman" w:eastAsia="Cambria" w:hAnsi="Times New Roman" w:cs="Times New Roman"/>
        </w:rPr>
        <w:t>fractiles</w:t>
      </w:r>
      <w:proofErr w:type="spellEnd"/>
      <w:r w:rsidR="00245E65">
        <w:rPr>
          <w:rFonts w:ascii="Times New Roman" w:eastAsia="Cambria" w:hAnsi="Times New Roman" w:cs="Times New Roman"/>
        </w:rPr>
        <w:t xml:space="preserve"> </w:t>
      </w:r>
      <w:r w:rsidR="0074729F">
        <w:rPr>
          <w:rFonts w:ascii="Times New Roman" w:eastAsia="Cambria" w:hAnsi="Times New Roman" w:cs="Times New Roman"/>
        </w:rPr>
        <w:t>are also associated with substantially larger increases in direct health care spending in the older sample. Interestingly, the relationship estimated with private health insurance i</w:t>
      </w:r>
      <w:r w:rsidR="00C272E7">
        <w:rPr>
          <w:rFonts w:ascii="Times New Roman" w:eastAsia="Cambria" w:hAnsi="Times New Roman" w:cs="Times New Roman"/>
        </w:rPr>
        <w:t xml:space="preserve">s quite similar in both samples, and although the coefficients on all income </w:t>
      </w:r>
      <w:proofErr w:type="spellStart"/>
      <w:r w:rsidR="00C272E7">
        <w:rPr>
          <w:rFonts w:ascii="Times New Roman" w:eastAsia="Cambria" w:hAnsi="Times New Roman" w:cs="Times New Roman"/>
        </w:rPr>
        <w:t>fractiles</w:t>
      </w:r>
      <w:proofErr w:type="spellEnd"/>
      <w:r w:rsidR="00C272E7">
        <w:rPr>
          <w:rFonts w:ascii="Times New Roman" w:eastAsia="Cambria" w:hAnsi="Times New Roman" w:cs="Times New Roman"/>
        </w:rPr>
        <w:t xml:space="preserve"> are larger when considering </w:t>
      </w:r>
      <w:r w:rsidR="00016F83">
        <w:rPr>
          <w:rFonts w:ascii="Times New Roman" w:eastAsia="Cambria" w:hAnsi="Times New Roman" w:cs="Times New Roman"/>
        </w:rPr>
        <w:t>the older sample</w:t>
      </w:r>
      <w:r w:rsidR="00C272E7">
        <w:rPr>
          <w:rFonts w:ascii="Times New Roman" w:eastAsia="Cambria" w:hAnsi="Times New Roman" w:cs="Times New Roman"/>
        </w:rPr>
        <w:t>, we still do not observe a gradient between expenditure on</w:t>
      </w:r>
      <w:r w:rsidR="008F5270">
        <w:rPr>
          <w:rFonts w:ascii="Times New Roman" w:eastAsia="Cambria" w:hAnsi="Times New Roman" w:cs="Times New Roman"/>
        </w:rPr>
        <w:t xml:space="preserve"> charges from</w:t>
      </w:r>
      <w:r w:rsidR="00C272E7">
        <w:rPr>
          <w:rFonts w:ascii="Times New Roman" w:eastAsia="Cambria" w:hAnsi="Times New Roman" w:cs="Times New Roman"/>
        </w:rPr>
        <w:t xml:space="preserve"> hospital and </w:t>
      </w:r>
      <w:r w:rsidR="00DE599F">
        <w:rPr>
          <w:rFonts w:ascii="Times New Roman" w:eastAsia="Cambria" w:hAnsi="Times New Roman" w:cs="Times New Roman"/>
        </w:rPr>
        <w:t>residential</w:t>
      </w:r>
      <w:r w:rsidR="00C272E7">
        <w:rPr>
          <w:rFonts w:ascii="Times New Roman" w:eastAsia="Cambria" w:hAnsi="Times New Roman" w:cs="Times New Roman"/>
        </w:rPr>
        <w:t xml:space="preserve"> care facilities and the position in the income distribution. </w:t>
      </w:r>
      <w:r w:rsidR="00A02A29">
        <w:rPr>
          <w:rFonts w:ascii="Times New Roman" w:eastAsia="Cambria" w:hAnsi="Times New Roman" w:cs="Times New Roman"/>
        </w:rPr>
        <w:t xml:space="preserve">This result </w:t>
      </w:r>
      <w:r w:rsidR="00016F83">
        <w:rPr>
          <w:rFonts w:ascii="Times New Roman" w:eastAsia="Cambria" w:hAnsi="Times New Roman" w:cs="Times New Roman"/>
        </w:rPr>
        <w:t>is not necessarily intuitive</w:t>
      </w:r>
      <w:r w:rsidR="00C272E7">
        <w:rPr>
          <w:rFonts w:ascii="Times New Roman" w:eastAsia="Cambria" w:hAnsi="Times New Roman" w:cs="Times New Roman"/>
        </w:rPr>
        <w:t xml:space="preserve">; </w:t>
      </w:r>
      <w:r w:rsidR="003B31CB">
        <w:rPr>
          <w:rFonts w:ascii="Times New Roman" w:eastAsia="Cambria" w:hAnsi="Times New Roman" w:cs="Times New Roman"/>
        </w:rPr>
        <w:t>h</w:t>
      </w:r>
      <w:r w:rsidR="00016F83">
        <w:rPr>
          <w:rFonts w:ascii="Times New Roman" w:eastAsia="Cambria" w:hAnsi="Times New Roman" w:cs="Times New Roman"/>
        </w:rPr>
        <w:t>owever, a</w:t>
      </w:r>
      <w:r w:rsidR="008303CE">
        <w:rPr>
          <w:rFonts w:ascii="Times New Roman" w:eastAsia="Cambria" w:hAnsi="Times New Roman" w:cs="Times New Roman"/>
        </w:rPr>
        <w:t xml:space="preserve">t least two factors may explain our results. </w:t>
      </w:r>
      <w:r w:rsidR="00C272E7">
        <w:rPr>
          <w:rFonts w:ascii="Times New Roman" w:eastAsia="Cambria" w:hAnsi="Times New Roman" w:cs="Times New Roman"/>
        </w:rPr>
        <w:t xml:space="preserve">First, we note that the survey population excludes </w:t>
      </w:r>
      <w:r w:rsidR="003D0746">
        <w:rPr>
          <w:rFonts w:ascii="Times New Roman" w:eastAsia="Cambria" w:hAnsi="Times New Roman" w:cs="Times New Roman"/>
        </w:rPr>
        <w:t>people living in residences for dependent seniors</w:t>
      </w:r>
      <w:r w:rsidR="00C272E7">
        <w:rPr>
          <w:rFonts w:ascii="Times New Roman" w:eastAsia="Cambria" w:hAnsi="Times New Roman" w:cs="Times New Roman"/>
        </w:rPr>
        <w:t xml:space="preserve">. Second, </w:t>
      </w:r>
      <w:r w:rsidR="008303CE">
        <w:rPr>
          <w:rFonts w:ascii="Times New Roman" w:eastAsia="Cambria" w:hAnsi="Times New Roman" w:cs="Times New Roman"/>
        </w:rPr>
        <w:t>we do observe a very strong relationship between the position in the income distribution and expenditure on services provided by non-physician health professionals, including nurses and other professionals offering part-time or full-time home care assistance, a potential substitute for nursing homes.</w:t>
      </w:r>
      <w:r w:rsidR="00A94F45">
        <w:rPr>
          <w:rFonts w:ascii="Times New Roman" w:eastAsia="Cambria" w:hAnsi="Times New Roman" w:cs="Times New Roman"/>
        </w:rPr>
        <w:t xml:space="preserve"> Finally, the </w:t>
      </w:r>
      <w:r w:rsidR="001E1CC0">
        <w:rPr>
          <w:rFonts w:ascii="Times New Roman" w:eastAsia="Cambria" w:hAnsi="Times New Roman" w:cs="Times New Roman"/>
        </w:rPr>
        <w:t xml:space="preserve">results for prescription drug expenditure are quite different in the older sample; the coefficients associated with all income </w:t>
      </w:r>
      <w:proofErr w:type="spellStart"/>
      <w:r w:rsidR="000F4842">
        <w:rPr>
          <w:rFonts w:ascii="Times New Roman" w:eastAsia="Cambria" w:hAnsi="Times New Roman" w:cs="Times New Roman"/>
        </w:rPr>
        <w:t>fractiles</w:t>
      </w:r>
      <w:proofErr w:type="spellEnd"/>
      <w:r w:rsidR="000F4842">
        <w:rPr>
          <w:rFonts w:ascii="Times New Roman" w:eastAsia="Cambria" w:hAnsi="Times New Roman" w:cs="Times New Roman"/>
        </w:rPr>
        <w:t xml:space="preserve"> </w:t>
      </w:r>
      <w:r w:rsidR="001E1CC0">
        <w:rPr>
          <w:rFonts w:ascii="Times New Roman" w:eastAsia="Cambria" w:hAnsi="Times New Roman" w:cs="Times New Roman"/>
        </w:rPr>
        <w:t xml:space="preserve">are relatively similar with values close to $80, and </w:t>
      </w:r>
      <w:r w:rsidR="00BF3E21">
        <w:rPr>
          <w:rFonts w:ascii="Times New Roman" w:eastAsia="Cambria" w:hAnsi="Times New Roman" w:cs="Times New Roman"/>
        </w:rPr>
        <w:t xml:space="preserve">we cannot reject that they </w:t>
      </w:r>
      <w:r w:rsidR="001E1CC0">
        <w:rPr>
          <w:rFonts w:ascii="Times New Roman" w:eastAsia="Cambria" w:hAnsi="Times New Roman" w:cs="Times New Roman"/>
        </w:rPr>
        <w:t xml:space="preserve">are statistically </w:t>
      </w:r>
      <w:r w:rsidR="00BF3E21">
        <w:rPr>
          <w:rFonts w:ascii="Times New Roman" w:eastAsia="Cambria" w:hAnsi="Times New Roman" w:cs="Times New Roman"/>
        </w:rPr>
        <w:t xml:space="preserve">equal to </w:t>
      </w:r>
      <w:r w:rsidR="001E1CC0">
        <w:rPr>
          <w:rFonts w:ascii="Times New Roman" w:eastAsia="Cambria" w:hAnsi="Times New Roman" w:cs="Times New Roman"/>
        </w:rPr>
        <w:t xml:space="preserve">each other.  </w:t>
      </w:r>
    </w:p>
    <w:p w14:paraId="272DF196" w14:textId="77777777" w:rsidR="00EB65C4" w:rsidRDefault="00EB65C4" w:rsidP="00D50FA4">
      <w:pPr>
        <w:jc w:val="both"/>
        <w:rPr>
          <w:rFonts w:ascii="Times New Roman" w:eastAsia="Cambria" w:hAnsi="Times New Roman" w:cs="Times New Roman"/>
        </w:rPr>
      </w:pPr>
    </w:p>
    <w:p w14:paraId="2899BCB1" w14:textId="77777777" w:rsidR="00674952" w:rsidRDefault="003F692D" w:rsidP="00AF701C">
      <w:pPr>
        <w:jc w:val="both"/>
        <w:rPr>
          <w:rFonts w:ascii="Times New Roman" w:eastAsia="Cambria" w:hAnsi="Times New Roman" w:cs="Times New Roman"/>
        </w:rPr>
      </w:pPr>
      <w:r>
        <w:rPr>
          <w:rFonts w:ascii="Times New Roman" w:eastAsia="Cambria" w:hAnsi="Times New Roman" w:cs="Times New Roman"/>
        </w:rPr>
        <w:t xml:space="preserve">While providing insights on the relationship between households' relative economic situation and their health expenditures, the results from table </w:t>
      </w:r>
      <w:r w:rsidR="00834F07">
        <w:rPr>
          <w:rFonts w:ascii="Times New Roman" w:eastAsia="Cambria" w:hAnsi="Times New Roman" w:cs="Times New Roman"/>
        </w:rPr>
        <w:t>7</w:t>
      </w:r>
      <w:r w:rsidR="00A947AE">
        <w:rPr>
          <w:rFonts w:ascii="Times New Roman" w:eastAsia="Cambria" w:hAnsi="Times New Roman" w:cs="Times New Roman"/>
        </w:rPr>
        <w:t xml:space="preserve"> </w:t>
      </w:r>
      <w:r>
        <w:rPr>
          <w:rFonts w:ascii="Times New Roman" w:eastAsia="Cambria" w:hAnsi="Times New Roman" w:cs="Times New Roman"/>
        </w:rPr>
        <w:t xml:space="preserve">do not </w:t>
      </w:r>
      <w:r w:rsidR="004D1498">
        <w:rPr>
          <w:rFonts w:ascii="Times New Roman" w:eastAsia="Cambria" w:hAnsi="Times New Roman" w:cs="Times New Roman"/>
        </w:rPr>
        <w:t>allow us to investigate</w:t>
      </w:r>
      <w:r>
        <w:rPr>
          <w:rFonts w:ascii="Times New Roman" w:eastAsia="Cambria" w:hAnsi="Times New Roman" w:cs="Times New Roman"/>
        </w:rPr>
        <w:t xml:space="preserve"> the evolution of such an association </w:t>
      </w:r>
      <w:r w:rsidR="004D1498">
        <w:rPr>
          <w:rFonts w:ascii="Times New Roman" w:eastAsia="Cambria" w:hAnsi="Times New Roman" w:cs="Times New Roman"/>
        </w:rPr>
        <w:t xml:space="preserve">as the concentration of income in the top </w:t>
      </w:r>
      <w:proofErr w:type="spellStart"/>
      <w:r w:rsidR="004D1498">
        <w:rPr>
          <w:rFonts w:ascii="Times New Roman" w:eastAsia="Cambria" w:hAnsi="Times New Roman" w:cs="Times New Roman"/>
        </w:rPr>
        <w:t>fractiles</w:t>
      </w:r>
      <w:proofErr w:type="spellEnd"/>
      <w:r w:rsidR="004D1498">
        <w:rPr>
          <w:rFonts w:ascii="Times New Roman" w:eastAsia="Cambria" w:hAnsi="Times New Roman" w:cs="Times New Roman"/>
        </w:rPr>
        <w:t xml:space="preserve"> increased</w:t>
      </w:r>
      <w:r>
        <w:rPr>
          <w:rFonts w:ascii="Times New Roman" w:eastAsia="Cambria" w:hAnsi="Times New Roman" w:cs="Times New Roman"/>
        </w:rPr>
        <w:t xml:space="preserve">. </w:t>
      </w:r>
      <w:r w:rsidR="004D1498">
        <w:rPr>
          <w:rFonts w:ascii="Times New Roman" w:eastAsia="Cambria" w:hAnsi="Times New Roman" w:cs="Times New Roman"/>
        </w:rPr>
        <w:t xml:space="preserve"> </w:t>
      </w:r>
      <w:r w:rsidR="00674952">
        <w:rPr>
          <w:rFonts w:ascii="Times New Roman" w:eastAsia="Cambria" w:hAnsi="Times New Roman" w:cs="Times New Roman"/>
        </w:rPr>
        <w:t>To address this question, w</w:t>
      </w:r>
      <w:r w:rsidR="001048C4">
        <w:rPr>
          <w:rFonts w:ascii="Times New Roman" w:eastAsia="Cambria" w:hAnsi="Times New Roman" w:cs="Times New Roman"/>
        </w:rPr>
        <w:t>e first look at unadjusted trends by mapping</w:t>
      </w:r>
      <w:r w:rsidR="004F6B72">
        <w:rPr>
          <w:rFonts w:ascii="Times New Roman" w:eastAsia="Cambria" w:hAnsi="Times New Roman" w:cs="Times New Roman"/>
        </w:rPr>
        <w:t xml:space="preserve"> </w:t>
      </w:r>
      <w:r w:rsidR="001048C4">
        <w:rPr>
          <w:rFonts w:ascii="Times New Roman" w:eastAsia="Cambria" w:hAnsi="Times New Roman" w:cs="Times New Roman"/>
        </w:rPr>
        <w:t xml:space="preserve">the evolution of health expenditures (in total and by category) for each income </w:t>
      </w:r>
      <w:proofErr w:type="spellStart"/>
      <w:r w:rsidR="001048C4">
        <w:rPr>
          <w:rFonts w:ascii="Times New Roman" w:eastAsia="Cambria" w:hAnsi="Times New Roman" w:cs="Times New Roman"/>
        </w:rPr>
        <w:t>fractile</w:t>
      </w:r>
      <w:proofErr w:type="spellEnd"/>
      <w:r w:rsidR="001048C4">
        <w:rPr>
          <w:rFonts w:ascii="Times New Roman" w:eastAsia="Cambria" w:hAnsi="Times New Roman" w:cs="Times New Roman"/>
        </w:rPr>
        <w:t xml:space="preserve"> between 1997 and 2009. For most outcomes, </w:t>
      </w:r>
      <w:r w:rsidR="00D31749">
        <w:rPr>
          <w:rFonts w:ascii="Times New Roman" w:eastAsia="Cambria" w:hAnsi="Times New Roman" w:cs="Times New Roman"/>
        </w:rPr>
        <w:t>an</w:t>
      </w:r>
      <w:r w:rsidR="001048C4">
        <w:rPr>
          <w:rFonts w:ascii="Times New Roman" w:eastAsia="Cambria" w:hAnsi="Times New Roman" w:cs="Times New Roman"/>
        </w:rPr>
        <w:t xml:space="preserve"> </w:t>
      </w:r>
      <w:r w:rsidR="001048C4">
        <w:rPr>
          <w:rFonts w:ascii="Times New Roman" w:eastAsia="Cambria" w:hAnsi="Times New Roman" w:cs="Times New Roman"/>
        </w:rPr>
        <w:lastRenderedPageBreak/>
        <w:t>increase in the gap between the amounts spent by</w:t>
      </w:r>
      <w:r w:rsidR="00E010BB">
        <w:rPr>
          <w:rFonts w:ascii="Times New Roman" w:eastAsia="Cambria" w:hAnsi="Times New Roman" w:cs="Times New Roman"/>
        </w:rPr>
        <w:t xml:space="preserve"> households in the</w:t>
      </w:r>
      <w:r w:rsidR="001048C4">
        <w:rPr>
          <w:rFonts w:ascii="Times New Roman" w:eastAsia="Cambria" w:hAnsi="Times New Roman" w:cs="Times New Roman"/>
        </w:rPr>
        <w:t xml:space="preserve"> top 10% income and those </w:t>
      </w:r>
      <w:r w:rsidR="00E010BB">
        <w:rPr>
          <w:rFonts w:ascii="Times New Roman" w:eastAsia="Cambria" w:hAnsi="Times New Roman" w:cs="Times New Roman"/>
        </w:rPr>
        <w:t>in</w:t>
      </w:r>
      <w:r w:rsidR="001048C4">
        <w:rPr>
          <w:rFonts w:ascii="Times New Roman" w:eastAsia="Cambria" w:hAnsi="Times New Roman" w:cs="Times New Roman"/>
        </w:rPr>
        <w:t xml:space="preserve"> lower</w:t>
      </w:r>
      <w:r w:rsidR="00674952">
        <w:rPr>
          <w:rFonts w:ascii="Times New Roman" w:eastAsia="Cambria" w:hAnsi="Times New Roman" w:cs="Times New Roman"/>
        </w:rPr>
        <w:t xml:space="preserve"> </w:t>
      </w:r>
      <w:proofErr w:type="spellStart"/>
      <w:r w:rsidR="00E010BB">
        <w:rPr>
          <w:rFonts w:ascii="Times New Roman" w:eastAsia="Cambria" w:hAnsi="Times New Roman" w:cs="Times New Roman"/>
        </w:rPr>
        <w:t>fractiles</w:t>
      </w:r>
      <w:proofErr w:type="spellEnd"/>
      <w:r w:rsidR="00674952">
        <w:rPr>
          <w:rFonts w:ascii="Times New Roman" w:eastAsia="Cambria" w:hAnsi="Times New Roman" w:cs="Times New Roman"/>
        </w:rPr>
        <w:t xml:space="preserve"> can be observed, especially for direct health care costs to households</w:t>
      </w:r>
      <w:r w:rsidR="00C25FCB">
        <w:rPr>
          <w:rFonts w:ascii="Times New Roman" w:eastAsia="Cambria" w:hAnsi="Times New Roman" w:cs="Times New Roman"/>
        </w:rPr>
        <w:t xml:space="preserve"> (figure </w:t>
      </w:r>
      <w:r w:rsidR="0034438E">
        <w:rPr>
          <w:rFonts w:ascii="Times New Roman" w:eastAsia="Cambria" w:hAnsi="Times New Roman" w:cs="Times New Roman"/>
        </w:rPr>
        <w:t>3</w:t>
      </w:r>
      <w:r w:rsidR="00312923">
        <w:rPr>
          <w:rFonts w:ascii="Times New Roman" w:eastAsia="Cambria" w:hAnsi="Times New Roman" w:cs="Times New Roman"/>
        </w:rPr>
        <w:t>)</w:t>
      </w:r>
      <w:r w:rsidR="00674952">
        <w:rPr>
          <w:rFonts w:ascii="Times New Roman" w:eastAsia="Cambria" w:hAnsi="Times New Roman" w:cs="Times New Roman"/>
        </w:rPr>
        <w:t xml:space="preserve"> and on expenditures going towards private health insurance plans</w:t>
      </w:r>
      <w:r w:rsidR="00C25FCB">
        <w:rPr>
          <w:rFonts w:ascii="Times New Roman" w:eastAsia="Cambria" w:hAnsi="Times New Roman" w:cs="Times New Roman"/>
        </w:rPr>
        <w:t xml:space="preserve"> (figure </w:t>
      </w:r>
      <w:r w:rsidR="0034438E">
        <w:rPr>
          <w:rFonts w:ascii="Times New Roman" w:eastAsia="Cambria" w:hAnsi="Times New Roman" w:cs="Times New Roman"/>
        </w:rPr>
        <w:t>4</w:t>
      </w:r>
      <w:r w:rsidR="003D2784">
        <w:rPr>
          <w:rFonts w:ascii="Times New Roman" w:eastAsia="Cambria" w:hAnsi="Times New Roman" w:cs="Times New Roman"/>
        </w:rPr>
        <w:t>)</w:t>
      </w:r>
      <w:r w:rsidR="00674952">
        <w:rPr>
          <w:rFonts w:ascii="Times New Roman" w:eastAsia="Cambria" w:hAnsi="Times New Roman" w:cs="Times New Roman"/>
        </w:rPr>
        <w:t>.</w:t>
      </w:r>
      <w:r w:rsidR="004827A4">
        <w:rPr>
          <w:rStyle w:val="FootnoteReference"/>
          <w:rFonts w:ascii="Times New Roman" w:eastAsia="Cambria" w:hAnsi="Times New Roman" w:cs="Times New Roman"/>
        </w:rPr>
        <w:footnoteReference w:id="20"/>
      </w:r>
      <w:r w:rsidR="00674952">
        <w:rPr>
          <w:rFonts w:ascii="Times New Roman" w:eastAsia="Cambria" w:hAnsi="Times New Roman" w:cs="Times New Roman"/>
        </w:rPr>
        <w:t xml:space="preserve"> </w:t>
      </w:r>
    </w:p>
    <w:p w14:paraId="2CE8AACB" w14:textId="77777777" w:rsidR="00674952" w:rsidRDefault="00674952" w:rsidP="00AF701C">
      <w:pPr>
        <w:jc w:val="both"/>
        <w:rPr>
          <w:rFonts w:ascii="Times New Roman" w:eastAsia="Cambria" w:hAnsi="Times New Roman" w:cs="Times New Roman"/>
        </w:rPr>
      </w:pPr>
    </w:p>
    <w:p w14:paraId="74ECF513" w14:textId="77777777" w:rsidR="00674952" w:rsidRDefault="00674952" w:rsidP="00AF701C">
      <w:pPr>
        <w:jc w:val="both"/>
        <w:rPr>
          <w:rFonts w:ascii="Times New Roman" w:eastAsia="Cambria" w:hAnsi="Times New Roman" w:cs="Times New Roman"/>
        </w:rPr>
      </w:pPr>
      <w:r>
        <w:rPr>
          <w:rFonts w:ascii="Times New Roman" w:eastAsia="Cambria" w:hAnsi="Times New Roman" w:cs="Times New Roman"/>
        </w:rPr>
        <w:t xml:space="preserve">We again turn to a regression framework to study the evolution of the expenditure gap between households in the top 10% of the income distribution and those in lower income </w:t>
      </w:r>
      <w:proofErr w:type="spellStart"/>
      <w:r>
        <w:rPr>
          <w:rFonts w:ascii="Times New Roman" w:eastAsia="Cambria" w:hAnsi="Times New Roman" w:cs="Times New Roman"/>
        </w:rPr>
        <w:t>fractiles</w:t>
      </w:r>
      <w:proofErr w:type="spellEnd"/>
      <w:r>
        <w:rPr>
          <w:rFonts w:ascii="Times New Roman" w:eastAsia="Cambria" w:hAnsi="Times New Roman" w:cs="Times New Roman"/>
        </w:rPr>
        <w:t xml:space="preserve"> using the specification corresponding to equation </w:t>
      </w:r>
      <w:r w:rsidR="001B1328">
        <w:rPr>
          <w:rFonts w:ascii="Times New Roman" w:eastAsia="Cambria" w:hAnsi="Times New Roman" w:cs="Times New Roman"/>
        </w:rPr>
        <w:t>(</w:t>
      </w:r>
      <w:r>
        <w:rPr>
          <w:rFonts w:ascii="Times New Roman" w:eastAsia="Cambria" w:hAnsi="Times New Roman" w:cs="Times New Roman"/>
        </w:rPr>
        <w:t>3</w:t>
      </w:r>
      <w:r w:rsidR="001B1328">
        <w:rPr>
          <w:rFonts w:ascii="Times New Roman" w:eastAsia="Cambria" w:hAnsi="Times New Roman" w:cs="Times New Roman"/>
        </w:rPr>
        <w:t>)</w:t>
      </w:r>
      <w:r>
        <w:rPr>
          <w:rFonts w:ascii="Times New Roman" w:eastAsia="Cambria" w:hAnsi="Times New Roman" w:cs="Times New Roman"/>
        </w:rPr>
        <w:t xml:space="preserve">. The estimating equation builds on equation </w:t>
      </w:r>
      <w:r w:rsidR="001B1328">
        <w:rPr>
          <w:rFonts w:ascii="Times New Roman" w:eastAsia="Cambria" w:hAnsi="Times New Roman" w:cs="Times New Roman"/>
        </w:rPr>
        <w:t>(</w:t>
      </w:r>
      <w:r>
        <w:rPr>
          <w:rFonts w:ascii="Times New Roman" w:eastAsia="Cambria" w:hAnsi="Times New Roman" w:cs="Times New Roman"/>
        </w:rPr>
        <w:t>2</w:t>
      </w:r>
      <w:r w:rsidR="001B1328">
        <w:rPr>
          <w:rFonts w:ascii="Times New Roman" w:eastAsia="Cambria" w:hAnsi="Times New Roman" w:cs="Times New Roman"/>
        </w:rPr>
        <w:t>)</w:t>
      </w:r>
      <w:r w:rsidR="00DD7E98">
        <w:rPr>
          <w:rFonts w:ascii="Times New Roman" w:eastAsia="Cambria" w:hAnsi="Times New Roman" w:cs="Times New Roman"/>
        </w:rPr>
        <w:t xml:space="preserve"> by adding </w:t>
      </w:r>
      <w:r>
        <w:rPr>
          <w:rFonts w:ascii="Times New Roman" w:eastAsia="Cambria" w:hAnsi="Times New Roman" w:cs="Times New Roman"/>
        </w:rPr>
        <w:t>a series of interaction</w:t>
      </w:r>
      <w:r w:rsidR="00E87F07">
        <w:rPr>
          <w:rFonts w:ascii="Times New Roman" w:eastAsia="Cambria" w:hAnsi="Times New Roman" w:cs="Times New Roman"/>
        </w:rPr>
        <w:t>s</w:t>
      </w:r>
      <w:r>
        <w:rPr>
          <w:rFonts w:ascii="Times New Roman" w:eastAsia="Cambria" w:hAnsi="Times New Roman" w:cs="Times New Roman"/>
        </w:rPr>
        <w:t xml:space="preserve"> between year effects and dummy variable</w:t>
      </w:r>
      <w:r w:rsidR="00FA1FE3">
        <w:rPr>
          <w:rFonts w:ascii="Times New Roman" w:eastAsia="Cambria" w:hAnsi="Times New Roman" w:cs="Times New Roman"/>
        </w:rPr>
        <w:t>s</w:t>
      </w:r>
      <w:r>
        <w:rPr>
          <w:rFonts w:ascii="Times New Roman" w:eastAsia="Cambria" w:hAnsi="Times New Roman" w:cs="Times New Roman"/>
        </w:rPr>
        <w:t xml:space="preserve"> indicating if a household is in the top 10%</w:t>
      </w:r>
      <w:r w:rsidR="00FA1FE3">
        <w:rPr>
          <w:rFonts w:ascii="Times New Roman" w:eastAsia="Cambria" w:hAnsi="Times New Roman" w:cs="Times New Roman"/>
        </w:rPr>
        <w:t>,between the 50</w:t>
      </w:r>
      <w:r w:rsidR="00FA1FE3" w:rsidRPr="00B76046">
        <w:rPr>
          <w:rFonts w:ascii="Times New Roman" w:eastAsia="Cambria" w:hAnsi="Times New Roman" w:cs="Times New Roman"/>
          <w:vertAlign w:val="superscript"/>
        </w:rPr>
        <w:t>th</w:t>
      </w:r>
      <w:r w:rsidR="00FA1FE3">
        <w:rPr>
          <w:rFonts w:ascii="Times New Roman" w:eastAsia="Cambria" w:hAnsi="Times New Roman" w:cs="Times New Roman"/>
        </w:rPr>
        <w:t xml:space="preserve"> and the 90</w:t>
      </w:r>
      <w:r w:rsidR="00FA1FE3" w:rsidRPr="00B76046">
        <w:rPr>
          <w:rFonts w:ascii="Times New Roman" w:eastAsia="Cambria" w:hAnsi="Times New Roman" w:cs="Times New Roman"/>
          <w:vertAlign w:val="superscript"/>
        </w:rPr>
        <w:t>th</w:t>
      </w:r>
      <w:r w:rsidR="00FA1FE3">
        <w:rPr>
          <w:rFonts w:ascii="Times New Roman" w:eastAsia="Cambria" w:hAnsi="Times New Roman" w:cs="Times New Roman"/>
        </w:rPr>
        <w:t xml:space="preserve"> percentiles or in the bottom 20%</w:t>
      </w:r>
      <w:r>
        <w:rPr>
          <w:rFonts w:ascii="Times New Roman" w:eastAsia="Cambria" w:hAnsi="Times New Roman" w:cs="Times New Roman"/>
        </w:rPr>
        <w:t xml:space="preserve">. </w:t>
      </w:r>
    </w:p>
    <w:p w14:paraId="4182D71C" w14:textId="77777777" w:rsidR="001048C4" w:rsidRDefault="001048C4" w:rsidP="00AF701C">
      <w:pPr>
        <w:jc w:val="both"/>
        <w:rPr>
          <w:rFonts w:ascii="Times New Roman" w:hAnsi="Times New Roman"/>
          <w:b/>
        </w:rPr>
      </w:pPr>
    </w:p>
    <w:p w14:paraId="538314BA" w14:textId="77777777" w:rsidR="001048C4" w:rsidRPr="001048C4" w:rsidRDefault="001048C4" w:rsidP="0010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Times New Roman"/>
          <w:i/>
          <w:color w:val="000000"/>
          <w:sz w:val="23"/>
        </w:rPr>
      </w:pPr>
      <w:r w:rsidRPr="00B76046">
        <w:rPr>
          <w:rFonts w:ascii="Times New Roman" w:eastAsia="Cambria" w:hAnsi="Times New Roman" w:cs="Menlo Regular"/>
          <w:i/>
          <w:color w:val="000000"/>
          <w:sz w:val="22"/>
          <w:szCs w:val="22"/>
        </w:rPr>
        <w:t xml:space="preserve">Health </w:t>
      </w:r>
      <w:proofErr w:type="spellStart"/>
      <w:r w:rsidRPr="00B76046">
        <w:rPr>
          <w:rFonts w:ascii="Times New Roman" w:eastAsia="Cambria" w:hAnsi="Times New Roman" w:cs="Menlo Regular"/>
          <w:i/>
          <w:color w:val="000000"/>
          <w:sz w:val="22"/>
          <w:szCs w:val="22"/>
        </w:rPr>
        <w:t>Expenditure</w:t>
      </w:r>
      <w:r w:rsidRPr="00B76046">
        <w:rPr>
          <w:rFonts w:ascii="Times New Roman" w:eastAsia="Cambria" w:hAnsi="Times New Roman" w:cs="Menlo Regular"/>
          <w:i/>
          <w:color w:val="000000"/>
          <w:sz w:val="22"/>
          <w:szCs w:val="22"/>
          <w:vertAlign w:val="subscript"/>
        </w:rPr>
        <w:t>ipt</w:t>
      </w:r>
      <w:proofErr w:type="spellEnd"/>
      <w:r w:rsidRPr="00B76046">
        <w:rPr>
          <w:rFonts w:ascii="Times New Roman" w:eastAsia="Cambria" w:hAnsi="Times New Roman" w:cs="Menlo Regular"/>
          <w:i/>
          <w:color w:val="000000"/>
          <w:sz w:val="22"/>
          <w:szCs w:val="22"/>
        </w:rPr>
        <w:t xml:space="preserve"> = </w:t>
      </w:r>
      <w:r w:rsidRPr="00B76046">
        <w:rPr>
          <w:rFonts w:ascii="Times New Roman" w:eastAsia="Cambria" w:hAnsi="Times New Roman" w:cs="Times New Roman"/>
          <w:i/>
          <w:color w:val="000000"/>
          <w:sz w:val="22"/>
          <w:szCs w:val="22"/>
        </w:rPr>
        <w:sym w:font="Symbol" w:char="F061"/>
      </w:r>
      <w:r w:rsidRPr="00B76046">
        <w:rPr>
          <w:rFonts w:ascii="Times New Roman" w:eastAsia="Cambria" w:hAnsi="Times New Roman" w:cs="Times New Roman"/>
          <w:i/>
          <w:color w:val="000000"/>
          <w:sz w:val="22"/>
          <w:szCs w:val="22"/>
        </w:rPr>
        <w:t xml:space="preserve"> + Income </w:t>
      </w:r>
      <w:proofErr w:type="spellStart"/>
      <w:r w:rsidRPr="00B76046">
        <w:rPr>
          <w:rFonts w:ascii="Times New Roman" w:eastAsia="Cambria" w:hAnsi="Times New Roman" w:cs="Times New Roman"/>
          <w:i/>
          <w:color w:val="000000"/>
          <w:sz w:val="22"/>
          <w:szCs w:val="22"/>
        </w:rPr>
        <w:t>Fractile'</w:t>
      </w:r>
      <w:r w:rsidRPr="00B76046">
        <w:rPr>
          <w:rFonts w:ascii="Times New Roman" w:eastAsia="Cambria" w:hAnsi="Times New Roman" w:cs="Times New Roman"/>
          <w:i/>
          <w:color w:val="000000"/>
          <w:sz w:val="22"/>
          <w:szCs w:val="22"/>
          <w:vertAlign w:val="subscript"/>
        </w:rPr>
        <w:t>ipt</w:t>
      </w:r>
      <w:proofErr w:type="spellEnd"/>
      <w:r w:rsidRPr="00B76046">
        <w:rPr>
          <w:rFonts w:ascii="Times New Roman" w:eastAsia="Cambria" w:hAnsi="Times New Roman" w:cs="Times New Roman"/>
          <w:i/>
          <w:color w:val="000000"/>
          <w:sz w:val="22"/>
          <w:szCs w:val="22"/>
          <w:vertAlign w:val="subscript"/>
        </w:rPr>
        <w:t xml:space="preserve"> </w:t>
      </w:r>
      <w:r w:rsidRPr="00B76046">
        <w:rPr>
          <w:rFonts w:ascii="Times New Roman" w:eastAsia="Cambria" w:hAnsi="Times New Roman" w:cs="Times New Roman"/>
          <w:i/>
          <w:color w:val="000000"/>
          <w:sz w:val="22"/>
          <w:szCs w:val="22"/>
        </w:rPr>
        <w:sym w:font="Symbol" w:char="F062"/>
      </w:r>
      <w:r w:rsidRPr="00B76046">
        <w:rPr>
          <w:rFonts w:ascii="Times New Roman" w:eastAsia="Cambria" w:hAnsi="Times New Roman" w:cs="Times New Roman"/>
          <w:i/>
          <w:color w:val="000000"/>
          <w:sz w:val="22"/>
          <w:szCs w:val="22"/>
        </w:rPr>
        <w:t xml:space="preserve"> + (</w:t>
      </w:r>
      <w:r w:rsidR="00FA1FE3" w:rsidRPr="00B76046">
        <w:rPr>
          <w:rFonts w:ascii="Times New Roman" w:eastAsia="Cambria" w:hAnsi="Times New Roman" w:cs="Times New Roman"/>
          <w:i/>
          <w:color w:val="000000"/>
          <w:sz w:val="22"/>
          <w:szCs w:val="22"/>
        </w:rPr>
        <w:t xml:space="preserve">Income </w:t>
      </w:r>
      <w:proofErr w:type="spellStart"/>
      <w:r w:rsidR="00FA1FE3" w:rsidRPr="00B76046">
        <w:rPr>
          <w:rFonts w:ascii="Times New Roman" w:eastAsia="Cambria" w:hAnsi="Times New Roman" w:cs="Times New Roman"/>
          <w:i/>
          <w:color w:val="000000"/>
          <w:sz w:val="22"/>
          <w:szCs w:val="22"/>
        </w:rPr>
        <w:t>Fractile</w:t>
      </w:r>
      <w:proofErr w:type="spellEnd"/>
      <w:r w:rsidR="00FA1FE3" w:rsidRPr="00B76046">
        <w:rPr>
          <w:rFonts w:ascii="Times New Roman" w:eastAsia="Cambria" w:hAnsi="Times New Roman" w:cs="Times New Roman"/>
          <w:i/>
          <w:color w:val="000000"/>
          <w:sz w:val="22"/>
          <w:szCs w:val="22"/>
        </w:rPr>
        <w:t xml:space="preserve"> </w:t>
      </w:r>
      <w:proofErr w:type="spellStart"/>
      <w:r w:rsidRPr="00B76046">
        <w:rPr>
          <w:rFonts w:ascii="Times New Roman" w:eastAsia="Cambria" w:hAnsi="Times New Roman" w:cs="Times New Roman"/>
          <w:i/>
          <w:color w:val="000000"/>
          <w:sz w:val="22"/>
          <w:szCs w:val="22"/>
          <w:vertAlign w:val="subscript"/>
        </w:rPr>
        <w:t>ipt</w:t>
      </w:r>
      <w:proofErr w:type="spellEnd"/>
      <w:r w:rsidRPr="00B76046">
        <w:rPr>
          <w:rFonts w:ascii="Times New Roman" w:eastAsia="Cambria" w:hAnsi="Times New Roman" w:cs="Times New Roman"/>
          <w:i/>
          <w:color w:val="000000"/>
          <w:sz w:val="22"/>
          <w:szCs w:val="22"/>
        </w:rPr>
        <w:t xml:space="preserve"> * µ'</w:t>
      </w:r>
      <w:r w:rsidRPr="00B76046">
        <w:rPr>
          <w:rFonts w:ascii="Times New Roman" w:eastAsia="Cambria" w:hAnsi="Times New Roman" w:cs="Times New Roman"/>
          <w:i/>
          <w:color w:val="000000"/>
          <w:sz w:val="22"/>
          <w:szCs w:val="22"/>
          <w:vertAlign w:val="subscript"/>
        </w:rPr>
        <w:t>t</w:t>
      </w:r>
      <w:r w:rsidRPr="00B76046">
        <w:rPr>
          <w:rFonts w:ascii="Times New Roman" w:eastAsia="Cambria" w:hAnsi="Times New Roman" w:cs="Times New Roman"/>
          <w:i/>
          <w:color w:val="000000"/>
          <w:sz w:val="22"/>
          <w:szCs w:val="22"/>
        </w:rPr>
        <w:t>)</w:t>
      </w:r>
      <w:r w:rsidRPr="00B76046">
        <w:rPr>
          <w:rFonts w:ascii="Times New Roman" w:eastAsia="Cambria" w:hAnsi="Times New Roman" w:cs="Times New Roman"/>
          <w:i/>
          <w:color w:val="000000"/>
          <w:sz w:val="22"/>
          <w:szCs w:val="22"/>
          <w:vertAlign w:val="subscript"/>
        </w:rPr>
        <w:t xml:space="preserve"> </w:t>
      </w:r>
      <w:r w:rsidRPr="00B76046">
        <w:rPr>
          <w:rFonts w:ascii="Times New Roman" w:eastAsia="Cambria" w:hAnsi="Times New Roman" w:cs="Times New Roman"/>
          <w:i/>
          <w:color w:val="000000"/>
          <w:sz w:val="22"/>
          <w:szCs w:val="22"/>
        </w:rPr>
        <w:t xml:space="preserve">π+ </w:t>
      </w:r>
      <w:proofErr w:type="spellStart"/>
      <w:r w:rsidRPr="00B76046">
        <w:rPr>
          <w:rFonts w:ascii="Times New Roman" w:eastAsia="Cambria" w:hAnsi="Times New Roman" w:cs="Times New Roman"/>
          <w:i/>
          <w:color w:val="000000"/>
          <w:sz w:val="22"/>
          <w:szCs w:val="22"/>
        </w:rPr>
        <w:t>X'</w:t>
      </w:r>
      <w:r w:rsidRPr="00B76046">
        <w:rPr>
          <w:rFonts w:ascii="Times New Roman" w:eastAsia="Cambria" w:hAnsi="Times New Roman" w:cs="Times New Roman"/>
          <w:i/>
          <w:color w:val="000000"/>
          <w:sz w:val="22"/>
          <w:szCs w:val="22"/>
          <w:vertAlign w:val="subscript"/>
        </w:rPr>
        <w:t>ipt</w:t>
      </w:r>
      <w:proofErr w:type="spellEnd"/>
      <w:r w:rsidRPr="00B76046">
        <w:rPr>
          <w:rFonts w:ascii="Times New Roman" w:eastAsia="Cambria" w:hAnsi="Times New Roman" w:cs="Times New Roman"/>
          <w:i/>
          <w:color w:val="000000"/>
          <w:sz w:val="22"/>
          <w:szCs w:val="22"/>
          <w:vertAlign w:val="subscript"/>
        </w:rPr>
        <w:t xml:space="preserve"> </w:t>
      </w:r>
      <w:r w:rsidRPr="00B76046">
        <w:rPr>
          <w:rFonts w:ascii="Times New Roman" w:eastAsia="Cambria" w:hAnsi="Times New Roman" w:cs="Times New Roman"/>
          <w:i/>
          <w:color w:val="000000"/>
          <w:sz w:val="22"/>
          <w:szCs w:val="22"/>
        </w:rPr>
        <w:t xml:space="preserve">∂ + </w:t>
      </w:r>
      <w:r w:rsidRPr="00B76046">
        <w:rPr>
          <w:rFonts w:ascii="Times New Roman" w:eastAsia="Cambria" w:hAnsi="Times New Roman" w:cs="Times New Roman"/>
          <w:i/>
          <w:color w:val="000000"/>
          <w:sz w:val="22"/>
          <w:szCs w:val="22"/>
        </w:rPr>
        <w:sym w:font="Symbol" w:char="F066"/>
      </w:r>
      <w:r w:rsidRPr="00B76046">
        <w:rPr>
          <w:rFonts w:ascii="Times New Roman" w:eastAsia="Cambria" w:hAnsi="Times New Roman" w:cs="Times New Roman"/>
          <w:i/>
          <w:color w:val="000000"/>
          <w:sz w:val="22"/>
          <w:szCs w:val="22"/>
          <w:vertAlign w:val="subscript"/>
        </w:rPr>
        <w:t>p</w:t>
      </w:r>
      <w:r w:rsidRPr="00B76046">
        <w:rPr>
          <w:rFonts w:ascii="Times New Roman" w:eastAsia="Cambria" w:hAnsi="Times New Roman" w:cs="Times New Roman"/>
          <w:i/>
          <w:color w:val="000000"/>
          <w:sz w:val="22"/>
          <w:szCs w:val="22"/>
        </w:rPr>
        <w:t xml:space="preserve"> + µ</w:t>
      </w:r>
      <w:r w:rsidRPr="00B76046">
        <w:rPr>
          <w:rFonts w:ascii="Times New Roman" w:eastAsia="Cambria" w:hAnsi="Times New Roman" w:cs="Times New Roman"/>
          <w:i/>
          <w:color w:val="000000"/>
          <w:sz w:val="22"/>
          <w:szCs w:val="22"/>
          <w:vertAlign w:val="subscript"/>
        </w:rPr>
        <w:t>t</w:t>
      </w:r>
      <w:r w:rsidRPr="00B76046">
        <w:rPr>
          <w:rFonts w:ascii="Times New Roman" w:eastAsia="Cambria" w:hAnsi="Times New Roman" w:cs="Times New Roman"/>
          <w:i/>
          <w:color w:val="000000"/>
          <w:sz w:val="22"/>
          <w:szCs w:val="22"/>
        </w:rPr>
        <w:t xml:space="preserve"> + </w:t>
      </w:r>
      <w:r w:rsidRPr="00B76046">
        <w:rPr>
          <w:rFonts w:ascii="Times New Roman" w:eastAsia="Cambria" w:hAnsi="Times New Roman" w:cs="Times New Roman"/>
          <w:i/>
          <w:color w:val="000000"/>
          <w:sz w:val="22"/>
          <w:szCs w:val="22"/>
        </w:rPr>
        <w:sym w:font="Symbol" w:char="F065"/>
      </w:r>
      <w:proofErr w:type="spellStart"/>
      <w:r w:rsidRPr="00B76046">
        <w:rPr>
          <w:rFonts w:ascii="Times New Roman" w:eastAsia="Cambria" w:hAnsi="Times New Roman" w:cs="Times New Roman"/>
          <w:i/>
          <w:color w:val="000000"/>
          <w:sz w:val="22"/>
          <w:szCs w:val="22"/>
          <w:vertAlign w:val="subscript"/>
        </w:rPr>
        <w:t>ct</w:t>
      </w:r>
      <w:proofErr w:type="spellEnd"/>
      <w:r w:rsidRPr="001048C4">
        <w:rPr>
          <w:rFonts w:ascii="Times New Roman" w:eastAsia="Cambria" w:hAnsi="Times New Roman" w:cs="Times New Roman"/>
          <w:i/>
          <w:color w:val="000000"/>
          <w:sz w:val="23"/>
        </w:rPr>
        <w:t xml:space="preserve">  </w:t>
      </w:r>
      <w:r>
        <w:rPr>
          <w:rFonts w:ascii="Times New Roman" w:eastAsia="Cambria" w:hAnsi="Times New Roman" w:cs="Times New Roman"/>
          <w:i/>
          <w:color w:val="000000"/>
          <w:sz w:val="23"/>
        </w:rPr>
        <w:t xml:space="preserve">       </w:t>
      </w:r>
      <w:r w:rsidRPr="001048C4">
        <w:rPr>
          <w:rFonts w:ascii="Times New Roman" w:eastAsia="Cambria" w:hAnsi="Times New Roman" w:cs="Times New Roman"/>
          <w:color w:val="000000"/>
          <w:sz w:val="23"/>
        </w:rPr>
        <w:t>(3)</w:t>
      </w:r>
    </w:p>
    <w:p w14:paraId="66BF0F51" w14:textId="77777777" w:rsidR="00233997" w:rsidRDefault="00233997" w:rsidP="003F692D">
      <w:pPr>
        <w:jc w:val="both"/>
        <w:rPr>
          <w:rFonts w:ascii="Times New Roman" w:hAnsi="Times New Roman"/>
          <w:b/>
        </w:rPr>
      </w:pPr>
    </w:p>
    <w:p w14:paraId="4ABB77E8" w14:textId="473EFFDB" w:rsidR="004D1498" w:rsidRPr="007066E0" w:rsidRDefault="00674952" w:rsidP="003F692D">
      <w:pPr>
        <w:jc w:val="both"/>
        <w:rPr>
          <w:rFonts w:ascii="Times New Roman" w:hAnsi="Times New Roman"/>
          <w:lang w:val="en-US"/>
        </w:rPr>
      </w:pPr>
      <w:r>
        <w:rPr>
          <w:rFonts w:ascii="Times New Roman" w:hAnsi="Times New Roman"/>
        </w:rPr>
        <w:t>Th</w:t>
      </w:r>
      <w:r w:rsidR="002A07E9">
        <w:rPr>
          <w:rFonts w:ascii="Times New Roman" w:hAnsi="Times New Roman"/>
        </w:rPr>
        <w:t xml:space="preserve">e results presented in table </w:t>
      </w:r>
      <w:r w:rsidR="004D5D27">
        <w:rPr>
          <w:rFonts w:ascii="Times New Roman" w:hAnsi="Times New Roman"/>
        </w:rPr>
        <w:t>8</w:t>
      </w:r>
      <w:r w:rsidRPr="008A6630">
        <w:rPr>
          <w:rFonts w:ascii="Times New Roman" w:hAnsi="Times New Roman"/>
        </w:rPr>
        <w:t xml:space="preserve"> </w:t>
      </w:r>
      <w:r>
        <w:rPr>
          <w:rFonts w:ascii="Times New Roman" w:hAnsi="Times New Roman"/>
        </w:rPr>
        <w:t>confirm such dynamics</w:t>
      </w:r>
      <w:r w:rsidR="00E87F07">
        <w:rPr>
          <w:rFonts w:ascii="Times New Roman" w:hAnsi="Times New Roman"/>
        </w:rPr>
        <w:t xml:space="preserve"> for total</w:t>
      </w:r>
      <w:r w:rsidR="00BB6A57">
        <w:rPr>
          <w:rFonts w:ascii="Times New Roman" w:hAnsi="Times New Roman"/>
        </w:rPr>
        <w:t xml:space="preserve"> and direct</w:t>
      </w:r>
      <w:r w:rsidR="00E87F07">
        <w:rPr>
          <w:rFonts w:ascii="Times New Roman" w:hAnsi="Times New Roman"/>
        </w:rPr>
        <w:t xml:space="preserve"> health expenditure</w:t>
      </w:r>
      <w:r w:rsidR="000B77BB">
        <w:rPr>
          <w:rFonts w:ascii="Times New Roman" w:hAnsi="Times New Roman"/>
        </w:rPr>
        <w:t>. For those</w:t>
      </w:r>
      <w:r>
        <w:rPr>
          <w:rFonts w:ascii="Times New Roman" w:hAnsi="Times New Roman"/>
        </w:rPr>
        <w:t xml:space="preserve"> outcomes</w:t>
      </w:r>
      <w:r w:rsidR="000B77BB">
        <w:rPr>
          <w:rFonts w:ascii="Times New Roman" w:hAnsi="Times New Roman"/>
        </w:rPr>
        <w:t xml:space="preserve">, the coefficient on the </w:t>
      </w:r>
      <w:r w:rsidR="00980541">
        <w:rPr>
          <w:rFonts w:ascii="Times New Roman" w:hAnsi="Times New Roman"/>
        </w:rPr>
        <w:t xml:space="preserve">top 10% </w:t>
      </w:r>
      <w:proofErr w:type="spellStart"/>
      <w:r w:rsidR="00980541">
        <w:rPr>
          <w:rFonts w:ascii="Times New Roman" w:hAnsi="Times New Roman"/>
        </w:rPr>
        <w:t>fractile</w:t>
      </w:r>
      <w:proofErr w:type="spellEnd"/>
      <w:r w:rsidR="000B77BB">
        <w:rPr>
          <w:rFonts w:ascii="Times New Roman" w:hAnsi="Times New Roman"/>
        </w:rPr>
        <w:t xml:space="preserve"> remain</w:t>
      </w:r>
      <w:r w:rsidR="001A35DA">
        <w:rPr>
          <w:rFonts w:ascii="Times New Roman" w:hAnsi="Times New Roman"/>
        </w:rPr>
        <w:t>s</w:t>
      </w:r>
      <w:r w:rsidR="000B77BB">
        <w:rPr>
          <w:rFonts w:ascii="Times New Roman" w:hAnsi="Times New Roman"/>
        </w:rPr>
        <w:t xml:space="preserve"> positive</w:t>
      </w:r>
      <w:r w:rsidR="00FA1FE3">
        <w:rPr>
          <w:rStyle w:val="FootnoteReference"/>
          <w:rFonts w:ascii="Times New Roman" w:hAnsi="Times New Roman"/>
        </w:rPr>
        <w:footnoteReference w:id="21"/>
      </w:r>
      <w:r w:rsidR="000B77BB">
        <w:rPr>
          <w:rFonts w:ascii="Times New Roman" w:hAnsi="Times New Roman"/>
        </w:rPr>
        <w:t xml:space="preserve"> and the coefficients on </w:t>
      </w:r>
      <w:r w:rsidR="00980541">
        <w:rPr>
          <w:rFonts w:ascii="Times New Roman" w:hAnsi="Times New Roman"/>
        </w:rPr>
        <w:t>its</w:t>
      </w:r>
      <w:r w:rsidR="000B77BB">
        <w:rPr>
          <w:rFonts w:ascii="Times New Roman" w:hAnsi="Times New Roman"/>
        </w:rPr>
        <w:t xml:space="preserve"> </w:t>
      </w:r>
      <w:r w:rsidR="00980541">
        <w:rPr>
          <w:rFonts w:ascii="Times New Roman" w:hAnsi="Times New Roman"/>
        </w:rPr>
        <w:t xml:space="preserve">interaction with the </w:t>
      </w:r>
      <w:r w:rsidR="006E34BA">
        <w:rPr>
          <w:rFonts w:ascii="Times New Roman" w:hAnsi="Times New Roman"/>
        </w:rPr>
        <w:t xml:space="preserve">year effects </w:t>
      </w:r>
      <w:r w:rsidR="000B77BB">
        <w:rPr>
          <w:rFonts w:ascii="Times New Roman" w:hAnsi="Times New Roman"/>
        </w:rPr>
        <w:t xml:space="preserve">are generally increasing, and </w:t>
      </w:r>
      <w:r w:rsidR="004D5D27" w:rsidRPr="004D5D27">
        <w:rPr>
          <w:rFonts w:ascii="Times New Roman" w:hAnsi="Times New Roman"/>
        </w:rPr>
        <w:t>m</w:t>
      </w:r>
      <w:r w:rsidR="00FA1FE3">
        <w:rPr>
          <w:rFonts w:ascii="Times New Roman" w:hAnsi="Times New Roman"/>
        </w:rPr>
        <w:t>ostly</w:t>
      </w:r>
      <w:r w:rsidR="0000703F">
        <w:rPr>
          <w:rFonts w:ascii="Times New Roman" w:hAnsi="Times New Roman"/>
        </w:rPr>
        <w:t xml:space="preserve"> </w:t>
      </w:r>
      <w:r w:rsidR="000B77BB">
        <w:rPr>
          <w:rFonts w:ascii="Times New Roman" w:hAnsi="Times New Roman"/>
        </w:rPr>
        <w:t xml:space="preserve">statistically significant from 2003 onwards. </w:t>
      </w:r>
      <w:r w:rsidR="00DC21C2">
        <w:rPr>
          <w:rFonts w:ascii="Times New Roman" w:hAnsi="Times New Roman"/>
        </w:rPr>
        <w:t>We note that the increase in the coefficient on the interaction term in 2003 coincides with an increase in the average household income of the top 10% relative to the bottom 90% (see figure 5).</w:t>
      </w:r>
      <w:r w:rsidR="00F72AC1">
        <w:rPr>
          <w:rFonts w:ascii="Times New Roman" w:hAnsi="Times New Roman"/>
          <w:lang w:val="en-US"/>
        </w:rPr>
        <w:t xml:space="preserve"> </w:t>
      </w:r>
      <w:r w:rsidR="00DC21C2">
        <w:rPr>
          <w:rFonts w:ascii="Times New Roman" w:hAnsi="Times New Roman"/>
        </w:rPr>
        <w:t>Although the pattern is less salient, the interaction terms estimated</w:t>
      </w:r>
      <w:r w:rsidR="00E87F07">
        <w:rPr>
          <w:rFonts w:ascii="Times New Roman" w:hAnsi="Times New Roman"/>
        </w:rPr>
        <w:t xml:space="preserve"> when considering expenditure</w:t>
      </w:r>
      <w:r w:rsidR="000B77BB">
        <w:rPr>
          <w:rFonts w:ascii="Times New Roman" w:hAnsi="Times New Roman"/>
        </w:rPr>
        <w:t xml:space="preserve"> on private health insurance premiums</w:t>
      </w:r>
      <w:r w:rsidR="00DC21C2">
        <w:rPr>
          <w:rFonts w:ascii="Times New Roman" w:hAnsi="Times New Roman"/>
        </w:rPr>
        <w:t xml:space="preserve"> </w:t>
      </w:r>
      <w:r w:rsidR="00430A73">
        <w:rPr>
          <w:rFonts w:ascii="Times New Roman" w:hAnsi="Times New Roman"/>
        </w:rPr>
        <w:t>are</w:t>
      </w:r>
      <w:r w:rsidR="00DC21C2">
        <w:rPr>
          <w:rFonts w:ascii="Times New Roman" w:hAnsi="Times New Roman"/>
        </w:rPr>
        <w:t xml:space="preserve"> </w:t>
      </w:r>
      <w:r w:rsidR="004D1498">
        <w:rPr>
          <w:rFonts w:ascii="Times New Roman" w:hAnsi="Times New Roman"/>
        </w:rPr>
        <w:t xml:space="preserve">consistent with our hypothesis of greater reliance on private health insurance and care among the top income earners as the gap between this group and the rest of the population increases. </w:t>
      </w:r>
      <w:r w:rsidR="00F72AC1">
        <w:rPr>
          <w:rFonts w:ascii="Times New Roman" w:hAnsi="Times New Roman"/>
        </w:rPr>
        <w:t>We note that for these three categories of expenditure, the interaction terms between year effects and the 50-90</w:t>
      </w:r>
      <w:r w:rsidR="00F72AC1" w:rsidRPr="00525751">
        <w:rPr>
          <w:rFonts w:ascii="Times New Roman" w:hAnsi="Times New Roman"/>
          <w:vertAlign w:val="superscript"/>
        </w:rPr>
        <w:t>th</w:t>
      </w:r>
      <w:r w:rsidR="00F72AC1">
        <w:rPr>
          <w:rFonts w:ascii="Times New Roman" w:hAnsi="Times New Roman"/>
        </w:rPr>
        <w:t xml:space="preserve"> percentile (not presented in the table for ease of exposition) are also mostly positive, but much smaller in magnitude, mostly </w:t>
      </w:r>
      <w:r w:rsidR="00430A73">
        <w:rPr>
          <w:rFonts w:ascii="Times New Roman" w:hAnsi="Times New Roman"/>
        </w:rPr>
        <w:t>neither</w:t>
      </w:r>
      <w:r w:rsidR="00F72AC1">
        <w:rPr>
          <w:rFonts w:ascii="Times New Roman" w:hAnsi="Times New Roman"/>
        </w:rPr>
        <w:t xml:space="preserve"> statistically significant nor monotonically increasing</w:t>
      </w:r>
      <w:r w:rsidR="00933CC4">
        <w:rPr>
          <w:rFonts w:ascii="Times New Roman" w:hAnsi="Times New Roman"/>
        </w:rPr>
        <w:t>.</w:t>
      </w:r>
    </w:p>
    <w:p w14:paraId="14F3E530" w14:textId="77777777" w:rsidR="004D1498" w:rsidRDefault="004D1498" w:rsidP="003F692D">
      <w:pPr>
        <w:jc w:val="both"/>
        <w:rPr>
          <w:rFonts w:ascii="Times New Roman" w:hAnsi="Times New Roman"/>
        </w:rPr>
      </w:pPr>
    </w:p>
    <w:p w14:paraId="6BAC171C" w14:textId="32CA2318" w:rsidR="002A07E9" w:rsidRDefault="00037AA6" w:rsidP="00631B57">
      <w:pPr>
        <w:jc w:val="both"/>
        <w:rPr>
          <w:rFonts w:ascii="Times New Roman" w:hAnsi="Times New Roman"/>
        </w:rPr>
      </w:pPr>
      <w:r>
        <w:rPr>
          <w:rFonts w:ascii="Times New Roman" w:hAnsi="Times New Roman"/>
        </w:rPr>
        <w:t>When considering expenditures on hospitals and physician care (columns 5 and 6), t</w:t>
      </w:r>
      <w:r w:rsidR="005B5FA3">
        <w:rPr>
          <w:rFonts w:ascii="Times New Roman" w:hAnsi="Times New Roman"/>
        </w:rPr>
        <w:t xml:space="preserve">he inclusion of interaction terms </w:t>
      </w:r>
      <w:r w:rsidR="00E0103E">
        <w:rPr>
          <w:rFonts w:ascii="Times New Roman" w:hAnsi="Times New Roman"/>
        </w:rPr>
        <w:t>slightly decrease</w:t>
      </w:r>
      <w:r w:rsidR="00933CC4">
        <w:rPr>
          <w:rFonts w:ascii="Times New Roman" w:hAnsi="Times New Roman"/>
        </w:rPr>
        <w:t>s</w:t>
      </w:r>
      <w:r w:rsidR="00E0103E">
        <w:rPr>
          <w:rFonts w:ascii="Times New Roman" w:hAnsi="Times New Roman"/>
        </w:rPr>
        <w:t xml:space="preserve"> the size of the</w:t>
      </w:r>
      <w:r w:rsidR="005B5FA3">
        <w:rPr>
          <w:rFonts w:ascii="Times New Roman" w:hAnsi="Times New Roman"/>
        </w:rPr>
        <w:t xml:space="preserve"> coefficients </w:t>
      </w:r>
      <w:r w:rsidR="000E3CB4">
        <w:rPr>
          <w:rFonts w:ascii="Times New Roman" w:hAnsi="Times New Roman"/>
        </w:rPr>
        <w:t>on the</w:t>
      </w:r>
      <w:r w:rsidR="00E0103E">
        <w:rPr>
          <w:rFonts w:ascii="Times New Roman" w:hAnsi="Times New Roman"/>
        </w:rPr>
        <w:t xml:space="preserve"> income </w:t>
      </w:r>
      <w:proofErr w:type="spellStart"/>
      <w:r w:rsidR="00E0103E">
        <w:rPr>
          <w:rFonts w:ascii="Times New Roman" w:hAnsi="Times New Roman"/>
        </w:rPr>
        <w:t>fractiles</w:t>
      </w:r>
      <w:proofErr w:type="spellEnd"/>
      <w:r>
        <w:rPr>
          <w:rFonts w:ascii="Times New Roman" w:hAnsi="Times New Roman"/>
        </w:rPr>
        <w:t>, which also mostly lose their statistical significance</w:t>
      </w:r>
      <w:r w:rsidR="00755F0C">
        <w:rPr>
          <w:rFonts w:ascii="Times New Roman" w:hAnsi="Times New Roman"/>
        </w:rPr>
        <w:t xml:space="preserve">. The same is true of the interaction terms between income </w:t>
      </w:r>
      <w:proofErr w:type="spellStart"/>
      <w:r w:rsidR="00755F0C">
        <w:rPr>
          <w:rFonts w:ascii="Times New Roman" w:hAnsi="Times New Roman"/>
        </w:rPr>
        <w:t>fractile</w:t>
      </w:r>
      <w:proofErr w:type="spellEnd"/>
      <w:r w:rsidR="00755F0C">
        <w:rPr>
          <w:rFonts w:ascii="Times New Roman" w:hAnsi="Times New Roman"/>
        </w:rPr>
        <w:t xml:space="preserve"> and year</w:t>
      </w:r>
      <w:r w:rsidR="005B5FA3">
        <w:rPr>
          <w:rFonts w:ascii="Times New Roman" w:hAnsi="Times New Roman"/>
        </w:rPr>
        <w:t xml:space="preserve">. </w:t>
      </w:r>
      <w:r w:rsidR="000B77BB">
        <w:rPr>
          <w:rFonts w:ascii="Times New Roman" w:hAnsi="Times New Roman"/>
        </w:rPr>
        <w:t>Turning to prescription drug expenditure</w:t>
      </w:r>
      <w:r w:rsidR="00C31D78">
        <w:rPr>
          <w:rFonts w:ascii="Times New Roman" w:hAnsi="Times New Roman"/>
        </w:rPr>
        <w:t xml:space="preserve"> (column 3)</w:t>
      </w:r>
      <w:r w:rsidR="000B77BB">
        <w:rPr>
          <w:rFonts w:ascii="Times New Roman" w:hAnsi="Times New Roman"/>
        </w:rPr>
        <w:t xml:space="preserve">, </w:t>
      </w:r>
      <w:r w:rsidR="00AD0C42">
        <w:rPr>
          <w:rFonts w:ascii="Times New Roman" w:hAnsi="Times New Roman"/>
        </w:rPr>
        <w:t xml:space="preserve">most interaction terms are negative, </w:t>
      </w:r>
      <w:r w:rsidR="00755F0C">
        <w:rPr>
          <w:rFonts w:ascii="Times New Roman" w:hAnsi="Times New Roman"/>
        </w:rPr>
        <w:t>but do not</w:t>
      </w:r>
      <w:r>
        <w:rPr>
          <w:rFonts w:ascii="Times New Roman" w:hAnsi="Times New Roman"/>
        </w:rPr>
        <w:t xml:space="preserve"> </w:t>
      </w:r>
      <w:r w:rsidR="00AD0C42">
        <w:rPr>
          <w:rFonts w:ascii="Times New Roman" w:hAnsi="Times New Roman"/>
        </w:rPr>
        <w:t>follow a clear pattern</w:t>
      </w:r>
      <w:r w:rsidR="001A35DA">
        <w:rPr>
          <w:rFonts w:ascii="Times New Roman" w:hAnsi="Times New Roman"/>
        </w:rPr>
        <w:t xml:space="preserve"> nor</w:t>
      </w:r>
      <w:r w:rsidR="005E4B86">
        <w:rPr>
          <w:rFonts w:ascii="Times New Roman" w:hAnsi="Times New Roman"/>
        </w:rPr>
        <w:t xml:space="preserve"> </w:t>
      </w:r>
      <w:r w:rsidR="00DE3BB5">
        <w:rPr>
          <w:rFonts w:ascii="Times New Roman" w:hAnsi="Times New Roman"/>
        </w:rPr>
        <w:t xml:space="preserve">are they </w:t>
      </w:r>
      <w:r w:rsidR="005E4B86">
        <w:rPr>
          <w:rFonts w:ascii="Times New Roman" w:hAnsi="Times New Roman"/>
        </w:rPr>
        <w:t xml:space="preserve">generally statistically </w:t>
      </w:r>
      <w:r w:rsidR="00755F0C">
        <w:rPr>
          <w:rFonts w:ascii="Times New Roman" w:hAnsi="Times New Roman"/>
        </w:rPr>
        <w:t>in</w:t>
      </w:r>
      <w:r w:rsidR="005E4B86">
        <w:rPr>
          <w:rFonts w:ascii="Times New Roman" w:hAnsi="Times New Roman"/>
        </w:rPr>
        <w:t>significant</w:t>
      </w:r>
      <w:r w:rsidR="00AD0C42">
        <w:rPr>
          <w:rFonts w:ascii="Times New Roman" w:hAnsi="Times New Roman"/>
        </w:rPr>
        <w:t xml:space="preserve">. </w:t>
      </w:r>
      <w:r w:rsidR="005E4B86">
        <w:rPr>
          <w:rFonts w:ascii="Times New Roman" w:hAnsi="Times New Roman"/>
        </w:rPr>
        <w:t>However, t</w:t>
      </w:r>
      <w:r>
        <w:rPr>
          <w:rFonts w:ascii="Times New Roman" w:hAnsi="Times New Roman"/>
          <w:lang w:val="en-US"/>
        </w:rPr>
        <w:t xml:space="preserve">he interaction terms between year effects and the dummy variable for the </w:t>
      </w:r>
      <w:r>
        <w:rPr>
          <w:rFonts w:ascii="Times New Roman" w:hAnsi="Times New Roman"/>
        </w:rPr>
        <w:t>bottom 20% (not reported)</w:t>
      </w:r>
      <w:r w:rsidR="005E4B86">
        <w:rPr>
          <w:rFonts w:ascii="Times New Roman" w:hAnsi="Times New Roman"/>
        </w:rPr>
        <w:t xml:space="preserve">, </w:t>
      </w:r>
      <w:r>
        <w:rPr>
          <w:rFonts w:ascii="Times New Roman" w:hAnsi="Times New Roman"/>
        </w:rPr>
        <w:t>are negative</w:t>
      </w:r>
      <w:r w:rsidR="00755F0C">
        <w:rPr>
          <w:rFonts w:ascii="Times New Roman" w:hAnsi="Times New Roman"/>
        </w:rPr>
        <w:t>, decreasing</w:t>
      </w:r>
      <w:r>
        <w:rPr>
          <w:rFonts w:ascii="Times New Roman" w:hAnsi="Times New Roman"/>
        </w:rPr>
        <w:t xml:space="preserve"> </w:t>
      </w:r>
      <w:r w:rsidR="00755F0C">
        <w:rPr>
          <w:rFonts w:ascii="Times New Roman" w:hAnsi="Times New Roman"/>
        </w:rPr>
        <w:t>and are</w:t>
      </w:r>
      <w:r w:rsidR="005E4B86">
        <w:rPr>
          <w:rFonts w:ascii="Times New Roman" w:hAnsi="Times New Roman"/>
        </w:rPr>
        <w:t xml:space="preserve"> often </w:t>
      </w:r>
      <w:r>
        <w:rPr>
          <w:rFonts w:ascii="Times New Roman" w:hAnsi="Times New Roman"/>
        </w:rPr>
        <w:t>statistically significant</w:t>
      </w:r>
      <w:r w:rsidR="00755F0C">
        <w:rPr>
          <w:rFonts w:ascii="Times New Roman" w:hAnsi="Times New Roman"/>
        </w:rPr>
        <w:t>,</w:t>
      </w:r>
      <w:r>
        <w:rPr>
          <w:rFonts w:ascii="Times New Roman" w:hAnsi="Times New Roman"/>
        </w:rPr>
        <w:t xml:space="preserve"> suggesting a widening gap in prescription drugs expenditure between the bottom 20% and the next income </w:t>
      </w:r>
      <w:proofErr w:type="spellStart"/>
      <w:r w:rsidR="00387BD8">
        <w:rPr>
          <w:rFonts w:ascii="Times New Roman" w:hAnsi="Times New Roman"/>
        </w:rPr>
        <w:t>fractil</w:t>
      </w:r>
      <w:r>
        <w:rPr>
          <w:rFonts w:ascii="Times New Roman" w:hAnsi="Times New Roman"/>
        </w:rPr>
        <w:t>e</w:t>
      </w:r>
      <w:proofErr w:type="spellEnd"/>
      <w:r w:rsidR="00E27290">
        <w:rPr>
          <w:rFonts w:ascii="Times New Roman" w:hAnsi="Times New Roman"/>
        </w:rPr>
        <w:t xml:space="preserve"> d</w:t>
      </w:r>
      <w:r w:rsidR="00387BD8">
        <w:rPr>
          <w:rFonts w:ascii="Times New Roman" w:hAnsi="Times New Roman"/>
        </w:rPr>
        <w:t>uring the sample period</w:t>
      </w:r>
      <w:r w:rsidR="00F72AC1">
        <w:rPr>
          <w:rFonts w:ascii="Times New Roman" w:hAnsi="Times New Roman"/>
        </w:rPr>
        <w:t>.</w:t>
      </w:r>
      <w:r w:rsidR="00387BD8">
        <w:rPr>
          <w:rFonts w:ascii="Times New Roman" w:hAnsi="Times New Roman"/>
        </w:rPr>
        <w:t xml:space="preserve"> </w:t>
      </w:r>
      <w:r w:rsidR="005B5FA3">
        <w:rPr>
          <w:rFonts w:ascii="Times New Roman" w:hAnsi="Times New Roman"/>
        </w:rPr>
        <w:t xml:space="preserve">One possible explanation for such dynamics </w:t>
      </w:r>
      <w:r w:rsidR="00631B57">
        <w:rPr>
          <w:rFonts w:ascii="Times New Roman" w:hAnsi="Times New Roman"/>
        </w:rPr>
        <w:t xml:space="preserve">could </w:t>
      </w:r>
      <w:r w:rsidR="005B5FA3">
        <w:rPr>
          <w:rFonts w:ascii="Times New Roman" w:hAnsi="Times New Roman"/>
        </w:rPr>
        <w:t xml:space="preserve">be </w:t>
      </w:r>
      <w:r w:rsidR="005B5FA3">
        <w:rPr>
          <w:rFonts w:ascii="Times New Roman" w:eastAsia="Cambria" w:hAnsi="Times New Roman" w:cs="Times New Roman"/>
        </w:rPr>
        <w:t>the transitions towards income-based catastrophic coverage associated with important cost-sharing provisions that took place across Canadian provinces between 2000 and 2010, as highlighted by Daw and Morgan (2012). The impacts of such a transition might have been concentrated at the bottom half of the income distribution if individuals with higher incomes are more likely to have contributed to private insurance plans offering prescription drugs coverage, and for which co-pay rates would not have followed a similar trend</w:t>
      </w:r>
      <w:r w:rsidR="005B5FA3">
        <w:rPr>
          <w:rFonts w:ascii="Times New Roman" w:hAnsi="Times New Roman"/>
        </w:rPr>
        <w:t>.</w:t>
      </w:r>
      <w:r w:rsidR="00462133">
        <w:rPr>
          <w:rFonts w:ascii="Times New Roman" w:hAnsi="Times New Roman"/>
        </w:rPr>
        <w:t xml:space="preserve"> Simultaneously, households on social assistance, mostly located in the bottom 20% of the income distri</w:t>
      </w:r>
      <w:r w:rsidR="00E27290">
        <w:rPr>
          <w:rFonts w:ascii="Times New Roman" w:hAnsi="Times New Roman"/>
        </w:rPr>
        <w:t xml:space="preserve">bution, were less likely to be affected by the change, and to remain on </w:t>
      </w:r>
      <w:r w:rsidR="00A523BC">
        <w:rPr>
          <w:rFonts w:ascii="Times New Roman" w:hAnsi="Times New Roman"/>
        </w:rPr>
        <w:t>public</w:t>
      </w:r>
      <w:r w:rsidR="00E27290">
        <w:rPr>
          <w:rFonts w:ascii="Times New Roman" w:hAnsi="Times New Roman"/>
        </w:rPr>
        <w:t xml:space="preserve"> plan</w:t>
      </w:r>
      <w:r w:rsidR="00A523BC">
        <w:rPr>
          <w:rFonts w:ascii="Times New Roman" w:hAnsi="Times New Roman"/>
        </w:rPr>
        <w:t>s</w:t>
      </w:r>
      <w:r w:rsidR="00E27290">
        <w:rPr>
          <w:rFonts w:ascii="Times New Roman" w:hAnsi="Times New Roman"/>
        </w:rPr>
        <w:t xml:space="preserve"> with first dollar coverage or co-payments</w:t>
      </w:r>
      <w:r w:rsidR="00462133">
        <w:rPr>
          <w:rFonts w:ascii="Times New Roman" w:hAnsi="Times New Roman"/>
        </w:rPr>
        <w:t xml:space="preserve">. </w:t>
      </w:r>
    </w:p>
    <w:p w14:paraId="43FF819C" w14:textId="77777777" w:rsidR="00E41A1B" w:rsidRDefault="00E41A1B" w:rsidP="003F692D">
      <w:pPr>
        <w:jc w:val="both"/>
        <w:rPr>
          <w:rFonts w:ascii="Times New Roman" w:hAnsi="Times New Roman"/>
        </w:rPr>
      </w:pPr>
    </w:p>
    <w:p w14:paraId="3C1C2200" w14:textId="77777777" w:rsidR="00E41A1B" w:rsidRDefault="00E41A1B" w:rsidP="003F692D">
      <w:pPr>
        <w:jc w:val="both"/>
        <w:rPr>
          <w:rFonts w:ascii="Times New Roman" w:hAnsi="Times New Roman"/>
        </w:rPr>
      </w:pPr>
    </w:p>
    <w:p w14:paraId="1E513C29" w14:textId="77777777" w:rsidR="00E41A1B" w:rsidRDefault="001207ED" w:rsidP="00CC5CC1">
      <w:pPr>
        <w:jc w:val="both"/>
        <w:outlineLvl w:val="0"/>
        <w:rPr>
          <w:rFonts w:ascii="Times New Roman" w:hAnsi="Times New Roman"/>
          <w:b/>
        </w:rPr>
      </w:pPr>
      <w:r>
        <w:rPr>
          <w:rFonts w:ascii="Times New Roman" w:hAnsi="Times New Roman"/>
          <w:b/>
        </w:rPr>
        <w:t>5</w:t>
      </w:r>
      <w:r w:rsidR="00E41A1B">
        <w:rPr>
          <w:rFonts w:ascii="Times New Roman" w:hAnsi="Times New Roman"/>
          <w:b/>
        </w:rPr>
        <w:t>. Implications for the future of private insurance in Canada</w:t>
      </w:r>
    </w:p>
    <w:p w14:paraId="2D7DA26C" w14:textId="77777777" w:rsidR="00E41A1B" w:rsidRDefault="00E41A1B" w:rsidP="003F692D">
      <w:pPr>
        <w:jc w:val="both"/>
        <w:rPr>
          <w:rFonts w:ascii="Times New Roman" w:hAnsi="Times New Roman"/>
          <w:b/>
        </w:rPr>
      </w:pPr>
    </w:p>
    <w:p w14:paraId="47CCE58C" w14:textId="77777777" w:rsidR="00E41A1B" w:rsidRPr="007066E0" w:rsidRDefault="003F412D" w:rsidP="003F692D">
      <w:pPr>
        <w:jc w:val="both"/>
        <w:rPr>
          <w:rFonts w:ascii="Times New Roman" w:hAnsi="Times New Roman" w:cs="Times New Roman"/>
        </w:rPr>
      </w:pPr>
      <w:r>
        <w:rPr>
          <w:rFonts w:ascii="Times New Roman" w:hAnsi="Times New Roman"/>
        </w:rPr>
        <w:t>Both our cross-country and Canada specific analyses</w:t>
      </w:r>
      <w:r w:rsidR="005572CA">
        <w:rPr>
          <w:rFonts w:ascii="Times New Roman" w:hAnsi="Times New Roman"/>
        </w:rPr>
        <w:t xml:space="preserve"> above suggests that rising inequality at the top end of the income distribution may be contributing </w:t>
      </w:r>
      <w:r>
        <w:rPr>
          <w:rFonts w:ascii="Times New Roman" w:hAnsi="Times New Roman"/>
        </w:rPr>
        <w:t>to</w:t>
      </w:r>
      <w:r w:rsidR="005572CA">
        <w:rPr>
          <w:rFonts w:ascii="Times New Roman" w:hAnsi="Times New Roman"/>
        </w:rPr>
        <w:t xml:space="preserve"> the demand for private</w:t>
      </w:r>
      <w:r>
        <w:rPr>
          <w:rFonts w:ascii="Times New Roman" w:hAnsi="Times New Roman"/>
        </w:rPr>
        <w:t xml:space="preserve"> health services among the </w:t>
      </w:r>
      <w:r w:rsidR="00470168">
        <w:rPr>
          <w:rFonts w:ascii="Times New Roman" w:hAnsi="Times New Roman"/>
        </w:rPr>
        <w:t>highest income earners</w:t>
      </w:r>
      <w:r w:rsidR="005572CA">
        <w:rPr>
          <w:rFonts w:ascii="Times New Roman" w:hAnsi="Times New Roman"/>
        </w:rPr>
        <w:t>.</w:t>
      </w:r>
      <w:r w:rsidR="00DD7286">
        <w:rPr>
          <w:rFonts w:ascii="Times New Roman" w:hAnsi="Times New Roman"/>
        </w:rPr>
        <w:t xml:space="preserve"> </w:t>
      </w:r>
      <w:r w:rsidR="00DD7286" w:rsidRPr="00F7429E">
        <w:rPr>
          <w:rFonts w:ascii="Times New Roman" w:hAnsi="Times New Roman" w:cs="Times New Roman"/>
        </w:rPr>
        <w:t xml:space="preserve">Our Canadian estimates </w:t>
      </w:r>
      <w:r w:rsidR="00DD7286" w:rsidRPr="007066E0">
        <w:rPr>
          <w:rFonts w:ascii="Times New Roman" w:hAnsi="Times New Roman" w:cs="Times New Roman"/>
        </w:rPr>
        <w:t xml:space="preserve">in particular suggest that, other things equal, increasing inequality caused by top incomes growing faster than average incomes increased private demand for </w:t>
      </w:r>
      <w:r w:rsidR="00470168">
        <w:rPr>
          <w:rFonts w:ascii="Times New Roman" w:hAnsi="Times New Roman" w:cs="Times New Roman"/>
        </w:rPr>
        <w:t xml:space="preserve">health </w:t>
      </w:r>
      <w:r w:rsidR="00DD7286" w:rsidRPr="007066E0">
        <w:rPr>
          <w:rFonts w:ascii="Times New Roman" w:hAnsi="Times New Roman" w:cs="Times New Roman"/>
        </w:rPr>
        <w:t>services and insurance more than would be the case if the same average income growth were distributed equally throughout the population.</w:t>
      </w:r>
      <w:r w:rsidR="005572CA" w:rsidRPr="00F7429E">
        <w:rPr>
          <w:rFonts w:ascii="Times New Roman" w:hAnsi="Times New Roman" w:cs="Times New Roman"/>
        </w:rPr>
        <w:t xml:space="preserve"> </w:t>
      </w:r>
    </w:p>
    <w:p w14:paraId="1A8EFD4F" w14:textId="77777777" w:rsidR="005572CA" w:rsidRDefault="005572CA" w:rsidP="003F692D">
      <w:pPr>
        <w:jc w:val="both"/>
        <w:rPr>
          <w:rFonts w:ascii="Times New Roman" w:hAnsi="Times New Roman"/>
        </w:rPr>
      </w:pPr>
    </w:p>
    <w:p w14:paraId="7A98842E" w14:textId="77777777" w:rsidR="005572CA" w:rsidRDefault="005572CA" w:rsidP="005572CA">
      <w:pPr>
        <w:jc w:val="both"/>
        <w:rPr>
          <w:rFonts w:ascii="Times New Roman" w:hAnsi="Times New Roman"/>
        </w:rPr>
      </w:pPr>
      <w:r>
        <w:rPr>
          <w:rFonts w:ascii="Times New Roman" w:hAnsi="Times New Roman"/>
        </w:rPr>
        <w:t>What are the implications of such a shift? It should not be surprising that in such an environment, private insurance will increasingly aim to cater to the preferences of those with higher income</w:t>
      </w:r>
      <w:r w:rsidR="00204608">
        <w:rPr>
          <w:rFonts w:ascii="Times New Roman" w:hAnsi="Times New Roman"/>
        </w:rPr>
        <w:t>s</w:t>
      </w:r>
      <w:r>
        <w:rPr>
          <w:rFonts w:ascii="Times New Roman" w:hAnsi="Times New Roman"/>
        </w:rPr>
        <w:t xml:space="preserve">. So far Canada has managed this within a framework </w:t>
      </w:r>
      <w:r w:rsidR="003F412D">
        <w:rPr>
          <w:rFonts w:ascii="Times New Roman" w:hAnsi="Times New Roman"/>
        </w:rPr>
        <w:t>where</w:t>
      </w:r>
      <w:r>
        <w:rPr>
          <w:rFonts w:ascii="Times New Roman" w:hAnsi="Times New Roman"/>
        </w:rPr>
        <w:t xml:space="preserve"> private insurance</w:t>
      </w:r>
      <w:r w:rsidR="00204608">
        <w:rPr>
          <w:rFonts w:ascii="Times New Roman" w:hAnsi="Times New Roman"/>
        </w:rPr>
        <w:t xml:space="preserve"> and </w:t>
      </w:r>
      <w:r w:rsidR="003F412D">
        <w:rPr>
          <w:rFonts w:ascii="Times New Roman" w:hAnsi="Times New Roman"/>
        </w:rPr>
        <w:t>out of pocket spending finance</w:t>
      </w:r>
      <w:r>
        <w:rPr>
          <w:rFonts w:ascii="Times New Roman" w:hAnsi="Times New Roman"/>
        </w:rPr>
        <w:t xml:space="preserve"> complementary services rather than duplicating services already covered by the public system. However, if growing income inequality does indeed translate into greater discontent with the public</w:t>
      </w:r>
      <w:r w:rsidR="00B011B3">
        <w:rPr>
          <w:rFonts w:ascii="Times New Roman" w:hAnsi="Times New Roman"/>
        </w:rPr>
        <w:t>ly financed</w:t>
      </w:r>
      <w:r>
        <w:rPr>
          <w:rFonts w:ascii="Times New Roman" w:hAnsi="Times New Roman"/>
        </w:rPr>
        <w:t xml:space="preserve"> offering</w:t>
      </w:r>
      <w:r w:rsidR="00C536BE">
        <w:rPr>
          <w:rFonts w:ascii="Times New Roman" w:hAnsi="Times New Roman"/>
        </w:rPr>
        <w:t xml:space="preserve"> from top income earners</w:t>
      </w:r>
      <w:r>
        <w:rPr>
          <w:rFonts w:ascii="Times New Roman" w:hAnsi="Times New Roman"/>
        </w:rPr>
        <w:t xml:space="preserve">, we might expect increasing pressure for private </w:t>
      </w:r>
      <w:r w:rsidR="00204608">
        <w:rPr>
          <w:rFonts w:ascii="Times New Roman" w:hAnsi="Times New Roman"/>
        </w:rPr>
        <w:t>financing</w:t>
      </w:r>
      <w:r>
        <w:rPr>
          <w:rFonts w:ascii="Times New Roman" w:hAnsi="Times New Roman"/>
        </w:rPr>
        <w:t xml:space="preserve"> to</w:t>
      </w:r>
      <w:r w:rsidR="00204608">
        <w:rPr>
          <w:rFonts w:ascii="Times New Roman" w:hAnsi="Times New Roman"/>
        </w:rPr>
        <w:t xml:space="preserve"> fund</w:t>
      </w:r>
      <w:r>
        <w:rPr>
          <w:rFonts w:ascii="Times New Roman" w:hAnsi="Times New Roman"/>
        </w:rPr>
        <w:t xml:space="preserve"> </w:t>
      </w:r>
      <w:r w:rsidR="00204608">
        <w:rPr>
          <w:rFonts w:ascii="Times New Roman" w:hAnsi="Times New Roman"/>
        </w:rPr>
        <w:t>supplemental</w:t>
      </w:r>
      <w:r>
        <w:rPr>
          <w:rFonts w:ascii="Times New Roman" w:hAnsi="Times New Roman"/>
        </w:rPr>
        <w:t xml:space="preserve"> coverage for the services covered under the public system, as it does in </w:t>
      </w:r>
      <w:r w:rsidR="001F7279">
        <w:rPr>
          <w:rFonts w:ascii="Times New Roman" w:hAnsi="Times New Roman"/>
        </w:rPr>
        <w:t>numerous</w:t>
      </w:r>
      <w:r>
        <w:rPr>
          <w:rFonts w:ascii="Times New Roman" w:hAnsi="Times New Roman"/>
        </w:rPr>
        <w:t xml:space="preserve"> other jurisdictions. Experience from </w:t>
      </w:r>
      <w:r w:rsidR="003F412D">
        <w:rPr>
          <w:rFonts w:ascii="Times New Roman" w:hAnsi="Times New Roman"/>
        </w:rPr>
        <w:t xml:space="preserve">these </w:t>
      </w:r>
      <w:r>
        <w:rPr>
          <w:rFonts w:ascii="Times New Roman" w:hAnsi="Times New Roman"/>
        </w:rPr>
        <w:t xml:space="preserve">other jurisdictions </w:t>
      </w:r>
      <w:r w:rsidR="003F412D">
        <w:rPr>
          <w:rFonts w:ascii="Times New Roman" w:hAnsi="Times New Roman"/>
        </w:rPr>
        <w:t>suggest</w:t>
      </w:r>
      <w:r>
        <w:rPr>
          <w:rFonts w:ascii="Times New Roman" w:hAnsi="Times New Roman"/>
        </w:rPr>
        <w:t xml:space="preserve"> that areas most likely to be targeted </w:t>
      </w:r>
      <w:r w:rsidR="00B011B3">
        <w:rPr>
          <w:rFonts w:ascii="Times New Roman" w:hAnsi="Times New Roman"/>
        </w:rPr>
        <w:t>for private financing</w:t>
      </w:r>
      <w:r>
        <w:rPr>
          <w:rFonts w:ascii="Times New Roman" w:hAnsi="Times New Roman"/>
        </w:rPr>
        <w:t xml:space="preserve"> are those where there are longer backlogs for care (diagnostic services, for example)</w:t>
      </w:r>
      <w:r w:rsidR="00204608">
        <w:rPr>
          <w:rFonts w:ascii="Times New Roman" w:hAnsi="Times New Roman"/>
        </w:rPr>
        <w:t>, where there is mixed evidence of immediate medical necessity,</w:t>
      </w:r>
      <w:r>
        <w:rPr>
          <w:rFonts w:ascii="Times New Roman" w:hAnsi="Times New Roman"/>
        </w:rPr>
        <w:t xml:space="preserve"> and where it is easy to perform lower risk procedures (hip and knee replacements). </w:t>
      </w:r>
      <w:r w:rsidR="00B011B3">
        <w:rPr>
          <w:rFonts w:ascii="Times New Roman" w:hAnsi="Times New Roman"/>
        </w:rPr>
        <w:t>Each of these forces has the potential to undermine the public system and increase publicly financed costs (Stabile and Townsend, 2014). C</w:t>
      </w:r>
      <w:r>
        <w:rPr>
          <w:rFonts w:ascii="Times New Roman" w:hAnsi="Times New Roman"/>
        </w:rPr>
        <w:t>hallenges to the existing regulation around private insurance in Canada over the past two decades</w:t>
      </w:r>
      <w:r w:rsidR="003F412D">
        <w:rPr>
          <w:rFonts w:ascii="Times New Roman" w:hAnsi="Times New Roman"/>
        </w:rPr>
        <w:t>, a period in which income concentration at the top end of the distribution has grown,</w:t>
      </w:r>
      <w:r>
        <w:rPr>
          <w:rFonts w:ascii="Times New Roman" w:hAnsi="Times New Roman"/>
        </w:rPr>
        <w:t xml:space="preserve"> is consistent with this hypothesis. </w:t>
      </w:r>
    </w:p>
    <w:p w14:paraId="4813D9AA" w14:textId="77777777" w:rsidR="00204608" w:rsidRDefault="00204608" w:rsidP="005572CA">
      <w:pPr>
        <w:jc w:val="both"/>
        <w:rPr>
          <w:rFonts w:ascii="Times New Roman" w:hAnsi="Times New Roman"/>
        </w:rPr>
      </w:pPr>
    </w:p>
    <w:p w14:paraId="3C921976" w14:textId="77777777" w:rsidR="005572CA" w:rsidRDefault="00204608" w:rsidP="005572CA">
      <w:pPr>
        <w:jc w:val="both"/>
        <w:rPr>
          <w:rFonts w:ascii="Times New Roman" w:hAnsi="Times New Roman"/>
        </w:rPr>
      </w:pPr>
      <w:r>
        <w:rPr>
          <w:rFonts w:ascii="Times New Roman" w:hAnsi="Times New Roman"/>
        </w:rPr>
        <w:t xml:space="preserve">Policy makers might therefore </w:t>
      </w:r>
      <w:r w:rsidR="003F412D">
        <w:rPr>
          <w:rFonts w:ascii="Times New Roman" w:hAnsi="Times New Roman"/>
        </w:rPr>
        <w:t>wish to consider</w:t>
      </w:r>
      <w:r>
        <w:rPr>
          <w:rFonts w:ascii="Times New Roman" w:hAnsi="Times New Roman"/>
        </w:rPr>
        <w:t xml:space="preserve"> the broader implications of growing income inequality, including its effects on publicly financed services such as health care.  </w:t>
      </w:r>
      <w:r w:rsidR="00B81DE9">
        <w:rPr>
          <w:rFonts w:ascii="Times New Roman" w:hAnsi="Times New Roman"/>
        </w:rPr>
        <w:t>If governments wish to preserve existing boundaries between publicly and privately financed care, policies that address the underlying causes of the growing demand for private care should be considered in addition to those that seek to shore up the public system and defend against legal action seeking to secure a greater role for privately financed care.</w:t>
      </w:r>
    </w:p>
    <w:p w14:paraId="4BE7A161" w14:textId="77777777" w:rsidR="00FE2D11" w:rsidRDefault="00FE2D11">
      <w:pPr>
        <w:rPr>
          <w:rFonts w:ascii="Times New Roman" w:hAnsi="Times New Roman"/>
        </w:rPr>
      </w:pPr>
      <w:r>
        <w:rPr>
          <w:rFonts w:ascii="Times New Roman" w:hAnsi="Times New Roman"/>
        </w:rPr>
        <w:br w:type="page"/>
      </w:r>
    </w:p>
    <w:p w14:paraId="1026D418" w14:textId="77777777" w:rsidR="00FE2D11" w:rsidRDefault="00FE2D11" w:rsidP="00CC5CC1">
      <w:pPr>
        <w:jc w:val="both"/>
        <w:outlineLvl w:val="0"/>
        <w:rPr>
          <w:rFonts w:ascii="Times New Roman" w:hAnsi="Times New Roman"/>
          <w:b/>
          <w:lang w:val="en-US"/>
        </w:rPr>
      </w:pPr>
      <w:r>
        <w:rPr>
          <w:rFonts w:ascii="Times New Roman" w:hAnsi="Times New Roman"/>
          <w:b/>
          <w:lang w:val="en-US"/>
        </w:rPr>
        <w:lastRenderedPageBreak/>
        <w:t xml:space="preserve">References </w:t>
      </w:r>
    </w:p>
    <w:p w14:paraId="3CA345A1" w14:textId="77777777" w:rsidR="00FE2D11" w:rsidRPr="0070213E" w:rsidRDefault="00FE2D11" w:rsidP="00B605C7">
      <w:pPr>
        <w:jc w:val="both"/>
        <w:rPr>
          <w:rFonts w:ascii="Times New Roman" w:hAnsi="Times New Roman"/>
          <w:lang w:val="en-US"/>
        </w:rPr>
      </w:pPr>
      <w:proofErr w:type="spellStart"/>
      <w:r>
        <w:rPr>
          <w:rFonts w:ascii="Times New Roman" w:hAnsi="Times New Roman"/>
          <w:lang w:val="en-US"/>
        </w:rPr>
        <w:t>Acemoglu</w:t>
      </w:r>
      <w:proofErr w:type="spellEnd"/>
      <w:r>
        <w:rPr>
          <w:rFonts w:ascii="Times New Roman" w:hAnsi="Times New Roman"/>
          <w:lang w:val="en-US"/>
        </w:rPr>
        <w:t xml:space="preserve">, Daron, Amy Finkelstein and Matthew J. </w:t>
      </w:r>
      <w:proofErr w:type="spellStart"/>
      <w:r>
        <w:rPr>
          <w:rFonts w:ascii="Times New Roman" w:hAnsi="Times New Roman"/>
          <w:lang w:val="en-US"/>
        </w:rPr>
        <w:t>Notowidigdo</w:t>
      </w:r>
      <w:proofErr w:type="spellEnd"/>
      <w:r>
        <w:rPr>
          <w:rFonts w:ascii="Times New Roman" w:hAnsi="Times New Roman"/>
          <w:lang w:val="en-US"/>
        </w:rPr>
        <w:t xml:space="preserve"> </w:t>
      </w:r>
      <w:r w:rsidRPr="0070213E">
        <w:rPr>
          <w:rFonts w:ascii="Times New Roman" w:hAnsi="Times New Roman"/>
          <w:lang w:val="en-US"/>
        </w:rPr>
        <w:t>(2013)</w:t>
      </w:r>
      <w:r>
        <w:rPr>
          <w:rFonts w:ascii="Times New Roman" w:hAnsi="Times New Roman"/>
          <w:lang w:val="en-US"/>
        </w:rPr>
        <w:t xml:space="preserve">, </w:t>
      </w:r>
      <w:r>
        <w:rPr>
          <w:rFonts w:ascii="Times New Roman" w:hAnsi="Times New Roman"/>
          <w:i/>
          <w:lang w:val="en-US"/>
        </w:rPr>
        <w:t>Income and</w:t>
      </w:r>
      <w:r w:rsidRPr="0070213E">
        <w:rPr>
          <w:rFonts w:ascii="Times New Roman" w:hAnsi="Times New Roman"/>
          <w:i/>
          <w:lang w:val="en-US"/>
        </w:rPr>
        <w:t xml:space="preserve"> Health Spending: Evidence from Oil Price Shocks</w:t>
      </w:r>
      <w:r w:rsidRPr="0070213E">
        <w:rPr>
          <w:rFonts w:ascii="Times New Roman" w:hAnsi="Times New Roman"/>
          <w:lang w:val="en-US"/>
        </w:rPr>
        <w:t>, The Review of Economics and Statistics, 95(4).</w:t>
      </w:r>
    </w:p>
    <w:p w14:paraId="5EB31212" w14:textId="77777777" w:rsidR="00FE2D11" w:rsidRPr="0070213E" w:rsidRDefault="00FE2D11" w:rsidP="00B605C7">
      <w:pPr>
        <w:jc w:val="both"/>
        <w:rPr>
          <w:rFonts w:ascii="Times New Roman" w:hAnsi="Times New Roman"/>
          <w:sz w:val="22"/>
          <w:lang w:val="en-US"/>
        </w:rPr>
      </w:pPr>
    </w:p>
    <w:p w14:paraId="16C91B8D" w14:textId="77777777" w:rsidR="00FE2D11" w:rsidRPr="00513781" w:rsidRDefault="00FE2D11" w:rsidP="00B605C7">
      <w:pPr>
        <w:jc w:val="both"/>
        <w:rPr>
          <w:rFonts w:ascii="Times New Roman" w:hAnsi="Times New Roman"/>
          <w:iCs/>
          <w:color w:val="000000"/>
          <w:shd w:val="clear" w:color="auto" w:fill="FFFFFF"/>
          <w:lang w:val="en-US"/>
        </w:rPr>
      </w:pPr>
      <w:r>
        <w:rPr>
          <w:rFonts w:ascii="Times New Roman" w:hAnsi="Times New Roman"/>
          <w:iCs/>
          <w:color w:val="000000"/>
          <w:shd w:val="clear" w:color="auto" w:fill="FFFFFF"/>
          <w:lang w:val="en-US"/>
        </w:rPr>
        <w:t xml:space="preserve">Atkinson, Anthony </w:t>
      </w:r>
      <w:r w:rsidR="00FA6FFD">
        <w:rPr>
          <w:rFonts w:ascii="Times New Roman" w:hAnsi="Times New Roman"/>
          <w:iCs/>
          <w:color w:val="000000"/>
          <w:shd w:val="clear" w:color="auto" w:fill="FFFFFF"/>
          <w:lang w:val="en-US"/>
        </w:rPr>
        <w:t xml:space="preserve">B. </w:t>
      </w:r>
      <w:r>
        <w:rPr>
          <w:rFonts w:ascii="Times New Roman" w:hAnsi="Times New Roman"/>
          <w:iCs/>
          <w:color w:val="000000"/>
          <w:shd w:val="clear" w:color="auto" w:fill="FFFFFF"/>
          <w:lang w:val="en-US"/>
        </w:rPr>
        <w:t xml:space="preserve">(2016) </w:t>
      </w:r>
      <w:r>
        <w:rPr>
          <w:rFonts w:ascii="Times New Roman" w:hAnsi="Times New Roman"/>
          <w:i/>
          <w:iCs/>
          <w:color w:val="000000"/>
          <w:shd w:val="clear" w:color="auto" w:fill="FFFFFF"/>
          <w:lang w:val="en-US"/>
        </w:rPr>
        <w:t>Inequality What Can Be Done? Harvard University Press, Cambridge, USA.</w:t>
      </w:r>
    </w:p>
    <w:p w14:paraId="3C32AFFD" w14:textId="77777777" w:rsidR="00FE2D11" w:rsidRDefault="00FE2D11" w:rsidP="00B605C7">
      <w:pPr>
        <w:jc w:val="both"/>
        <w:rPr>
          <w:rFonts w:ascii="Times New Roman" w:hAnsi="Times New Roman"/>
          <w:iCs/>
          <w:color w:val="000000"/>
          <w:shd w:val="clear" w:color="auto" w:fill="FFFFFF"/>
          <w:lang w:val="en-US"/>
        </w:rPr>
      </w:pPr>
    </w:p>
    <w:p w14:paraId="7F96467C" w14:textId="77777777" w:rsidR="00FE2D11" w:rsidRPr="006126B5" w:rsidRDefault="00FE2D11" w:rsidP="00B605C7">
      <w:pPr>
        <w:jc w:val="both"/>
        <w:rPr>
          <w:rFonts w:ascii="Times New Roman" w:hAnsi="Times New Roman"/>
          <w:b/>
          <w:sz w:val="22"/>
        </w:rPr>
      </w:pPr>
      <w:proofErr w:type="spellStart"/>
      <w:r w:rsidRPr="003C30E4">
        <w:rPr>
          <w:rFonts w:ascii="Times New Roman" w:hAnsi="Times New Roman"/>
          <w:iCs/>
          <w:color w:val="000000"/>
          <w:shd w:val="clear" w:color="auto" w:fill="FFFFFF"/>
          <w:lang w:val="en-US"/>
        </w:rPr>
        <w:t>Alvaredo</w:t>
      </w:r>
      <w:proofErr w:type="spellEnd"/>
      <w:r w:rsidRPr="003C30E4">
        <w:rPr>
          <w:rFonts w:ascii="Times New Roman" w:hAnsi="Times New Roman"/>
          <w:iCs/>
          <w:color w:val="000000"/>
          <w:shd w:val="clear" w:color="auto" w:fill="FFFFFF"/>
          <w:lang w:val="en-US"/>
        </w:rPr>
        <w:t xml:space="preserve">, </w:t>
      </w:r>
      <w:proofErr w:type="spellStart"/>
      <w:r w:rsidRPr="003C30E4">
        <w:rPr>
          <w:rFonts w:ascii="Times New Roman" w:hAnsi="Times New Roman"/>
          <w:iCs/>
          <w:color w:val="000000"/>
          <w:shd w:val="clear" w:color="auto" w:fill="FFFFFF"/>
          <w:lang w:val="en-US"/>
        </w:rPr>
        <w:t>Facundo</w:t>
      </w:r>
      <w:proofErr w:type="spellEnd"/>
      <w:r w:rsidRPr="003C30E4">
        <w:rPr>
          <w:rFonts w:ascii="Times New Roman" w:hAnsi="Times New Roman"/>
          <w:iCs/>
          <w:color w:val="000000"/>
          <w:shd w:val="clear" w:color="auto" w:fill="FFFFFF"/>
          <w:lang w:val="en-US"/>
        </w:rPr>
        <w:t xml:space="preserve">, Anthony B. Atkinson, Thomas Piketty, Emmanuel </w:t>
      </w:r>
      <w:proofErr w:type="spellStart"/>
      <w:r w:rsidRPr="003C30E4">
        <w:rPr>
          <w:rFonts w:ascii="Times New Roman" w:hAnsi="Times New Roman"/>
          <w:iCs/>
          <w:color w:val="000000"/>
          <w:shd w:val="clear" w:color="auto" w:fill="FFFFFF"/>
          <w:lang w:val="en-US"/>
        </w:rPr>
        <w:t>Saez</w:t>
      </w:r>
      <w:proofErr w:type="spellEnd"/>
      <w:r w:rsidRPr="003C30E4">
        <w:rPr>
          <w:rFonts w:ascii="Times New Roman" w:hAnsi="Times New Roman"/>
          <w:iCs/>
          <w:color w:val="000000"/>
          <w:shd w:val="clear" w:color="auto" w:fill="FFFFFF"/>
          <w:lang w:val="en-US"/>
        </w:rPr>
        <w:t xml:space="preserve">, and Gabriel </w:t>
      </w:r>
      <w:proofErr w:type="spellStart"/>
      <w:r w:rsidRPr="003C30E4">
        <w:rPr>
          <w:rFonts w:ascii="Times New Roman" w:hAnsi="Times New Roman"/>
          <w:iCs/>
          <w:color w:val="000000"/>
          <w:shd w:val="clear" w:color="auto" w:fill="FFFFFF"/>
          <w:lang w:val="en-US"/>
        </w:rPr>
        <w:t>Zucman</w:t>
      </w:r>
      <w:proofErr w:type="spellEnd"/>
      <w:r w:rsidRPr="003C30E4">
        <w:rPr>
          <w:rFonts w:ascii="Times New Roman" w:hAnsi="Times New Roman"/>
          <w:iCs/>
          <w:color w:val="000000"/>
          <w:shd w:val="clear" w:color="auto" w:fill="FFFFFF"/>
          <w:lang w:val="en-US"/>
        </w:rPr>
        <w:t xml:space="preserve"> (2016),</w:t>
      </w:r>
      <w:r w:rsidRPr="003C30E4">
        <w:rPr>
          <w:rFonts w:ascii="Times New Roman" w:hAnsi="Times New Roman"/>
          <w:i/>
          <w:iCs/>
          <w:color w:val="000000"/>
          <w:shd w:val="clear" w:color="auto" w:fill="FFFFFF"/>
          <w:lang w:val="en-US"/>
        </w:rPr>
        <w:t xml:space="preserve"> WID- The World Wealth and Income Database</w:t>
      </w:r>
      <w:r w:rsidRPr="003C30E4">
        <w:rPr>
          <w:rFonts w:ascii="Times New Roman" w:hAnsi="Times New Roman"/>
          <w:iCs/>
          <w:color w:val="000000"/>
          <w:shd w:val="clear" w:color="auto" w:fill="FFFFFF"/>
          <w:lang w:val="en-US"/>
        </w:rPr>
        <w:t>, http://www.wid.world/, 30/11/2016.</w:t>
      </w:r>
    </w:p>
    <w:p w14:paraId="431B117C" w14:textId="77777777" w:rsidR="00FE2D11" w:rsidRDefault="00FE2D11" w:rsidP="00B605C7">
      <w:pPr>
        <w:jc w:val="both"/>
        <w:rPr>
          <w:rFonts w:ascii="Times New Roman" w:hAnsi="Times New Roman"/>
          <w:b/>
          <w:sz w:val="18"/>
        </w:rPr>
      </w:pPr>
    </w:p>
    <w:p w14:paraId="007AA76E" w14:textId="77777777" w:rsidR="00FE2D11" w:rsidRPr="002014D2" w:rsidRDefault="00FE2D11" w:rsidP="00B605C7">
      <w:pPr>
        <w:jc w:val="both"/>
        <w:rPr>
          <w:rFonts w:ascii="Times New Roman" w:hAnsi="Times New Roman"/>
        </w:rPr>
      </w:pPr>
      <w:proofErr w:type="spellStart"/>
      <w:r>
        <w:rPr>
          <w:rFonts w:ascii="Times New Roman" w:hAnsi="Times New Roman"/>
        </w:rPr>
        <w:t>Bénabou</w:t>
      </w:r>
      <w:proofErr w:type="spellEnd"/>
      <w:r>
        <w:rPr>
          <w:rFonts w:ascii="Times New Roman" w:hAnsi="Times New Roman"/>
        </w:rPr>
        <w:t xml:space="preserve">, Roland (1996), </w:t>
      </w:r>
      <w:r>
        <w:rPr>
          <w:rFonts w:ascii="Times New Roman" w:hAnsi="Times New Roman"/>
          <w:i/>
        </w:rPr>
        <w:t>Inequality and Growth</w:t>
      </w:r>
      <w:r>
        <w:rPr>
          <w:rFonts w:ascii="Times New Roman" w:hAnsi="Times New Roman"/>
        </w:rPr>
        <w:t xml:space="preserve">, National Bureau of Economic Research Macro Annual, Ben S. Bernanke and Julio </w:t>
      </w:r>
      <w:proofErr w:type="spellStart"/>
      <w:r>
        <w:rPr>
          <w:rFonts w:ascii="Times New Roman" w:hAnsi="Times New Roman"/>
        </w:rPr>
        <w:t>Rotemberg</w:t>
      </w:r>
      <w:proofErr w:type="spellEnd"/>
      <w:r>
        <w:rPr>
          <w:rFonts w:ascii="Times New Roman" w:hAnsi="Times New Roman"/>
        </w:rPr>
        <w:t xml:space="preserve"> eds., Cambridge MA; MIT Press, Vol 11. </w:t>
      </w:r>
    </w:p>
    <w:p w14:paraId="7C75D138" w14:textId="77777777" w:rsidR="00FE2D11" w:rsidRDefault="00FE2D11" w:rsidP="00B605C7">
      <w:pPr>
        <w:jc w:val="both"/>
        <w:rPr>
          <w:rFonts w:ascii="Times New Roman" w:hAnsi="Times New Roman"/>
        </w:rPr>
      </w:pPr>
    </w:p>
    <w:p w14:paraId="4EE83C44" w14:textId="77777777" w:rsidR="00FE2D11" w:rsidRPr="008E4F3C" w:rsidRDefault="00FE2D11" w:rsidP="00B605C7">
      <w:pPr>
        <w:jc w:val="both"/>
        <w:rPr>
          <w:rFonts w:ascii="Times New Roman" w:hAnsi="Times New Roman"/>
        </w:rPr>
      </w:pPr>
      <w:r>
        <w:rPr>
          <w:rFonts w:ascii="Times New Roman" w:hAnsi="Times New Roman"/>
        </w:rPr>
        <w:t xml:space="preserve">Canadian Institute for Health Information (2012), </w:t>
      </w:r>
      <w:r>
        <w:rPr>
          <w:rFonts w:ascii="Times New Roman" w:hAnsi="Times New Roman"/>
          <w:i/>
        </w:rPr>
        <w:t>Drivers of Prescription Drug Spending in Canada</w:t>
      </w:r>
      <w:r>
        <w:rPr>
          <w:rFonts w:ascii="Times New Roman" w:hAnsi="Times New Roman"/>
        </w:rPr>
        <w:t>.</w:t>
      </w:r>
    </w:p>
    <w:p w14:paraId="3E5CE9E0" w14:textId="77777777" w:rsidR="00FE2D11" w:rsidRDefault="00FE2D11" w:rsidP="00B605C7">
      <w:pPr>
        <w:jc w:val="both"/>
        <w:rPr>
          <w:rFonts w:ascii="Times New Roman" w:hAnsi="Times New Roman"/>
        </w:rPr>
      </w:pPr>
    </w:p>
    <w:p w14:paraId="0D8502CE" w14:textId="77777777" w:rsidR="00FE2D11" w:rsidRPr="0067746B" w:rsidRDefault="00FE2D11" w:rsidP="00B605C7">
      <w:pPr>
        <w:jc w:val="both"/>
        <w:rPr>
          <w:rFonts w:ascii="Times New Roman" w:hAnsi="Times New Roman"/>
        </w:rPr>
      </w:pPr>
      <w:r>
        <w:rPr>
          <w:rFonts w:ascii="Times New Roman" w:hAnsi="Times New Roman"/>
        </w:rPr>
        <w:t xml:space="preserve">Corcoran, Sean P. and William N. Evans (2010), </w:t>
      </w:r>
      <w:r>
        <w:rPr>
          <w:rFonts w:ascii="Times New Roman" w:hAnsi="Times New Roman"/>
          <w:i/>
        </w:rPr>
        <w:t xml:space="preserve">Income Inequality, the Median Voter and the Support for Public Education, </w:t>
      </w:r>
      <w:r>
        <w:rPr>
          <w:rFonts w:ascii="Times New Roman" w:hAnsi="Times New Roman"/>
        </w:rPr>
        <w:t>NBER Working Paper 16097, National Bureau of Economic Research.</w:t>
      </w:r>
    </w:p>
    <w:p w14:paraId="42C956CD" w14:textId="77777777" w:rsidR="00FE2D11" w:rsidRDefault="00FE2D11" w:rsidP="00B605C7">
      <w:pPr>
        <w:jc w:val="both"/>
        <w:rPr>
          <w:rFonts w:ascii="Times New Roman" w:hAnsi="Times New Roman"/>
        </w:rPr>
      </w:pPr>
    </w:p>
    <w:p w14:paraId="4113D8A1" w14:textId="77777777" w:rsidR="00FE2D11" w:rsidRPr="0067746B" w:rsidRDefault="00FE2D11" w:rsidP="00B605C7">
      <w:pPr>
        <w:jc w:val="both"/>
        <w:rPr>
          <w:rFonts w:ascii="Times New Roman" w:hAnsi="Times New Roman"/>
        </w:rPr>
      </w:pPr>
      <w:proofErr w:type="spellStart"/>
      <w:r>
        <w:rPr>
          <w:rFonts w:ascii="Times New Roman" w:hAnsi="Times New Roman"/>
        </w:rPr>
        <w:t>Culyer</w:t>
      </w:r>
      <w:proofErr w:type="spellEnd"/>
      <w:r>
        <w:rPr>
          <w:rFonts w:ascii="Times New Roman" w:hAnsi="Times New Roman"/>
        </w:rPr>
        <w:t xml:space="preserve">, Antony J. (1998), </w:t>
      </w:r>
      <w:r>
        <w:rPr>
          <w:rFonts w:ascii="Times New Roman" w:hAnsi="Times New Roman"/>
          <w:i/>
        </w:rPr>
        <w:t xml:space="preserve">Health Care Expenditures in Canada: Myth and Reality; Past and Future, </w:t>
      </w:r>
      <w:r>
        <w:rPr>
          <w:rFonts w:ascii="Times New Roman" w:hAnsi="Times New Roman"/>
        </w:rPr>
        <w:t xml:space="preserve">Canadian Tax Paper 82, Canadian Tax Foundation. </w:t>
      </w:r>
    </w:p>
    <w:p w14:paraId="316A7061" w14:textId="77777777" w:rsidR="00FE2D11" w:rsidRDefault="00FE2D11" w:rsidP="00B605C7">
      <w:pPr>
        <w:jc w:val="both"/>
        <w:rPr>
          <w:rFonts w:ascii="Times New Roman" w:hAnsi="Times New Roman"/>
        </w:rPr>
      </w:pPr>
    </w:p>
    <w:p w14:paraId="5B66158C" w14:textId="77777777" w:rsidR="00FE2D11" w:rsidRDefault="00FE2D11" w:rsidP="00B605C7">
      <w:pPr>
        <w:jc w:val="both"/>
        <w:rPr>
          <w:rFonts w:ascii="Times New Roman" w:hAnsi="Times New Roman"/>
        </w:rPr>
      </w:pPr>
      <w:r>
        <w:rPr>
          <w:rFonts w:ascii="Times New Roman" w:hAnsi="Times New Roman"/>
        </w:rPr>
        <w:t xml:space="preserve">Daw, Jamie R. and Steven G. Morgan (2012), </w:t>
      </w:r>
      <w:r>
        <w:rPr>
          <w:rFonts w:ascii="Times New Roman" w:hAnsi="Times New Roman"/>
          <w:i/>
        </w:rPr>
        <w:t xml:space="preserve">Stitching the Gaps in the Canadian Public Drug Coverage Patchwork? A Review of Provincial Pharmacare Policy Changes from 2000 to 2010, </w:t>
      </w:r>
      <w:r>
        <w:rPr>
          <w:rFonts w:ascii="Times New Roman" w:hAnsi="Times New Roman"/>
        </w:rPr>
        <w:t>Health Policy, 104.</w:t>
      </w:r>
    </w:p>
    <w:p w14:paraId="765593AB" w14:textId="77777777" w:rsidR="00FE2D11" w:rsidRPr="008E4F3C" w:rsidRDefault="00FE2D11" w:rsidP="00B605C7">
      <w:pPr>
        <w:jc w:val="both"/>
        <w:rPr>
          <w:rFonts w:ascii="Times New Roman" w:hAnsi="Times New Roman"/>
        </w:rPr>
      </w:pPr>
    </w:p>
    <w:p w14:paraId="4C0EF1F8" w14:textId="77777777" w:rsidR="00FE2D11" w:rsidRPr="00BE0348" w:rsidRDefault="00FE2D11" w:rsidP="00B605C7">
      <w:pPr>
        <w:jc w:val="both"/>
        <w:rPr>
          <w:rFonts w:ascii="Times New Roman" w:hAnsi="Times New Roman"/>
          <w:iCs/>
        </w:rPr>
      </w:pPr>
      <w:r>
        <w:rPr>
          <w:rFonts w:ascii="Times New Roman" w:hAnsi="Times New Roman"/>
          <w:iCs/>
        </w:rPr>
        <w:t xml:space="preserve">Di Matteo, </w:t>
      </w:r>
      <w:proofErr w:type="spellStart"/>
      <w:r>
        <w:rPr>
          <w:rFonts w:ascii="Times New Roman" w:hAnsi="Times New Roman"/>
          <w:iCs/>
        </w:rPr>
        <w:t>Livio</w:t>
      </w:r>
      <w:proofErr w:type="spellEnd"/>
      <w:r>
        <w:rPr>
          <w:rFonts w:ascii="Times New Roman" w:hAnsi="Times New Roman"/>
          <w:iCs/>
        </w:rPr>
        <w:t xml:space="preserve"> and Rosanna Di Matteo (1998), </w:t>
      </w:r>
      <w:r>
        <w:rPr>
          <w:rFonts w:ascii="Times New Roman" w:hAnsi="Times New Roman"/>
          <w:i/>
          <w:iCs/>
        </w:rPr>
        <w:t>Evidence on the Determinants of Canadian Provincial Government Health Expenditures: 1965-1991</w:t>
      </w:r>
      <w:r>
        <w:rPr>
          <w:rFonts w:ascii="Times New Roman" w:hAnsi="Times New Roman"/>
          <w:iCs/>
        </w:rPr>
        <w:t>, Journal of Health Economics, 17(2).</w:t>
      </w:r>
    </w:p>
    <w:p w14:paraId="746591D4" w14:textId="77777777" w:rsidR="00FA6FFD" w:rsidRPr="007066E0" w:rsidRDefault="00FA6FFD" w:rsidP="00B605C7">
      <w:pPr>
        <w:jc w:val="both"/>
        <w:rPr>
          <w:rFonts w:ascii="Times New Roman" w:hAnsi="Times New Roman"/>
          <w:iCs/>
          <w:lang w:val="en-US"/>
        </w:rPr>
      </w:pPr>
    </w:p>
    <w:p w14:paraId="779870F1" w14:textId="77777777" w:rsidR="00FA6FFD" w:rsidRDefault="00FA6FFD" w:rsidP="00B605C7">
      <w:pPr>
        <w:jc w:val="both"/>
        <w:rPr>
          <w:rFonts w:ascii="Times New Roman" w:hAnsi="Times New Roman"/>
          <w:iCs/>
          <w:lang w:val="en-US"/>
        </w:rPr>
      </w:pPr>
      <w:proofErr w:type="spellStart"/>
      <w:r w:rsidRPr="007066E0">
        <w:rPr>
          <w:rFonts w:ascii="Times New Roman" w:hAnsi="Times New Roman"/>
          <w:iCs/>
          <w:lang w:val="en-US"/>
        </w:rPr>
        <w:t>Epple</w:t>
      </w:r>
      <w:proofErr w:type="spellEnd"/>
      <w:r w:rsidRPr="007066E0">
        <w:rPr>
          <w:rFonts w:ascii="Times New Roman" w:hAnsi="Times New Roman"/>
          <w:iCs/>
          <w:lang w:val="en-US"/>
        </w:rPr>
        <w:t xml:space="preserve">, Dennis </w:t>
      </w:r>
      <w:r>
        <w:rPr>
          <w:rFonts w:ascii="Times New Roman" w:hAnsi="Times New Roman"/>
          <w:iCs/>
          <w:lang w:val="en-US"/>
        </w:rPr>
        <w:t xml:space="preserve">and </w:t>
      </w:r>
      <w:r w:rsidRPr="00FA6FFD">
        <w:rPr>
          <w:rFonts w:ascii="Times New Roman" w:hAnsi="Times New Roman"/>
          <w:iCs/>
          <w:lang w:val="en-US"/>
        </w:rPr>
        <w:t>Richard E.</w:t>
      </w:r>
      <w:r w:rsidRPr="007066E0">
        <w:rPr>
          <w:rFonts w:ascii="Times New Roman" w:hAnsi="Times New Roman"/>
          <w:iCs/>
          <w:lang w:val="en-US"/>
        </w:rPr>
        <w:t xml:space="preserve"> </w:t>
      </w:r>
      <w:r>
        <w:rPr>
          <w:rFonts w:ascii="Times New Roman" w:hAnsi="Times New Roman"/>
          <w:iCs/>
          <w:lang w:val="en-US"/>
        </w:rPr>
        <w:t>Romano  (</w:t>
      </w:r>
      <w:proofErr w:type="spellStart"/>
      <w:r>
        <w:rPr>
          <w:rFonts w:ascii="Times New Roman" w:hAnsi="Times New Roman"/>
          <w:iCs/>
          <w:lang w:val="en-US"/>
        </w:rPr>
        <w:t>1996</w:t>
      </w:r>
      <w:r w:rsidR="00B81189">
        <w:rPr>
          <w:rFonts w:ascii="Times New Roman" w:hAnsi="Times New Roman"/>
          <w:iCs/>
          <w:lang w:val="en-US"/>
        </w:rPr>
        <w:t>a</w:t>
      </w:r>
      <w:proofErr w:type="spellEnd"/>
      <w:r>
        <w:rPr>
          <w:rFonts w:ascii="Times New Roman" w:hAnsi="Times New Roman"/>
          <w:iCs/>
          <w:lang w:val="en-US"/>
        </w:rPr>
        <w:t xml:space="preserve">) </w:t>
      </w:r>
      <w:r>
        <w:rPr>
          <w:rFonts w:ascii="Times New Roman" w:hAnsi="Times New Roman"/>
          <w:i/>
          <w:iCs/>
          <w:lang w:val="en-US"/>
        </w:rPr>
        <w:t xml:space="preserve">Ends </w:t>
      </w:r>
      <w:proofErr w:type="spellStart"/>
      <w:r>
        <w:rPr>
          <w:rFonts w:ascii="Times New Roman" w:hAnsi="Times New Roman"/>
          <w:i/>
          <w:iCs/>
          <w:lang w:val="en-US"/>
        </w:rPr>
        <w:t>agains</w:t>
      </w:r>
      <w:proofErr w:type="spellEnd"/>
      <w:r>
        <w:rPr>
          <w:rFonts w:ascii="Times New Roman" w:hAnsi="Times New Roman"/>
          <w:i/>
          <w:iCs/>
          <w:lang w:val="en-US"/>
        </w:rPr>
        <w:t xml:space="preserve"> the middle: Determining public service provision when there are private alternatives, </w:t>
      </w:r>
      <w:r>
        <w:rPr>
          <w:rFonts w:ascii="Times New Roman" w:hAnsi="Times New Roman"/>
          <w:iCs/>
          <w:lang w:val="en-US"/>
        </w:rPr>
        <w:t>Journal of Public Economics, 62(2).</w:t>
      </w:r>
    </w:p>
    <w:p w14:paraId="2E31C25E" w14:textId="77777777" w:rsidR="00FA6FFD" w:rsidRDefault="00FA6FFD" w:rsidP="00B605C7">
      <w:pPr>
        <w:jc w:val="both"/>
        <w:rPr>
          <w:rFonts w:ascii="Times New Roman" w:hAnsi="Times New Roman"/>
          <w:iCs/>
          <w:lang w:val="en-US"/>
        </w:rPr>
      </w:pPr>
    </w:p>
    <w:p w14:paraId="45FA4A84" w14:textId="77777777" w:rsidR="00FA6FFD" w:rsidRPr="007066E0" w:rsidRDefault="00FA6FFD" w:rsidP="00B605C7">
      <w:pPr>
        <w:jc w:val="both"/>
        <w:rPr>
          <w:rFonts w:ascii="Times New Roman" w:hAnsi="Times New Roman"/>
          <w:iCs/>
          <w:lang w:val="en-CA"/>
        </w:rPr>
      </w:pPr>
      <w:proofErr w:type="spellStart"/>
      <w:r>
        <w:rPr>
          <w:rFonts w:ascii="Times New Roman" w:hAnsi="Times New Roman"/>
          <w:iCs/>
          <w:lang w:val="en-US"/>
        </w:rPr>
        <w:t>Epple</w:t>
      </w:r>
      <w:proofErr w:type="spellEnd"/>
      <w:r>
        <w:rPr>
          <w:rFonts w:ascii="Times New Roman" w:hAnsi="Times New Roman"/>
          <w:iCs/>
          <w:lang w:val="en-US"/>
        </w:rPr>
        <w:t>, Denis and Richard E. Romano,</w:t>
      </w:r>
      <w:r w:rsidR="00C11215">
        <w:rPr>
          <w:rFonts w:ascii="Times New Roman" w:hAnsi="Times New Roman"/>
          <w:iCs/>
          <w:lang w:val="en-US"/>
        </w:rPr>
        <w:t xml:space="preserve"> (1996</w:t>
      </w:r>
      <w:r w:rsidR="00B81189">
        <w:rPr>
          <w:rFonts w:ascii="Times New Roman" w:hAnsi="Times New Roman"/>
          <w:iCs/>
          <w:lang w:val="en-US"/>
        </w:rPr>
        <w:t>b</w:t>
      </w:r>
      <w:r>
        <w:rPr>
          <w:rFonts w:ascii="Times New Roman" w:hAnsi="Times New Roman"/>
          <w:iCs/>
          <w:lang w:val="en-US"/>
        </w:rPr>
        <w:t xml:space="preserve">) </w:t>
      </w:r>
      <w:r w:rsidR="00613397">
        <w:rPr>
          <w:rFonts w:ascii="Times New Roman" w:hAnsi="Times New Roman"/>
          <w:i/>
          <w:iCs/>
          <w:lang w:val="en-CA"/>
        </w:rPr>
        <w:t xml:space="preserve">Public provision of private goods, </w:t>
      </w:r>
      <w:r w:rsidR="00613397">
        <w:rPr>
          <w:rFonts w:ascii="Times New Roman" w:hAnsi="Times New Roman"/>
          <w:iCs/>
          <w:lang w:val="en-CA"/>
        </w:rPr>
        <w:t>Journal of political economy, 104(1).</w:t>
      </w:r>
    </w:p>
    <w:p w14:paraId="2E0996E6" w14:textId="77777777" w:rsidR="00FE2D11" w:rsidRDefault="00FE2D11" w:rsidP="00B605C7">
      <w:pPr>
        <w:jc w:val="both"/>
        <w:rPr>
          <w:rFonts w:ascii="Times New Roman" w:hAnsi="Times New Roman"/>
        </w:rPr>
      </w:pPr>
    </w:p>
    <w:p w14:paraId="40EED371" w14:textId="77777777" w:rsidR="00FE2D11" w:rsidRDefault="00FE2D11" w:rsidP="00B605C7">
      <w:pPr>
        <w:jc w:val="both"/>
        <w:rPr>
          <w:rFonts w:ascii="Times New Roman" w:hAnsi="Times New Roman"/>
        </w:rPr>
      </w:pPr>
      <w:r>
        <w:rPr>
          <w:rFonts w:ascii="Times New Roman" w:hAnsi="Times New Roman"/>
        </w:rPr>
        <w:t xml:space="preserve">Flood, Colleen M., Mark Stabile and Carolyn Hughes Tuohy (2004), </w:t>
      </w:r>
      <w:r>
        <w:rPr>
          <w:rFonts w:ascii="Times New Roman" w:hAnsi="Times New Roman"/>
          <w:i/>
        </w:rPr>
        <w:t>How Does Private Finance Affect Public Health Care Systems? Marshalling the Evidence from OECD Nations</w:t>
      </w:r>
      <w:r>
        <w:rPr>
          <w:rFonts w:ascii="Times New Roman" w:hAnsi="Times New Roman"/>
        </w:rPr>
        <w:t>, Journal of Health Politics, Policy and Law, 29(3).</w:t>
      </w:r>
    </w:p>
    <w:p w14:paraId="25326062" w14:textId="77777777" w:rsidR="00FE2D11" w:rsidRDefault="00FE2D11" w:rsidP="00B605C7">
      <w:pPr>
        <w:jc w:val="both"/>
        <w:rPr>
          <w:rFonts w:ascii="Times New Roman" w:hAnsi="Times New Roman"/>
        </w:rPr>
      </w:pPr>
    </w:p>
    <w:p w14:paraId="18A84A46" w14:textId="77777777" w:rsidR="00FE2D11" w:rsidRPr="00844912" w:rsidRDefault="00FE2D11" w:rsidP="00B605C7">
      <w:pPr>
        <w:jc w:val="both"/>
        <w:rPr>
          <w:rFonts w:ascii="Times New Roman" w:hAnsi="Times New Roman"/>
        </w:rPr>
      </w:pPr>
      <w:r>
        <w:rPr>
          <w:rFonts w:ascii="Times New Roman" w:hAnsi="Times New Roman"/>
        </w:rPr>
        <w:t xml:space="preserve">Hall, Robert E. and Charles I. Jones (2007), </w:t>
      </w:r>
      <w:r>
        <w:rPr>
          <w:rFonts w:ascii="Times New Roman" w:hAnsi="Times New Roman"/>
          <w:i/>
        </w:rPr>
        <w:t xml:space="preserve">The Value of Life and the Rise in Health Spending, </w:t>
      </w:r>
      <w:r>
        <w:rPr>
          <w:rFonts w:ascii="Times New Roman" w:hAnsi="Times New Roman"/>
        </w:rPr>
        <w:t xml:space="preserve">Quarterly Journal of Economics, 122(1). </w:t>
      </w:r>
    </w:p>
    <w:p w14:paraId="0B361B87" w14:textId="77777777" w:rsidR="00FE2D11" w:rsidRDefault="00FE2D11" w:rsidP="00B605C7">
      <w:pPr>
        <w:jc w:val="both"/>
        <w:rPr>
          <w:rFonts w:ascii="Times New Roman" w:hAnsi="Times New Roman"/>
        </w:rPr>
      </w:pPr>
    </w:p>
    <w:p w14:paraId="35CAB115" w14:textId="77777777" w:rsidR="00FE2D11" w:rsidRDefault="00FE2D11" w:rsidP="00B605C7">
      <w:pPr>
        <w:jc w:val="both"/>
        <w:rPr>
          <w:rFonts w:ascii="Times New Roman" w:hAnsi="Times New Roman"/>
        </w:rPr>
      </w:pPr>
      <w:r>
        <w:rPr>
          <w:rFonts w:ascii="Times New Roman" w:hAnsi="Times New Roman"/>
        </w:rPr>
        <w:t xml:space="preserve">Income Statistics Division - Statistics Canada, </w:t>
      </w:r>
      <w:r>
        <w:rPr>
          <w:rFonts w:ascii="Times New Roman" w:hAnsi="Times New Roman"/>
          <w:i/>
        </w:rPr>
        <w:t xml:space="preserve">Survey of Household Spending, </w:t>
      </w:r>
      <w:r>
        <w:rPr>
          <w:rFonts w:ascii="Times New Roman" w:hAnsi="Times New Roman"/>
        </w:rPr>
        <w:t xml:space="preserve">Government of Canada, 2009. </w:t>
      </w:r>
    </w:p>
    <w:p w14:paraId="3BF83E75" w14:textId="77777777" w:rsidR="00FE2D11" w:rsidRPr="001B2DD9" w:rsidRDefault="00FE2D11" w:rsidP="00B605C7">
      <w:pPr>
        <w:jc w:val="both"/>
        <w:rPr>
          <w:rFonts w:ascii="Times New Roman" w:hAnsi="Times New Roman"/>
        </w:rPr>
      </w:pPr>
    </w:p>
    <w:p w14:paraId="3D80E173" w14:textId="77777777" w:rsidR="00FE2D11" w:rsidRPr="008E4F3C" w:rsidRDefault="00FE2D11" w:rsidP="00B605C7">
      <w:pPr>
        <w:jc w:val="both"/>
        <w:rPr>
          <w:rFonts w:ascii="Times New Roman" w:hAnsi="Times New Roman"/>
        </w:rPr>
      </w:pPr>
      <w:r>
        <w:rPr>
          <w:rFonts w:ascii="Times New Roman" w:hAnsi="Times New Roman"/>
        </w:rPr>
        <w:t xml:space="preserve">Law, Michael R, Jamie R. Daw, Lucy Cheng and Steven G. Morgan (2013), </w:t>
      </w:r>
      <w:r>
        <w:rPr>
          <w:rFonts w:ascii="Times New Roman" w:hAnsi="Times New Roman"/>
          <w:i/>
        </w:rPr>
        <w:t xml:space="preserve">Growth in private payments for health care by Canadian households, </w:t>
      </w:r>
      <w:r>
        <w:rPr>
          <w:rFonts w:ascii="Times New Roman" w:hAnsi="Times New Roman"/>
        </w:rPr>
        <w:t>Health Policy, 110.</w:t>
      </w:r>
    </w:p>
    <w:p w14:paraId="1455D58B" w14:textId="77777777" w:rsidR="00FE2D11" w:rsidRDefault="00FE2D11" w:rsidP="00B605C7">
      <w:pPr>
        <w:jc w:val="both"/>
        <w:rPr>
          <w:rFonts w:ascii="Times New Roman" w:hAnsi="Times New Roman"/>
        </w:rPr>
      </w:pPr>
    </w:p>
    <w:p w14:paraId="3BEDE407" w14:textId="77777777" w:rsidR="00FE2D11" w:rsidRPr="00844912" w:rsidRDefault="00FE2D11" w:rsidP="00B605C7">
      <w:pPr>
        <w:jc w:val="both"/>
        <w:rPr>
          <w:rFonts w:ascii="Times New Roman" w:hAnsi="Times New Roman"/>
        </w:rPr>
      </w:pPr>
      <w:r>
        <w:rPr>
          <w:rFonts w:ascii="Times New Roman" w:hAnsi="Times New Roman"/>
        </w:rPr>
        <w:lastRenderedPageBreak/>
        <w:t xml:space="preserve">Li, </w:t>
      </w:r>
      <w:proofErr w:type="spellStart"/>
      <w:r>
        <w:rPr>
          <w:rFonts w:ascii="Times New Roman" w:hAnsi="Times New Roman"/>
        </w:rPr>
        <w:t>Shuyun</w:t>
      </w:r>
      <w:proofErr w:type="spellEnd"/>
      <w:r>
        <w:rPr>
          <w:rFonts w:ascii="Times New Roman" w:hAnsi="Times New Roman"/>
        </w:rPr>
        <w:t xml:space="preserve"> May, </w:t>
      </w:r>
      <w:proofErr w:type="spellStart"/>
      <w:r>
        <w:rPr>
          <w:rFonts w:ascii="Times New Roman" w:hAnsi="Times New Roman"/>
        </w:rPr>
        <w:t>Solmaz</w:t>
      </w:r>
      <w:proofErr w:type="spellEnd"/>
      <w:r>
        <w:rPr>
          <w:rFonts w:ascii="Times New Roman" w:hAnsi="Times New Roman"/>
        </w:rPr>
        <w:t xml:space="preserve"> </w:t>
      </w:r>
      <w:proofErr w:type="spellStart"/>
      <w:r>
        <w:rPr>
          <w:rFonts w:ascii="Times New Roman" w:hAnsi="Times New Roman"/>
        </w:rPr>
        <w:t>Moslehi</w:t>
      </w:r>
      <w:proofErr w:type="spellEnd"/>
      <w:r>
        <w:rPr>
          <w:rFonts w:ascii="Times New Roman" w:hAnsi="Times New Roman"/>
        </w:rPr>
        <w:t xml:space="preserve"> and Siew Ling Yew (2016), </w:t>
      </w:r>
      <w:r>
        <w:rPr>
          <w:rFonts w:ascii="Times New Roman" w:hAnsi="Times New Roman"/>
          <w:i/>
        </w:rPr>
        <w:t>Public-Private Mix of Health Expenditure: A Political Economy and Quantitative Analysis</w:t>
      </w:r>
      <w:r>
        <w:rPr>
          <w:rFonts w:ascii="Times New Roman" w:hAnsi="Times New Roman"/>
        </w:rPr>
        <w:t>, Canadian Journal of Economics, 49(2).</w:t>
      </w:r>
    </w:p>
    <w:p w14:paraId="3051B2AA" w14:textId="77777777" w:rsidR="00FE2D11" w:rsidRDefault="00FE2D11" w:rsidP="00B605C7">
      <w:pPr>
        <w:jc w:val="both"/>
        <w:rPr>
          <w:rFonts w:ascii="Times New Roman" w:hAnsi="Times New Roman"/>
        </w:rPr>
      </w:pPr>
    </w:p>
    <w:p w14:paraId="49400098" w14:textId="77777777" w:rsidR="006239AF" w:rsidRPr="006239AF" w:rsidRDefault="006239AF" w:rsidP="00B605C7">
      <w:pPr>
        <w:jc w:val="both"/>
        <w:rPr>
          <w:rFonts w:ascii="Times New Roman" w:eastAsia="Cambria" w:hAnsi="Times New Roman" w:cs="Times New Roman"/>
          <w:lang w:val="en-CA"/>
        </w:rPr>
      </w:pPr>
      <w:proofErr w:type="spellStart"/>
      <w:r>
        <w:rPr>
          <w:rFonts w:ascii="Times New Roman" w:eastAsia="Cambria" w:hAnsi="Times New Roman" w:cs="Times New Roman"/>
          <w:lang w:val="en-CA"/>
        </w:rPr>
        <w:t>Lülfesmann</w:t>
      </w:r>
      <w:proofErr w:type="spellEnd"/>
      <w:r>
        <w:rPr>
          <w:rFonts w:ascii="Times New Roman" w:eastAsia="Cambria" w:hAnsi="Times New Roman" w:cs="Times New Roman"/>
          <w:lang w:val="en-CA"/>
        </w:rPr>
        <w:t xml:space="preserve">, Christoph and Gordon M. Myers (2011) </w:t>
      </w:r>
      <w:r>
        <w:rPr>
          <w:rFonts w:ascii="Times New Roman" w:eastAsia="Cambria" w:hAnsi="Times New Roman" w:cs="Times New Roman"/>
          <w:i/>
          <w:lang w:val="en-CA"/>
        </w:rPr>
        <w:t xml:space="preserve">Two-Tier public provision: Comparing public systems, </w:t>
      </w:r>
      <w:r>
        <w:rPr>
          <w:rFonts w:ascii="Times New Roman" w:eastAsia="Cambria" w:hAnsi="Times New Roman" w:cs="Times New Roman"/>
          <w:lang w:val="en-CA"/>
        </w:rPr>
        <w:t>Journal of Public Economics, 95(11-12)</w:t>
      </w:r>
      <w:r w:rsidR="0078415A">
        <w:rPr>
          <w:rFonts w:ascii="Times New Roman" w:eastAsia="Cambria" w:hAnsi="Times New Roman" w:cs="Times New Roman"/>
          <w:lang w:val="en-CA"/>
        </w:rPr>
        <w:t>.</w:t>
      </w:r>
    </w:p>
    <w:p w14:paraId="3763A315" w14:textId="77777777" w:rsidR="006239AF" w:rsidRDefault="006239AF" w:rsidP="00B605C7">
      <w:pPr>
        <w:jc w:val="both"/>
        <w:rPr>
          <w:rFonts w:ascii="Times New Roman" w:hAnsi="Times New Roman"/>
        </w:rPr>
      </w:pPr>
    </w:p>
    <w:p w14:paraId="04742AA2" w14:textId="77777777" w:rsidR="00FE2D11" w:rsidRDefault="00FE2D11" w:rsidP="00B605C7">
      <w:pPr>
        <w:jc w:val="both"/>
        <w:rPr>
          <w:rFonts w:ascii="Times New Roman" w:hAnsi="Times New Roman"/>
        </w:rPr>
      </w:pPr>
      <w:proofErr w:type="spellStart"/>
      <w:r>
        <w:rPr>
          <w:rFonts w:ascii="Times New Roman" w:hAnsi="Times New Roman"/>
        </w:rPr>
        <w:t>Lupu</w:t>
      </w:r>
      <w:proofErr w:type="spellEnd"/>
      <w:r>
        <w:rPr>
          <w:rFonts w:ascii="Times New Roman" w:hAnsi="Times New Roman"/>
        </w:rPr>
        <w:t xml:space="preserve">, Noam and Jonas </w:t>
      </w:r>
      <w:proofErr w:type="spellStart"/>
      <w:r>
        <w:rPr>
          <w:rFonts w:ascii="Times New Roman" w:hAnsi="Times New Roman"/>
        </w:rPr>
        <w:t>Pontusson</w:t>
      </w:r>
      <w:proofErr w:type="spellEnd"/>
      <w:r>
        <w:rPr>
          <w:rFonts w:ascii="Times New Roman" w:hAnsi="Times New Roman"/>
        </w:rPr>
        <w:t xml:space="preserve"> (2011), </w:t>
      </w:r>
      <w:r>
        <w:rPr>
          <w:rFonts w:ascii="Times New Roman" w:hAnsi="Times New Roman"/>
          <w:i/>
        </w:rPr>
        <w:t>The Structure of Inequality and the Politics of Redistribution</w:t>
      </w:r>
      <w:r>
        <w:rPr>
          <w:rFonts w:ascii="Times New Roman" w:hAnsi="Times New Roman"/>
        </w:rPr>
        <w:t>, The American Political Science Review, 105(2).</w:t>
      </w:r>
    </w:p>
    <w:p w14:paraId="77943FB2" w14:textId="77777777" w:rsidR="00FE2D11" w:rsidRDefault="00FE2D11" w:rsidP="00B605C7">
      <w:pPr>
        <w:jc w:val="both"/>
        <w:rPr>
          <w:rFonts w:ascii="Times New Roman" w:hAnsi="Times New Roman"/>
          <w:lang w:val="en-US"/>
        </w:rPr>
      </w:pPr>
    </w:p>
    <w:p w14:paraId="0D5C8E5F" w14:textId="77777777" w:rsidR="00FE2D11" w:rsidRDefault="00FE2D11" w:rsidP="00B605C7">
      <w:pPr>
        <w:jc w:val="both"/>
        <w:rPr>
          <w:rFonts w:ascii="Times New Roman" w:hAnsi="Times New Roman"/>
          <w:lang w:val="en-US"/>
        </w:rPr>
      </w:pPr>
      <w:r>
        <w:rPr>
          <w:rFonts w:ascii="Times New Roman" w:hAnsi="Times New Roman"/>
          <w:lang w:val="en-US"/>
        </w:rPr>
        <w:t xml:space="preserve">Meltzer, Allan H. and Scott F. Richard (1981), </w:t>
      </w:r>
      <w:r>
        <w:rPr>
          <w:rFonts w:ascii="Times New Roman" w:hAnsi="Times New Roman"/>
          <w:i/>
          <w:lang w:val="en-US"/>
        </w:rPr>
        <w:t>A Rational Theory of the Size of Government</w:t>
      </w:r>
      <w:r>
        <w:rPr>
          <w:rFonts w:ascii="Times New Roman" w:hAnsi="Times New Roman"/>
          <w:lang w:val="en-US"/>
        </w:rPr>
        <w:t>, Journal of Political Economy, 89(5).</w:t>
      </w:r>
    </w:p>
    <w:p w14:paraId="32CE8BFC" w14:textId="77777777" w:rsidR="00FE2D11" w:rsidRDefault="00FE2D11" w:rsidP="00B605C7">
      <w:pPr>
        <w:jc w:val="both"/>
        <w:rPr>
          <w:rFonts w:ascii="Times New Roman" w:hAnsi="Times New Roman"/>
          <w:lang w:val="en-US"/>
        </w:rPr>
      </w:pPr>
    </w:p>
    <w:p w14:paraId="38DD023D" w14:textId="77777777" w:rsidR="00FE2D11" w:rsidRPr="00646820" w:rsidRDefault="00FE2D11" w:rsidP="00B605C7">
      <w:pPr>
        <w:jc w:val="both"/>
        <w:rPr>
          <w:rFonts w:ascii="Times New Roman" w:hAnsi="Times New Roman"/>
          <w:lang w:val="en-US"/>
        </w:rPr>
      </w:pPr>
      <w:r>
        <w:rPr>
          <w:rFonts w:ascii="Times New Roman" w:hAnsi="Times New Roman"/>
          <w:lang w:val="en-US"/>
        </w:rPr>
        <w:t xml:space="preserve">Meltzer, Allan H. and Scott F. Richard (1983), </w:t>
      </w:r>
      <w:r>
        <w:rPr>
          <w:rFonts w:ascii="Times New Roman" w:hAnsi="Times New Roman"/>
          <w:i/>
          <w:lang w:val="en-US"/>
        </w:rPr>
        <w:t xml:space="preserve">Tests of a Rational Theory of the Size of Government, </w:t>
      </w:r>
      <w:r>
        <w:rPr>
          <w:rFonts w:ascii="Times New Roman" w:hAnsi="Times New Roman"/>
          <w:lang w:val="en-US"/>
        </w:rPr>
        <w:t xml:space="preserve">Public Choice, 41(3). </w:t>
      </w:r>
    </w:p>
    <w:p w14:paraId="11ABA0C6" w14:textId="77777777" w:rsidR="00FE2D11" w:rsidRDefault="00FE2D11" w:rsidP="00B605C7">
      <w:pPr>
        <w:jc w:val="both"/>
        <w:rPr>
          <w:rFonts w:ascii="Times New Roman" w:hAnsi="Times New Roman"/>
          <w:lang w:val="en-US"/>
        </w:rPr>
      </w:pPr>
    </w:p>
    <w:p w14:paraId="004391C4" w14:textId="77777777" w:rsidR="00FE2D11" w:rsidRPr="00A17C25" w:rsidRDefault="00FE2D11" w:rsidP="00B605C7">
      <w:pPr>
        <w:rPr>
          <w:rFonts w:ascii="Times New Roman" w:hAnsi="Times New Roman"/>
          <w:lang w:val="en-US"/>
        </w:rPr>
      </w:pPr>
      <w:r>
        <w:rPr>
          <w:rFonts w:ascii="Times New Roman" w:hAnsi="Times New Roman"/>
          <w:lang w:val="en-US"/>
        </w:rPr>
        <w:t xml:space="preserve">OECD ((2016), </w:t>
      </w:r>
      <w:r>
        <w:rPr>
          <w:rFonts w:ascii="Times New Roman" w:hAnsi="Times New Roman"/>
          <w:i/>
          <w:lang w:val="en-US"/>
        </w:rPr>
        <w:t xml:space="preserve">Health </w:t>
      </w:r>
      <w:proofErr w:type="spellStart"/>
      <w:r>
        <w:rPr>
          <w:rFonts w:ascii="Times New Roman" w:hAnsi="Times New Roman"/>
          <w:i/>
          <w:lang w:val="en-US"/>
        </w:rPr>
        <w:t>DataBase</w:t>
      </w:r>
      <w:proofErr w:type="spellEnd"/>
      <w:r>
        <w:rPr>
          <w:rFonts w:ascii="Times New Roman" w:hAnsi="Times New Roman"/>
          <w:i/>
          <w:lang w:val="en-US"/>
        </w:rPr>
        <w:t>,</w:t>
      </w:r>
      <w:r>
        <w:rPr>
          <w:rFonts w:ascii="Times New Roman" w:hAnsi="Times New Roman"/>
          <w:lang w:val="en-US"/>
        </w:rPr>
        <w:t xml:space="preserve"> </w:t>
      </w:r>
      <w:proofErr w:type="spellStart"/>
      <w:r>
        <w:rPr>
          <w:rFonts w:ascii="Times New Roman" w:hAnsi="Times New Roman"/>
          <w:lang w:val="en-US"/>
        </w:rPr>
        <w:t>OECD.Stat</w:t>
      </w:r>
      <w:proofErr w:type="spellEnd"/>
      <w:r>
        <w:rPr>
          <w:rFonts w:ascii="Times New Roman" w:hAnsi="Times New Roman"/>
          <w:lang w:val="en-US"/>
        </w:rPr>
        <w:t xml:space="preserve">, </w:t>
      </w:r>
      <w:r w:rsidRPr="00BE3C0B">
        <w:rPr>
          <w:rFonts w:ascii="Times New Roman" w:hAnsi="Times New Roman"/>
          <w:lang w:val="en-US"/>
        </w:rPr>
        <w:t>http://stats.oecd.org/index.aspx?DataSetCode=HEALTH_STAT#</w:t>
      </w:r>
      <w:r>
        <w:rPr>
          <w:rFonts w:ascii="Times New Roman" w:hAnsi="Times New Roman"/>
          <w:lang w:val="en-US"/>
        </w:rPr>
        <w:t>, 01/11/2016.</w:t>
      </w:r>
    </w:p>
    <w:p w14:paraId="3B3BCAC5" w14:textId="77777777" w:rsidR="00FE2D11" w:rsidRDefault="00FE2D11" w:rsidP="00B605C7">
      <w:pPr>
        <w:jc w:val="both"/>
        <w:rPr>
          <w:rFonts w:ascii="Times New Roman" w:hAnsi="Times New Roman"/>
          <w:lang w:val="en-US"/>
        </w:rPr>
      </w:pPr>
    </w:p>
    <w:p w14:paraId="7FDEB4BE" w14:textId="77777777" w:rsidR="00FE2D11" w:rsidRDefault="00FE2D11" w:rsidP="00B605C7">
      <w:pPr>
        <w:jc w:val="both"/>
        <w:rPr>
          <w:rFonts w:ascii="Times New Roman" w:hAnsi="Times New Roman"/>
          <w:lang w:val="en-US"/>
        </w:rPr>
      </w:pPr>
      <w:r>
        <w:rPr>
          <w:rFonts w:ascii="Times New Roman" w:hAnsi="Times New Roman"/>
          <w:lang w:val="en-US"/>
        </w:rPr>
        <w:t xml:space="preserve">OECD  (2006), </w:t>
      </w:r>
      <w:r>
        <w:rPr>
          <w:rFonts w:ascii="Times New Roman" w:hAnsi="Times New Roman"/>
          <w:i/>
          <w:lang w:val="en-US"/>
        </w:rPr>
        <w:t xml:space="preserve">Projecting OECD Health and Long Term Health Expenditures: What Are the Main Drivers?, </w:t>
      </w:r>
      <w:r>
        <w:rPr>
          <w:rFonts w:ascii="Times New Roman" w:hAnsi="Times New Roman"/>
          <w:lang w:val="en-US"/>
        </w:rPr>
        <w:t xml:space="preserve">Economics Department, Working Paper 477. </w:t>
      </w:r>
    </w:p>
    <w:p w14:paraId="1DC8C8B3" w14:textId="77777777" w:rsidR="00FE2D11" w:rsidRDefault="00FE2D11" w:rsidP="00B605C7">
      <w:pPr>
        <w:jc w:val="both"/>
        <w:rPr>
          <w:rFonts w:ascii="Times New Roman" w:hAnsi="Times New Roman" w:cs="Times New Roman"/>
          <w:lang w:val="en-US"/>
        </w:rPr>
      </w:pPr>
    </w:p>
    <w:p w14:paraId="3AC82F41" w14:textId="77777777" w:rsidR="00327CBB" w:rsidRPr="003A7225" w:rsidRDefault="00327CBB" w:rsidP="00B605C7">
      <w:pPr>
        <w:jc w:val="both"/>
        <w:rPr>
          <w:rFonts w:ascii="Times New Roman" w:hAnsi="Times New Roman" w:cs="Times New Roman"/>
          <w:lang w:val="en-US"/>
        </w:rPr>
      </w:pPr>
      <w:r w:rsidRPr="005A0843">
        <w:rPr>
          <w:rFonts w:ascii="Times New Roman" w:hAnsi="Times New Roman" w:cs="Times New Roman"/>
          <w:lang w:val="en-US"/>
        </w:rPr>
        <w:t>Stabile</w:t>
      </w:r>
      <w:r w:rsidR="003A7225" w:rsidRPr="005A0843">
        <w:rPr>
          <w:rFonts w:ascii="Times New Roman" w:hAnsi="Times New Roman" w:cs="Times New Roman"/>
          <w:lang w:val="en-US"/>
        </w:rPr>
        <w:t>,</w:t>
      </w:r>
      <w:r w:rsidRPr="005A0843">
        <w:rPr>
          <w:rFonts w:ascii="Times New Roman" w:hAnsi="Times New Roman" w:cs="Times New Roman"/>
          <w:lang w:val="en-US"/>
        </w:rPr>
        <w:t xml:space="preserve"> Mark</w:t>
      </w:r>
      <w:r w:rsidR="003A7225" w:rsidRPr="005A0843">
        <w:rPr>
          <w:rFonts w:ascii="Times New Roman" w:hAnsi="Times New Roman" w:cs="Times New Roman"/>
          <w:lang w:val="en-US"/>
        </w:rPr>
        <w:t xml:space="preserve"> (2001) </w:t>
      </w:r>
      <w:r w:rsidR="003A7225" w:rsidRPr="005A0843">
        <w:rPr>
          <w:rFonts w:ascii="Times New Roman" w:hAnsi="Times New Roman" w:cs="Times New Roman"/>
          <w:i/>
          <w:lang w:val="en-US"/>
        </w:rPr>
        <w:t>Private Insurance Subsidies and Public Health Care Markets: Evidence from Canada</w:t>
      </w:r>
      <w:r w:rsidR="003A7225" w:rsidRPr="005A0843">
        <w:rPr>
          <w:rFonts w:ascii="Times New Roman" w:hAnsi="Times New Roman" w:cs="Times New Roman"/>
          <w:lang w:val="en-US"/>
        </w:rPr>
        <w:t>, Canadian Journal of Health Economics, 34(4).</w:t>
      </w:r>
    </w:p>
    <w:p w14:paraId="2CC99B3E" w14:textId="77777777" w:rsidR="00327CBB" w:rsidRPr="00B011B3" w:rsidRDefault="00327CBB" w:rsidP="00B605C7">
      <w:pPr>
        <w:jc w:val="both"/>
        <w:rPr>
          <w:rFonts w:ascii="Times New Roman" w:hAnsi="Times New Roman" w:cs="Times New Roman"/>
          <w:lang w:val="en-US"/>
        </w:rPr>
      </w:pPr>
    </w:p>
    <w:p w14:paraId="4D557011" w14:textId="77777777" w:rsidR="00B011B3" w:rsidRPr="00B011B3" w:rsidRDefault="00B011B3" w:rsidP="00B011B3">
      <w:pPr>
        <w:widowControl w:val="0"/>
        <w:autoSpaceDE w:val="0"/>
        <w:autoSpaceDN w:val="0"/>
        <w:adjustRightInd w:val="0"/>
        <w:rPr>
          <w:rFonts w:ascii="Times New Roman" w:hAnsi="Times New Roman" w:cs="Times New Roman"/>
        </w:rPr>
      </w:pPr>
      <w:r w:rsidRPr="00B011B3">
        <w:rPr>
          <w:rFonts w:ascii="Times New Roman" w:hAnsi="Times New Roman" w:cs="Times New Roman"/>
        </w:rPr>
        <w:t>Stabile</w:t>
      </w:r>
      <w:r w:rsidR="00327CBB">
        <w:rPr>
          <w:rFonts w:ascii="Times New Roman" w:hAnsi="Times New Roman" w:cs="Times New Roman"/>
        </w:rPr>
        <w:t>,</w:t>
      </w:r>
      <w:r w:rsidRPr="00B011B3">
        <w:rPr>
          <w:rFonts w:ascii="Times New Roman" w:hAnsi="Times New Roman" w:cs="Times New Roman"/>
        </w:rPr>
        <w:t xml:space="preserve"> M</w:t>
      </w:r>
      <w:r w:rsidR="00327CBB">
        <w:rPr>
          <w:rFonts w:ascii="Times New Roman" w:hAnsi="Times New Roman" w:cs="Times New Roman"/>
        </w:rPr>
        <w:t>ark</w:t>
      </w:r>
      <w:r w:rsidRPr="00B011B3">
        <w:rPr>
          <w:rFonts w:ascii="Times New Roman" w:hAnsi="Times New Roman" w:cs="Times New Roman"/>
        </w:rPr>
        <w:t xml:space="preserve"> and Townsend M</w:t>
      </w:r>
      <w:r w:rsidR="00FA6FFD">
        <w:rPr>
          <w:rFonts w:ascii="Times New Roman" w:hAnsi="Times New Roman" w:cs="Times New Roman"/>
        </w:rPr>
        <w:t>atthew (2014)</w:t>
      </w:r>
      <w:r w:rsidRPr="00B011B3">
        <w:rPr>
          <w:rFonts w:ascii="Times New Roman" w:hAnsi="Times New Roman" w:cs="Times New Roman"/>
        </w:rPr>
        <w:t xml:space="preserve"> Supplementary Private Health Insurance in National Health Insurance Systems. </w:t>
      </w:r>
      <w:proofErr w:type="spellStart"/>
      <w:r w:rsidRPr="00B011B3">
        <w:rPr>
          <w:rFonts w:ascii="Times New Roman" w:hAnsi="Times New Roman" w:cs="Times New Roman"/>
        </w:rPr>
        <w:t>In:Anthony</w:t>
      </w:r>
      <w:proofErr w:type="spellEnd"/>
      <w:r w:rsidRPr="00B011B3">
        <w:rPr>
          <w:rFonts w:ascii="Times New Roman" w:hAnsi="Times New Roman" w:cs="Times New Roman"/>
        </w:rPr>
        <w:t xml:space="preserve"> J. </w:t>
      </w:r>
      <w:proofErr w:type="spellStart"/>
      <w:r w:rsidRPr="00B011B3">
        <w:rPr>
          <w:rFonts w:ascii="Times New Roman" w:hAnsi="Times New Roman" w:cs="Times New Roman"/>
        </w:rPr>
        <w:t>Culyer</w:t>
      </w:r>
      <w:proofErr w:type="spellEnd"/>
      <w:r w:rsidRPr="00B011B3">
        <w:rPr>
          <w:rFonts w:ascii="Times New Roman" w:hAnsi="Times New Roman" w:cs="Times New Roman"/>
        </w:rPr>
        <w:t xml:space="preserve"> (ed.), </w:t>
      </w:r>
      <w:proofErr w:type="spellStart"/>
      <w:r w:rsidRPr="00B011B3">
        <w:rPr>
          <w:rFonts w:ascii="Times New Roman" w:hAnsi="Times New Roman" w:cs="Times New Roman"/>
          <w:i/>
        </w:rPr>
        <w:t>Encyclopedia</w:t>
      </w:r>
      <w:proofErr w:type="spellEnd"/>
      <w:r w:rsidRPr="00B011B3">
        <w:rPr>
          <w:rFonts w:ascii="Times New Roman" w:hAnsi="Times New Roman" w:cs="Times New Roman"/>
          <w:i/>
        </w:rPr>
        <w:t xml:space="preserve"> of Health Economics,</w:t>
      </w:r>
      <w:r w:rsidRPr="00B011B3">
        <w:rPr>
          <w:rFonts w:ascii="Times New Roman" w:hAnsi="Times New Roman" w:cs="Times New Roman"/>
        </w:rPr>
        <w:t xml:space="preserve"> Vol 3. San Diego: Elsevier; 2014. pp. 362-365.</w:t>
      </w:r>
    </w:p>
    <w:p w14:paraId="61B90E25" w14:textId="77777777" w:rsidR="00B011B3" w:rsidRDefault="00B011B3" w:rsidP="00B605C7">
      <w:pPr>
        <w:jc w:val="both"/>
        <w:rPr>
          <w:rFonts w:ascii="Times New Roman" w:hAnsi="Times New Roman"/>
          <w:lang w:val="en-US"/>
        </w:rPr>
      </w:pPr>
    </w:p>
    <w:p w14:paraId="136096B5" w14:textId="77777777" w:rsidR="00FE2D11" w:rsidRPr="00513781" w:rsidRDefault="00FE2D11" w:rsidP="00CC5CC1">
      <w:pPr>
        <w:jc w:val="both"/>
        <w:outlineLvl w:val="0"/>
        <w:rPr>
          <w:rFonts w:ascii="Times New Roman" w:hAnsi="Times New Roman"/>
          <w:lang w:val="en-US"/>
        </w:rPr>
      </w:pPr>
      <w:proofErr w:type="spellStart"/>
      <w:r>
        <w:rPr>
          <w:rFonts w:ascii="Times New Roman" w:hAnsi="Times New Roman"/>
          <w:lang w:val="en-US"/>
        </w:rPr>
        <w:t>Stigliz</w:t>
      </w:r>
      <w:proofErr w:type="spellEnd"/>
      <w:r>
        <w:rPr>
          <w:rFonts w:ascii="Times New Roman" w:hAnsi="Times New Roman"/>
          <w:lang w:val="en-US"/>
        </w:rPr>
        <w:t xml:space="preserve">, Joseph (2012) </w:t>
      </w:r>
      <w:r>
        <w:rPr>
          <w:rFonts w:ascii="Times New Roman" w:hAnsi="Times New Roman"/>
          <w:i/>
          <w:lang w:val="en-US"/>
        </w:rPr>
        <w:t>The Price of Inequality</w:t>
      </w:r>
      <w:r>
        <w:rPr>
          <w:rFonts w:ascii="Times New Roman" w:hAnsi="Times New Roman"/>
          <w:lang w:val="en-US"/>
        </w:rPr>
        <w:t xml:space="preserve"> </w:t>
      </w:r>
      <w:proofErr w:type="spellStart"/>
      <w:r>
        <w:rPr>
          <w:rFonts w:ascii="Times New Roman" w:hAnsi="Times New Roman"/>
          <w:lang w:val="en-US"/>
        </w:rPr>
        <w:t>W.W.Norton</w:t>
      </w:r>
      <w:proofErr w:type="spellEnd"/>
      <w:r>
        <w:rPr>
          <w:rFonts w:ascii="Times New Roman" w:hAnsi="Times New Roman"/>
          <w:lang w:val="en-US"/>
        </w:rPr>
        <w:t xml:space="preserve"> and Company, USA</w:t>
      </w:r>
    </w:p>
    <w:p w14:paraId="7B825B7E" w14:textId="77777777" w:rsidR="00FE2D11" w:rsidRDefault="00FE2D11" w:rsidP="00B605C7">
      <w:pPr>
        <w:jc w:val="both"/>
        <w:rPr>
          <w:rFonts w:ascii="Times New Roman" w:hAnsi="Times New Roman"/>
          <w:lang w:val="en-US"/>
        </w:rPr>
      </w:pPr>
    </w:p>
    <w:p w14:paraId="52FCE463" w14:textId="77777777" w:rsidR="00CC5CC1" w:rsidRPr="00513781" w:rsidRDefault="00CC5CC1" w:rsidP="00CC5CC1">
      <w:pPr>
        <w:jc w:val="both"/>
        <w:outlineLvl w:val="0"/>
        <w:rPr>
          <w:rFonts w:ascii="Times New Roman" w:hAnsi="Times New Roman"/>
          <w:lang w:val="en-US"/>
        </w:rPr>
      </w:pPr>
      <w:r>
        <w:rPr>
          <w:rFonts w:ascii="Times New Roman" w:hAnsi="Times New Roman"/>
          <w:lang w:val="en-US"/>
        </w:rPr>
        <w:t xml:space="preserve">Welch, Gilbert (2015) </w:t>
      </w:r>
      <w:r>
        <w:rPr>
          <w:rFonts w:ascii="Times New Roman" w:hAnsi="Times New Roman"/>
          <w:i/>
          <w:lang w:val="en-US"/>
        </w:rPr>
        <w:t>Less Medicine More Health</w:t>
      </w:r>
      <w:r>
        <w:rPr>
          <w:rFonts w:ascii="Times New Roman" w:hAnsi="Times New Roman"/>
          <w:lang w:val="en-US"/>
        </w:rPr>
        <w:t>, Beacon Press, USA</w:t>
      </w:r>
    </w:p>
    <w:p w14:paraId="4AD28E4B" w14:textId="77777777" w:rsidR="003079B1" w:rsidRDefault="003079B1" w:rsidP="00B605C7">
      <w:pPr>
        <w:jc w:val="both"/>
        <w:rPr>
          <w:rFonts w:ascii="Times New Roman" w:hAnsi="Times New Roman"/>
          <w:lang w:val="en-US"/>
        </w:rPr>
      </w:pPr>
    </w:p>
    <w:p w14:paraId="0AA9B568" w14:textId="77777777" w:rsidR="00D452D8" w:rsidRDefault="00D452D8" w:rsidP="00B605C7">
      <w:pPr>
        <w:jc w:val="both"/>
        <w:rPr>
          <w:rFonts w:ascii="Times New Roman" w:hAnsi="Times New Roman"/>
          <w:lang w:val="en-US"/>
        </w:rPr>
      </w:pPr>
      <w:r>
        <w:rPr>
          <w:rFonts w:ascii="Times New Roman" w:hAnsi="Times New Roman"/>
          <w:lang w:val="en-US"/>
        </w:rPr>
        <w:t xml:space="preserve">Wilkinson, Richard G. and Kate E. Pickett (2009) </w:t>
      </w:r>
      <w:r>
        <w:rPr>
          <w:rFonts w:ascii="Times New Roman" w:hAnsi="Times New Roman"/>
          <w:i/>
          <w:lang w:val="en-US"/>
        </w:rPr>
        <w:t xml:space="preserve">Income inequality and social dysfunction, </w:t>
      </w:r>
      <w:r>
        <w:rPr>
          <w:rFonts w:ascii="Times New Roman" w:hAnsi="Times New Roman"/>
          <w:lang w:val="en-US"/>
        </w:rPr>
        <w:t>Annual review of sociology, 35.</w:t>
      </w:r>
    </w:p>
    <w:p w14:paraId="2BA1084F" w14:textId="77777777" w:rsidR="00D452D8" w:rsidRPr="00D452D8" w:rsidRDefault="00D452D8" w:rsidP="00B605C7">
      <w:pPr>
        <w:jc w:val="both"/>
        <w:rPr>
          <w:rFonts w:ascii="Times New Roman" w:hAnsi="Times New Roman"/>
          <w:lang w:val="en-US"/>
        </w:rPr>
      </w:pPr>
    </w:p>
    <w:p w14:paraId="5BC89B02" w14:textId="77777777" w:rsidR="00FE2D11" w:rsidRDefault="00FE2D11" w:rsidP="00B605C7">
      <w:pPr>
        <w:jc w:val="both"/>
        <w:rPr>
          <w:rFonts w:ascii="Times New Roman" w:hAnsi="Times New Roman"/>
          <w:i/>
          <w:lang w:val="en-US"/>
        </w:rPr>
      </w:pPr>
      <w:r>
        <w:rPr>
          <w:rFonts w:ascii="Times New Roman" w:hAnsi="Times New Roman"/>
          <w:lang w:val="en-US"/>
        </w:rPr>
        <w:t xml:space="preserve">WORLD BANK (2016), </w:t>
      </w:r>
      <w:r>
        <w:rPr>
          <w:rFonts w:ascii="Times New Roman" w:hAnsi="Times New Roman"/>
          <w:i/>
          <w:lang w:val="en-US"/>
        </w:rPr>
        <w:t xml:space="preserve">World </w:t>
      </w:r>
      <w:proofErr w:type="spellStart"/>
      <w:r>
        <w:rPr>
          <w:rFonts w:ascii="Times New Roman" w:hAnsi="Times New Roman"/>
          <w:i/>
          <w:lang w:val="en-US"/>
        </w:rPr>
        <w:t>DataBank</w:t>
      </w:r>
      <w:proofErr w:type="spellEnd"/>
      <w:r>
        <w:rPr>
          <w:rFonts w:ascii="Times New Roman" w:hAnsi="Times New Roman"/>
          <w:i/>
          <w:lang w:val="en-US"/>
        </w:rPr>
        <w:t>,</w:t>
      </w:r>
      <w:r>
        <w:rPr>
          <w:rFonts w:ascii="Times New Roman" w:hAnsi="Times New Roman"/>
          <w:lang w:val="en-US"/>
        </w:rPr>
        <w:t xml:space="preserve"> </w:t>
      </w:r>
      <w:r w:rsidRPr="00BE3C0B">
        <w:rPr>
          <w:rFonts w:ascii="Times New Roman" w:hAnsi="Times New Roman"/>
          <w:lang w:val="en-US"/>
        </w:rPr>
        <w:t>http://databank.worldbank.org/data/home.aspx</w:t>
      </w:r>
      <w:r>
        <w:rPr>
          <w:rFonts w:ascii="Times New Roman" w:hAnsi="Times New Roman"/>
          <w:lang w:val="en-US"/>
        </w:rPr>
        <w:t>, 01/11/2016.</w:t>
      </w:r>
      <w:r>
        <w:rPr>
          <w:rFonts w:ascii="Times New Roman" w:hAnsi="Times New Roman"/>
          <w:i/>
          <w:lang w:val="en-US"/>
        </w:rPr>
        <w:t xml:space="preserve"> </w:t>
      </w:r>
    </w:p>
    <w:p w14:paraId="39EF938A" w14:textId="77777777" w:rsidR="00FE2D11" w:rsidRDefault="00FE2D11" w:rsidP="00B605C7">
      <w:pPr>
        <w:jc w:val="both"/>
        <w:rPr>
          <w:rFonts w:ascii="Times New Roman" w:hAnsi="Times New Roman"/>
          <w:i/>
          <w:lang w:val="en-US"/>
        </w:rPr>
      </w:pPr>
    </w:p>
    <w:p w14:paraId="36FBD99E" w14:textId="77777777" w:rsidR="00FE2D11" w:rsidRPr="008E4F3C" w:rsidRDefault="00FE2D11" w:rsidP="00B605C7">
      <w:pPr>
        <w:rPr>
          <w:rFonts w:ascii="Times New Roman" w:hAnsi="Times New Roman"/>
        </w:rPr>
      </w:pPr>
    </w:p>
    <w:p w14:paraId="76D85CFC" w14:textId="77777777" w:rsidR="00FE2D11" w:rsidRDefault="00FE2D11" w:rsidP="00B605C7">
      <w:pPr>
        <w:widowControl w:val="0"/>
        <w:autoSpaceDE w:val="0"/>
        <w:autoSpaceDN w:val="0"/>
        <w:adjustRightInd w:val="0"/>
        <w:rPr>
          <w:bCs/>
          <w:sz w:val="16"/>
        </w:rPr>
      </w:pPr>
    </w:p>
    <w:p w14:paraId="65742089" w14:textId="77777777" w:rsidR="00FE2D11" w:rsidRPr="007066E0" w:rsidRDefault="00FE2D11">
      <w:pPr>
        <w:rPr>
          <w:rFonts w:ascii="Times New Roman" w:hAnsi="Times New Roman"/>
          <w:b/>
          <w:sz w:val="22"/>
          <w:lang w:val="en-US"/>
        </w:rPr>
      </w:pPr>
      <w:r>
        <w:rPr>
          <w:rFonts w:ascii="Times New Roman" w:hAnsi="Times New Roman"/>
          <w:b/>
          <w:sz w:val="22"/>
        </w:rPr>
        <w:br w:type="page"/>
      </w:r>
    </w:p>
    <w:p w14:paraId="331124AD" w14:textId="77777777" w:rsidR="00FE2D11" w:rsidRDefault="00FE2D11" w:rsidP="00B605C7">
      <w:pPr>
        <w:jc w:val="both"/>
        <w:rPr>
          <w:rFonts w:ascii="Times New Roman" w:hAnsi="Times New Roman"/>
          <w:b/>
          <w:sz w:val="22"/>
        </w:rPr>
      </w:pPr>
    </w:p>
    <w:p w14:paraId="33B8D2D2" w14:textId="77777777" w:rsidR="00FE2D11" w:rsidRPr="00091EE3" w:rsidRDefault="00FE2D11" w:rsidP="00CC5CC1">
      <w:pPr>
        <w:jc w:val="both"/>
        <w:outlineLvl w:val="0"/>
        <w:rPr>
          <w:rFonts w:ascii="Times New Roman" w:hAnsi="Times New Roman"/>
          <w:b/>
          <w:sz w:val="22"/>
        </w:rPr>
      </w:pPr>
      <w:r>
        <w:rPr>
          <w:rFonts w:ascii="Times New Roman" w:hAnsi="Times New Roman"/>
          <w:b/>
          <w:sz w:val="22"/>
        </w:rPr>
        <w:t xml:space="preserve">Figure 1 </w:t>
      </w:r>
      <w:r w:rsidRPr="00091EE3">
        <w:rPr>
          <w:rFonts w:ascii="Times New Roman" w:hAnsi="Times New Roman"/>
          <w:b/>
          <w:sz w:val="22"/>
        </w:rPr>
        <w:t xml:space="preserve">: Evolution of income shares held by top income </w:t>
      </w:r>
      <w:proofErr w:type="spellStart"/>
      <w:r w:rsidRPr="00091EE3">
        <w:rPr>
          <w:rFonts w:ascii="Times New Roman" w:hAnsi="Times New Roman"/>
          <w:b/>
          <w:sz w:val="22"/>
        </w:rPr>
        <w:t>fractiles</w:t>
      </w:r>
      <w:proofErr w:type="spellEnd"/>
      <w:r w:rsidRPr="00091EE3">
        <w:rPr>
          <w:rFonts w:ascii="Times New Roman" w:hAnsi="Times New Roman"/>
          <w:b/>
          <w:sz w:val="22"/>
        </w:rPr>
        <w:t xml:space="preserve">, </w:t>
      </w:r>
    </w:p>
    <w:p w14:paraId="547C9130" w14:textId="77777777" w:rsidR="00FE2D11" w:rsidRDefault="00FE2D11">
      <w:pPr>
        <w:rPr>
          <w:rFonts w:ascii="Times New Roman" w:hAnsi="Times New Roman"/>
          <w:b/>
          <w:sz w:val="22"/>
        </w:rPr>
      </w:pPr>
    </w:p>
    <w:p w14:paraId="49DAC28B" w14:textId="77777777" w:rsidR="00FE2D11" w:rsidRDefault="00FE2D11">
      <w:pPr>
        <w:rPr>
          <w:rFonts w:ascii="Times New Roman" w:hAnsi="Times New Roman"/>
          <w:b/>
          <w:sz w:val="22"/>
        </w:rPr>
      </w:pPr>
      <w:r>
        <w:rPr>
          <w:rFonts w:ascii="Times New Roman" w:hAnsi="Times New Roman"/>
          <w:b/>
          <w:noProof/>
          <w:sz w:val="22"/>
          <w:lang w:val="en-US"/>
        </w:rPr>
        <w:drawing>
          <wp:anchor distT="0" distB="0" distL="114300" distR="114300" simplePos="0" relativeHeight="251661312" behindDoc="0" locked="0" layoutInCell="1" allowOverlap="1" wp14:anchorId="0546685F" wp14:editId="791EBB82">
            <wp:simplePos x="0" y="0"/>
            <wp:positionH relativeFrom="column">
              <wp:posOffset>-277495</wp:posOffset>
            </wp:positionH>
            <wp:positionV relativeFrom="paragraph">
              <wp:posOffset>223520</wp:posOffset>
            </wp:positionV>
            <wp:extent cx="6607877" cy="3449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1.pdf"/>
                    <pic:cNvPicPr/>
                  </pic:nvPicPr>
                  <pic:blipFill>
                    <a:blip r:embed="rId7">
                      <a:extLst>
                        <a:ext uri="{28A0092B-C50C-407E-A947-70E740481C1C}">
                          <a14:useLocalDpi xmlns:a14="http://schemas.microsoft.com/office/drawing/2010/main" val="0"/>
                        </a:ext>
                      </a:extLst>
                    </a:blip>
                    <a:stretch>
                      <a:fillRect/>
                    </a:stretch>
                  </pic:blipFill>
                  <pic:spPr>
                    <a:xfrm>
                      <a:off x="0" y="0"/>
                      <a:ext cx="6607877" cy="34493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2"/>
        </w:rPr>
        <w:br w:type="page"/>
      </w:r>
    </w:p>
    <w:p w14:paraId="68661BBF" w14:textId="77777777" w:rsidR="00FE2D11" w:rsidRDefault="00FE2D11" w:rsidP="00B605C7">
      <w:pPr>
        <w:rPr>
          <w:rFonts w:ascii="Times New Roman" w:hAnsi="Times New Roman"/>
          <w:b/>
          <w:sz w:val="22"/>
        </w:rPr>
      </w:pPr>
    </w:p>
    <w:p w14:paraId="304352A4" w14:textId="77777777" w:rsidR="002F2A59" w:rsidRPr="005E04D7" w:rsidRDefault="004D5D27" w:rsidP="002F2A59">
      <w:pPr>
        <w:rPr>
          <w:rFonts w:ascii="Times New Roman" w:hAnsi="Times New Roman" w:cs="Times New Roman Bold"/>
          <w:b/>
          <w:sz w:val="22"/>
          <w:lang w:val="en-US"/>
        </w:rPr>
      </w:pPr>
      <w:r>
        <w:rPr>
          <w:rFonts w:ascii="Times New Roman" w:hAnsi="Times New Roman" w:cs="Times New Roman Bold"/>
          <w:b/>
          <w:sz w:val="22"/>
          <w:lang w:val="en-US"/>
        </w:rPr>
        <w:t>Figure 2</w:t>
      </w:r>
      <w:r w:rsidR="002F2A59" w:rsidRPr="005E04D7">
        <w:rPr>
          <w:rFonts w:ascii="Times New Roman" w:hAnsi="Times New Roman" w:cs="Times New Roman Bold"/>
          <w:b/>
          <w:sz w:val="22"/>
          <w:lang w:val="en-US"/>
        </w:rPr>
        <w:t xml:space="preserve"> : </w:t>
      </w:r>
      <w:r w:rsidR="00FA7406">
        <w:rPr>
          <w:rFonts w:ascii="Times New Roman" w:hAnsi="Times New Roman" w:cs="Times New Roman Bold"/>
          <w:b/>
          <w:sz w:val="22"/>
          <w:lang w:val="en-US"/>
        </w:rPr>
        <w:t>Evolution of h</w:t>
      </w:r>
      <w:r w:rsidR="002F2A59">
        <w:rPr>
          <w:rFonts w:ascii="Times New Roman" w:hAnsi="Times New Roman" w:cs="Times New Roman Bold"/>
          <w:b/>
          <w:sz w:val="22"/>
          <w:lang w:val="en-US"/>
        </w:rPr>
        <w:t>ealth</w:t>
      </w:r>
      <w:r w:rsidR="002F2A59" w:rsidRPr="005E04D7">
        <w:rPr>
          <w:rFonts w:ascii="Times New Roman" w:hAnsi="Times New Roman" w:cs="Times New Roman Bold"/>
          <w:b/>
          <w:sz w:val="22"/>
          <w:lang w:val="en-US"/>
        </w:rPr>
        <w:t xml:space="preserve"> expenditures </w:t>
      </w:r>
      <w:r w:rsidR="00FA7406">
        <w:rPr>
          <w:rFonts w:ascii="Times New Roman" w:hAnsi="Times New Roman" w:cs="Times New Roman Bold"/>
          <w:b/>
          <w:sz w:val="22"/>
          <w:lang w:val="en-US"/>
        </w:rPr>
        <w:t>and</w:t>
      </w:r>
      <w:r w:rsidR="002F2A59" w:rsidRPr="005E04D7">
        <w:rPr>
          <w:rFonts w:ascii="Times New Roman" w:hAnsi="Times New Roman" w:cs="Times New Roman Bold"/>
          <w:b/>
          <w:sz w:val="22"/>
          <w:lang w:val="en-US"/>
        </w:rPr>
        <w:t xml:space="preserve"> top income shares </w:t>
      </w:r>
    </w:p>
    <w:p w14:paraId="21C638C5" w14:textId="77777777" w:rsidR="002F2A59" w:rsidRPr="005E04D7" w:rsidRDefault="002F2A59" w:rsidP="002F2A59">
      <w:pPr>
        <w:rPr>
          <w:rFonts w:ascii="Times New Roman" w:hAnsi="Times New Roman" w:cs="Times New Roman Bold"/>
          <w:b/>
          <w:sz w:val="22"/>
          <w:lang w:val="en-US"/>
        </w:rPr>
      </w:pPr>
    </w:p>
    <w:p w14:paraId="4C7C9337" w14:textId="77777777" w:rsidR="002F2A59" w:rsidRPr="005E04D7" w:rsidRDefault="002F2A59" w:rsidP="002F2A59">
      <w:pPr>
        <w:outlineLvl w:val="0"/>
        <w:rPr>
          <w:rFonts w:ascii="Times New Roman" w:hAnsi="Times New Roman" w:cs="Times New Roman Bold"/>
          <w:b/>
          <w:sz w:val="22"/>
          <w:lang w:val="en-US"/>
        </w:rPr>
      </w:pPr>
      <w:r w:rsidRPr="007066E0">
        <w:rPr>
          <w:rFonts w:ascii="Times New Roman" w:hAnsi="Times New Roman" w:cs="Times New Roman Bold"/>
          <w:b/>
          <w:noProof/>
          <w:sz w:val="22"/>
          <w:lang w:val="en-US"/>
        </w:rPr>
        <w:drawing>
          <wp:anchor distT="0" distB="0" distL="114300" distR="114300" simplePos="0" relativeHeight="251669504" behindDoc="0" locked="0" layoutInCell="1" allowOverlap="1" wp14:anchorId="2B0C5081" wp14:editId="12793C75">
            <wp:simplePos x="0" y="0"/>
            <wp:positionH relativeFrom="column">
              <wp:posOffset>558165</wp:posOffset>
            </wp:positionH>
            <wp:positionV relativeFrom="paragraph">
              <wp:posOffset>147320</wp:posOffset>
            </wp:positionV>
            <wp:extent cx="5034280" cy="3657600"/>
            <wp:effectExtent l="25400" t="0" r="0" b="0"/>
            <wp:wrapNone/>
            <wp:docPr id="4" name="Picture 4" descr="Can_pvpub_shGDP_top1_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_pvpub_shGDP_top1_10.pdf"/>
                    <pic:cNvPicPr/>
                  </pic:nvPicPr>
                  <pic:blipFill>
                    <a:blip r:embed="rId8"/>
                    <a:stretch>
                      <a:fillRect/>
                    </a:stretch>
                  </pic:blipFill>
                  <pic:spPr>
                    <a:xfrm>
                      <a:off x="0" y="0"/>
                      <a:ext cx="5034280" cy="3657600"/>
                    </a:xfrm>
                    <a:prstGeom prst="rect">
                      <a:avLst/>
                    </a:prstGeom>
                  </pic:spPr>
                </pic:pic>
              </a:graphicData>
            </a:graphic>
          </wp:anchor>
        </w:drawing>
      </w:r>
      <w:r w:rsidRPr="005E04D7">
        <w:rPr>
          <w:rFonts w:ascii="Times New Roman" w:hAnsi="Times New Roman" w:cs="Times New Roman Bold"/>
          <w:b/>
          <w:sz w:val="22"/>
          <w:lang w:val="en-US"/>
        </w:rPr>
        <w:t xml:space="preserve">Panel A: </w:t>
      </w:r>
    </w:p>
    <w:p w14:paraId="622880EA" w14:textId="77777777" w:rsidR="002F2A59" w:rsidRPr="005E04D7" w:rsidRDefault="002F2A59" w:rsidP="002F2A59">
      <w:pPr>
        <w:rPr>
          <w:rFonts w:ascii="Times New Roman" w:hAnsi="Times New Roman" w:cs="Times New Roman Bold"/>
          <w:b/>
          <w:sz w:val="22"/>
          <w:lang w:val="en-US"/>
        </w:rPr>
      </w:pPr>
    </w:p>
    <w:p w14:paraId="46E68C57" w14:textId="77777777" w:rsidR="002F2A59" w:rsidRPr="005E04D7" w:rsidRDefault="002F2A59" w:rsidP="002F2A59">
      <w:pPr>
        <w:rPr>
          <w:rFonts w:ascii="Times New Roman" w:hAnsi="Times New Roman" w:cs="Times New Roman Bold"/>
          <w:b/>
          <w:sz w:val="22"/>
          <w:lang w:val="en-US"/>
        </w:rPr>
      </w:pPr>
    </w:p>
    <w:p w14:paraId="15A2BEB3" w14:textId="77777777" w:rsidR="002F2A59" w:rsidRPr="005E04D7" w:rsidRDefault="002F2A59" w:rsidP="002F2A59">
      <w:pPr>
        <w:rPr>
          <w:rFonts w:ascii="Times New Roman" w:hAnsi="Times New Roman" w:cs="Times New Roman Bold"/>
          <w:b/>
          <w:sz w:val="22"/>
          <w:lang w:val="en-US"/>
        </w:rPr>
      </w:pPr>
    </w:p>
    <w:p w14:paraId="1F7A8B62" w14:textId="77777777" w:rsidR="002F2A59" w:rsidRPr="005E04D7" w:rsidRDefault="002F2A59" w:rsidP="002F2A59">
      <w:pPr>
        <w:rPr>
          <w:rFonts w:ascii="Times New Roman" w:hAnsi="Times New Roman" w:cs="Times New Roman Bold"/>
          <w:b/>
          <w:sz w:val="22"/>
          <w:lang w:val="en-US"/>
        </w:rPr>
      </w:pPr>
    </w:p>
    <w:p w14:paraId="3B41E47A" w14:textId="77777777" w:rsidR="002F2A59" w:rsidRPr="005E04D7" w:rsidRDefault="002F2A59" w:rsidP="002F2A59">
      <w:pPr>
        <w:rPr>
          <w:rFonts w:ascii="Times New Roman" w:hAnsi="Times New Roman" w:cs="Times New Roman Bold"/>
          <w:b/>
          <w:sz w:val="22"/>
          <w:lang w:val="en-US"/>
        </w:rPr>
      </w:pPr>
    </w:p>
    <w:p w14:paraId="69E6E6CC" w14:textId="77777777" w:rsidR="002F2A59" w:rsidRPr="005E04D7" w:rsidRDefault="002F2A59" w:rsidP="002F2A59">
      <w:pPr>
        <w:rPr>
          <w:rFonts w:ascii="Times New Roman" w:hAnsi="Times New Roman" w:cs="Times New Roman Bold"/>
          <w:b/>
          <w:sz w:val="22"/>
          <w:lang w:val="en-US"/>
        </w:rPr>
      </w:pPr>
    </w:p>
    <w:p w14:paraId="5A310F14" w14:textId="77777777" w:rsidR="002F2A59" w:rsidRPr="005E04D7" w:rsidRDefault="002F2A59" w:rsidP="002F2A59">
      <w:pPr>
        <w:rPr>
          <w:rFonts w:ascii="Times New Roman" w:hAnsi="Times New Roman" w:cs="Times New Roman Bold"/>
          <w:b/>
          <w:sz w:val="22"/>
          <w:lang w:val="en-US"/>
        </w:rPr>
      </w:pPr>
    </w:p>
    <w:p w14:paraId="271C4C7B" w14:textId="77777777" w:rsidR="002F2A59" w:rsidRPr="005E04D7" w:rsidRDefault="002F2A59" w:rsidP="002F2A59">
      <w:pPr>
        <w:rPr>
          <w:rFonts w:ascii="Times New Roman" w:hAnsi="Times New Roman" w:cs="Times New Roman Bold"/>
          <w:b/>
          <w:sz w:val="22"/>
          <w:lang w:val="en-US"/>
        </w:rPr>
      </w:pPr>
    </w:p>
    <w:p w14:paraId="03AED8D6" w14:textId="77777777" w:rsidR="002F2A59" w:rsidRPr="005E04D7" w:rsidRDefault="002F2A59" w:rsidP="002F2A59">
      <w:pPr>
        <w:rPr>
          <w:rFonts w:ascii="Times New Roman" w:hAnsi="Times New Roman" w:cs="Times New Roman Bold"/>
          <w:b/>
          <w:sz w:val="22"/>
          <w:lang w:val="en-US"/>
        </w:rPr>
      </w:pPr>
    </w:p>
    <w:p w14:paraId="65C14E86" w14:textId="77777777" w:rsidR="002F2A59" w:rsidRPr="005E04D7" w:rsidRDefault="002F2A59" w:rsidP="002F2A59">
      <w:pPr>
        <w:rPr>
          <w:rFonts w:ascii="Times New Roman" w:hAnsi="Times New Roman" w:cs="Times New Roman Bold"/>
          <w:b/>
          <w:sz w:val="22"/>
          <w:lang w:val="en-US"/>
        </w:rPr>
      </w:pPr>
    </w:p>
    <w:p w14:paraId="43EE6124" w14:textId="77777777" w:rsidR="002F2A59" w:rsidRPr="005E04D7" w:rsidRDefault="002F2A59" w:rsidP="002F2A59">
      <w:pPr>
        <w:rPr>
          <w:rFonts w:ascii="Times New Roman" w:hAnsi="Times New Roman" w:cs="Times New Roman Bold"/>
          <w:b/>
          <w:sz w:val="22"/>
          <w:lang w:val="en-US"/>
        </w:rPr>
      </w:pPr>
    </w:p>
    <w:p w14:paraId="2B118296" w14:textId="77777777" w:rsidR="002F2A59" w:rsidRPr="005E04D7" w:rsidRDefault="002F2A59" w:rsidP="002F2A59">
      <w:pPr>
        <w:rPr>
          <w:rFonts w:ascii="Times New Roman" w:hAnsi="Times New Roman" w:cs="Times New Roman Bold"/>
          <w:b/>
          <w:sz w:val="22"/>
          <w:lang w:val="en-US"/>
        </w:rPr>
      </w:pPr>
    </w:p>
    <w:p w14:paraId="59CB8C88" w14:textId="77777777" w:rsidR="002F2A59" w:rsidRPr="005E04D7" w:rsidRDefault="002F2A59" w:rsidP="002F2A59">
      <w:pPr>
        <w:rPr>
          <w:rFonts w:ascii="Times New Roman" w:hAnsi="Times New Roman" w:cs="Times New Roman Bold"/>
          <w:b/>
          <w:sz w:val="22"/>
          <w:lang w:val="en-US"/>
        </w:rPr>
      </w:pPr>
    </w:p>
    <w:p w14:paraId="70DB27A7" w14:textId="77777777" w:rsidR="002F2A59" w:rsidRPr="005E04D7" w:rsidRDefault="002F2A59" w:rsidP="002F2A59">
      <w:pPr>
        <w:rPr>
          <w:rFonts w:ascii="Times New Roman" w:hAnsi="Times New Roman" w:cs="Times New Roman Bold"/>
          <w:b/>
          <w:sz w:val="22"/>
          <w:lang w:val="en-US"/>
        </w:rPr>
      </w:pPr>
    </w:p>
    <w:p w14:paraId="228D213D" w14:textId="77777777" w:rsidR="002F2A59" w:rsidRPr="005E04D7" w:rsidRDefault="002F2A59" w:rsidP="002F2A59">
      <w:pPr>
        <w:rPr>
          <w:rFonts w:ascii="Times New Roman" w:hAnsi="Times New Roman" w:cs="Times New Roman Bold"/>
          <w:b/>
          <w:sz w:val="22"/>
          <w:lang w:val="en-US"/>
        </w:rPr>
      </w:pPr>
    </w:p>
    <w:p w14:paraId="1B40E679" w14:textId="77777777" w:rsidR="002F2A59" w:rsidRPr="005E04D7" w:rsidRDefault="002F2A59" w:rsidP="002F2A59">
      <w:pPr>
        <w:rPr>
          <w:rFonts w:ascii="Times New Roman" w:hAnsi="Times New Roman" w:cs="Times New Roman Bold"/>
          <w:b/>
          <w:sz w:val="22"/>
          <w:lang w:val="en-US"/>
        </w:rPr>
      </w:pPr>
    </w:p>
    <w:p w14:paraId="23D6641C" w14:textId="77777777" w:rsidR="002F2A59" w:rsidRPr="005E04D7" w:rsidRDefault="002F2A59" w:rsidP="002F2A59">
      <w:pPr>
        <w:rPr>
          <w:rFonts w:ascii="Times New Roman" w:hAnsi="Times New Roman" w:cs="Times New Roman Bold"/>
          <w:b/>
          <w:sz w:val="22"/>
          <w:lang w:val="en-US"/>
        </w:rPr>
      </w:pPr>
    </w:p>
    <w:p w14:paraId="72CB49D4" w14:textId="77777777" w:rsidR="002F2A59" w:rsidRPr="005E04D7" w:rsidRDefault="002F2A59" w:rsidP="002F2A59">
      <w:pPr>
        <w:rPr>
          <w:rFonts w:ascii="Times New Roman" w:hAnsi="Times New Roman" w:cs="Times New Roman Bold"/>
          <w:b/>
          <w:sz w:val="22"/>
          <w:lang w:val="en-US"/>
        </w:rPr>
      </w:pPr>
    </w:p>
    <w:p w14:paraId="7BDC4B0A" w14:textId="77777777" w:rsidR="002F2A59" w:rsidRPr="005E04D7" w:rsidRDefault="002F2A59" w:rsidP="002F2A59">
      <w:pPr>
        <w:rPr>
          <w:rFonts w:ascii="Times New Roman" w:hAnsi="Times New Roman" w:cs="Times New Roman Bold"/>
          <w:b/>
          <w:sz w:val="22"/>
          <w:lang w:val="en-US"/>
        </w:rPr>
      </w:pPr>
    </w:p>
    <w:p w14:paraId="4D37B6BE" w14:textId="77777777" w:rsidR="002F2A59" w:rsidRPr="005E04D7" w:rsidRDefault="002F2A59" w:rsidP="002F2A59">
      <w:pPr>
        <w:rPr>
          <w:rFonts w:ascii="Times New Roman" w:hAnsi="Times New Roman" w:cs="Times New Roman Bold"/>
          <w:b/>
          <w:sz w:val="22"/>
          <w:lang w:val="en-US"/>
        </w:rPr>
      </w:pPr>
    </w:p>
    <w:p w14:paraId="6D6A7774" w14:textId="77777777" w:rsidR="002F2A59" w:rsidRPr="005E04D7" w:rsidRDefault="002F2A59" w:rsidP="002F2A59">
      <w:pPr>
        <w:rPr>
          <w:rFonts w:ascii="Times New Roman" w:hAnsi="Times New Roman" w:cs="Times New Roman Bold"/>
          <w:b/>
          <w:sz w:val="22"/>
          <w:lang w:val="en-US"/>
        </w:rPr>
      </w:pPr>
    </w:p>
    <w:p w14:paraId="28759494" w14:textId="77777777" w:rsidR="002F2A59" w:rsidRPr="005E04D7" w:rsidRDefault="002F2A59" w:rsidP="002F2A59">
      <w:pPr>
        <w:rPr>
          <w:rFonts w:ascii="Times New Roman" w:hAnsi="Times New Roman" w:cs="Times New Roman Bold"/>
          <w:b/>
          <w:sz w:val="22"/>
          <w:lang w:val="en-US"/>
        </w:rPr>
      </w:pPr>
    </w:p>
    <w:p w14:paraId="41D1B9EC" w14:textId="77777777" w:rsidR="002F2A59" w:rsidRPr="005E04D7" w:rsidRDefault="002F2A59" w:rsidP="002F2A59">
      <w:pPr>
        <w:rPr>
          <w:rFonts w:ascii="Times New Roman" w:hAnsi="Times New Roman" w:cs="Times New Roman Bold"/>
          <w:b/>
          <w:sz w:val="22"/>
          <w:lang w:val="en-US"/>
        </w:rPr>
      </w:pPr>
    </w:p>
    <w:p w14:paraId="25D66981" w14:textId="77777777" w:rsidR="002F2A59" w:rsidRPr="005E04D7" w:rsidRDefault="002F2A59" w:rsidP="002F2A59">
      <w:pPr>
        <w:rPr>
          <w:rFonts w:ascii="Times New Roman" w:hAnsi="Times New Roman" w:cs="Times New Roman Bold"/>
          <w:b/>
          <w:sz w:val="22"/>
          <w:lang w:val="en-US"/>
        </w:rPr>
      </w:pPr>
    </w:p>
    <w:p w14:paraId="2D9A3A61" w14:textId="77777777" w:rsidR="002F2A59" w:rsidRPr="005E04D7" w:rsidRDefault="002F2A59" w:rsidP="002F2A59">
      <w:pPr>
        <w:rPr>
          <w:rFonts w:ascii="Times New Roman" w:hAnsi="Times New Roman" w:cs="Times New Roman Bold"/>
          <w:b/>
          <w:sz w:val="22"/>
          <w:lang w:val="en-US"/>
        </w:rPr>
      </w:pPr>
    </w:p>
    <w:p w14:paraId="10BE5DC7" w14:textId="77777777" w:rsidR="00FA7406" w:rsidRDefault="002F2A59" w:rsidP="002F2A59">
      <w:pPr>
        <w:rPr>
          <w:rFonts w:ascii="Times New Roman" w:hAnsi="Times New Roman" w:cs="Times New Roman Bold"/>
          <w:b/>
          <w:sz w:val="22"/>
          <w:lang w:val="en-US"/>
        </w:rPr>
      </w:pPr>
      <w:r w:rsidRPr="005E04D7">
        <w:rPr>
          <w:rFonts w:ascii="Times New Roman" w:hAnsi="Times New Roman" w:cs="Times New Roman Bold"/>
          <w:b/>
          <w:sz w:val="22"/>
          <w:lang w:val="en-US"/>
        </w:rPr>
        <w:t xml:space="preserve">Panel B: </w:t>
      </w:r>
    </w:p>
    <w:p w14:paraId="72205A28" w14:textId="77777777" w:rsidR="00FA7406" w:rsidRDefault="00FA7406">
      <w:pPr>
        <w:rPr>
          <w:rFonts w:ascii="Times New Roman" w:hAnsi="Times New Roman" w:cs="Times New Roman Bold"/>
          <w:b/>
          <w:sz w:val="22"/>
          <w:lang w:val="en-US"/>
        </w:rPr>
      </w:pPr>
      <w:r w:rsidRPr="007066E0">
        <w:rPr>
          <w:rFonts w:ascii="Times New Roman" w:hAnsi="Times New Roman" w:cs="Times New Roman Bold"/>
          <w:b/>
          <w:noProof/>
          <w:sz w:val="22"/>
          <w:lang w:val="en-US"/>
        </w:rPr>
        <w:drawing>
          <wp:anchor distT="0" distB="0" distL="114300" distR="114300" simplePos="0" relativeHeight="251668480" behindDoc="0" locked="0" layoutInCell="1" allowOverlap="1" wp14:anchorId="501114F1" wp14:editId="3A5D437C">
            <wp:simplePos x="0" y="0"/>
            <wp:positionH relativeFrom="column">
              <wp:posOffset>408500</wp:posOffset>
            </wp:positionH>
            <wp:positionV relativeFrom="paragraph">
              <wp:posOffset>16119</wp:posOffset>
            </wp:positionV>
            <wp:extent cx="5186680" cy="3759200"/>
            <wp:effectExtent l="25400" t="0" r="0" b="0"/>
            <wp:wrapNone/>
            <wp:docPr id="11" name="Picture 11" descr="Can_pvpub_percap_top1_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_pvpub_percap_top1_10.pdf"/>
                    <pic:cNvPicPr/>
                  </pic:nvPicPr>
                  <pic:blipFill>
                    <a:blip r:embed="rId9"/>
                    <a:stretch>
                      <a:fillRect/>
                    </a:stretch>
                  </pic:blipFill>
                  <pic:spPr>
                    <a:xfrm>
                      <a:off x="0" y="0"/>
                      <a:ext cx="5186680" cy="3759200"/>
                    </a:xfrm>
                    <a:prstGeom prst="rect">
                      <a:avLst/>
                    </a:prstGeom>
                  </pic:spPr>
                </pic:pic>
              </a:graphicData>
            </a:graphic>
          </wp:anchor>
        </w:drawing>
      </w:r>
      <w:r>
        <w:rPr>
          <w:rFonts w:ascii="Times New Roman" w:hAnsi="Times New Roman" w:cs="Times New Roman Bold"/>
          <w:b/>
          <w:sz w:val="22"/>
          <w:lang w:val="en-US"/>
        </w:rPr>
        <w:br w:type="page"/>
      </w:r>
    </w:p>
    <w:p w14:paraId="5E2F9994" w14:textId="77777777" w:rsidR="00FE2D11" w:rsidRPr="008921B0" w:rsidRDefault="00FE2D11" w:rsidP="002F2A59">
      <w:pPr>
        <w:rPr>
          <w:rFonts w:ascii="Times New Roman" w:hAnsi="Times New Roman" w:cs="Times New Roman Bold"/>
          <w:b/>
          <w:sz w:val="22"/>
          <w:lang w:val="en-US"/>
        </w:rPr>
      </w:pPr>
      <w:r w:rsidRPr="008921B0">
        <w:rPr>
          <w:rFonts w:ascii="Times New Roman" w:hAnsi="Times New Roman" w:cs="Times New Roman Bold"/>
          <w:b/>
          <w:sz w:val="22"/>
          <w:lang w:val="en-US"/>
        </w:rPr>
        <w:lastRenderedPageBreak/>
        <w:t xml:space="preserve">Figure </w:t>
      </w:r>
      <w:r w:rsidR="004D5D27">
        <w:rPr>
          <w:rFonts w:ascii="Times New Roman" w:hAnsi="Times New Roman" w:cs="Times New Roman Bold"/>
          <w:b/>
          <w:sz w:val="22"/>
          <w:lang w:val="en-US"/>
        </w:rPr>
        <w:t>3</w:t>
      </w:r>
      <w:r w:rsidRPr="008921B0">
        <w:rPr>
          <w:rFonts w:ascii="Times New Roman" w:hAnsi="Times New Roman" w:cs="Times New Roman Bold"/>
          <w:b/>
          <w:sz w:val="22"/>
          <w:lang w:val="en-US"/>
        </w:rPr>
        <w:t xml:space="preserve"> : Evolution of average direct health care costs, by income </w:t>
      </w:r>
      <w:proofErr w:type="spellStart"/>
      <w:r w:rsidRPr="008921B0">
        <w:rPr>
          <w:rFonts w:ascii="Times New Roman" w:hAnsi="Times New Roman" w:cs="Times New Roman Bold"/>
          <w:b/>
          <w:sz w:val="22"/>
          <w:lang w:val="en-US"/>
        </w:rPr>
        <w:t>fractile</w:t>
      </w:r>
      <w:proofErr w:type="spellEnd"/>
      <w:r w:rsidR="00A63793" w:rsidRPr="0089607F">
        <w:rPr>
          <w:rFonts w:ascii="Times New Roman" w:hAnsi="Times New Roman" w:cs="Times New Roman Bold"/>
          <w:noProof/>
          <w:sz w:val="22"/>
          <w:lang w:val="en-US"/>
        </w:rPr>
        <w:drawing>
          <wp:inline distT="0" distB="0" distL="0" distR="0" wp14:anchorId="26F2AF09" wp14:editId="4731AE95">
            <wp:extent cx="5439438" cy="395206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7.png"/>
                    <pic:cNvPicPr/>
                  </pic:nvPicPr>
                  <pic:blipFill>
                    <a:blip r:embed="rId10">
                      <a:extLst>
                        <a:ext uri="{28A0092B-C50C-407E-A947-70E740481C1C}">
                          <a14:useLocalDpi xmlns:a14="http://schemas.microsoft.com/office/drawing/2010/main" val="0"/>
                        </a:ext>
                      </a:extLst>
                    </a:blip>
                    <a:stretch>
                      <a:fillRect/>
                    </a:stretch>
                  </pic:blipFill>
                  <pic:spPr>
                    <a:xfrm>
                      <a:off x="0" y="0"/>
                      <a:ext cx="5456393" cy="3964383"/>
                    </a:xfrm>
                    <a:prstGeom prst="rect">
                      <a:avLst/>
                    </a:prstGeom>
                  </pic:spPr>
                </pic:pic>
              </a:graphicData>
            </a:graphic>
          </wp:inline>
        </w:drawing>
      </w:r>
    </w:p>
    <w:p w14:paraId="6323B614" w14:textId="77777777" w:rsidR="00FE2D11" w:rsidRPr="008921B0" w:rsidRDefault="00FE2D11" w:rsidP="00B605C7">
      <w:pPr>
        <w:widowControl w:val="0"/>
        <w:autoSpaceDE w:val="0"/>
        <w:autoSpaceDN w:val="0"/>
        <w:adjustRightInd w:val="0"/>
        <w:rPr>
          <w:rFonts w:ascii="Times New Roman" w:hAnsi="Times New Roman" w:cs="Times New Roman Bold"/>
          <w:sz w:val="22"/>
          <w:lang w:val="en-US"/>
        </w:rPr>
      </w:pPr>
    </w:p>
    <w:p w14:paraId="6C0D0C02" w14:textId="77777777" w:rsidR="00FE2D11" w:rsidRPr="008921B0" w:rsidRDefault="00FE2D11" w:rsidP="00B605C7">
      <w:pPr>
        <w:widowControl w:val="0"/>
        <w:autoSpaceDE w:val="0"/>
        <w:autoSpaceDN w:val="0"/>
        <w:adjustRightInd w:val="0"/>
        <w:rPr>
          <w:rFonts w:ascii="Times New Roman" w:hAnsi="Times New Roman" w:cs="Times New Roman Bold"/>
          <w:sz w:val="22"/>
          <w:lang w:val="en-US"/>
        </w:rPr>
      </w:pPr>
    </w:p>
    <w:p w14:paraId="4B929466" w14:textId="77777777" w:rsidR="00FE2D11" w:rsidRPr="008921B0" w:rsidRDefault="00FE2D11" w:rsidP="00CC5CC1">
      <w:pPr>
        <w:widowControl w:val="0"/>
        <w:tabs>
          <w:tab w:val="left" w:pos="576"/>
        </w:tabs>
        <w:autoSpaceDE w:val="0"/>
        <w:autoSpaceDN w:val="0"/>
        <w:adjustRightInd w:val="0"/>
        <w:outlineLvl w:val="0"/>
        <w:rPr>
          <w:rFonts w:ascii="Times New Roman" w:hAnsi="Times New Roman" w:cs="Times New Roman Bold"/>
          <w:b/>
          <w:sz w:val="22"/>
          <w:lang w:val="en-US"/>
        </w:rPr>
      </w:pPr>
      <w:r w:rsidRPr="008921B0">
        <w:rPr>
          <w:rFonts w:ascii="Times New Roman" w:hAnsi="Times New Roman" w:cs="Times New Roman Bold"/>
          <w:b/>
          <w:sz w:val="22"/>
          <w:lang w:val="en-US"/>
        </w:rPr>
        <w:t xml:space="preserve">Figure </w:t>
      </w:r>
      <w:r w:rsidR="004D5D27">
        <w:rPr>
          <w:rFonts w:ascii="Times New Roman" w:hAnsi="Times New Roman" w:cs="Times New Roman Bold"/>
          <w:b/>
          <w:sz w:val="22"/>
          <w:lang w:val="en-US"/>
        </w:rPr>
        <w:t>4</w:t>
      </w:r>
      <w:r w:rsidRPr="008921B0">
        <w:rPr>
          <w:rFonts w:ascii="Times New Roman" w:hAnsi="Times New Roman" w:cs="Times New Roman Bold"/>
          <w:b/>
          <w:sz w:val="22"/>
          <w:lang w:val="en-US"/>
        </w:rPr>
        <w:t xml:space="preserve"> : Evolution of average expenditure on private health insurance plans, by income </w:t>
      </w:r>
      <w:proofErr w:type="spellStart"/>
      <w:r w:rsidRPr="008921B0">
        <w:rPr>
          <w:rFonts w:ascii="Times New Roman" w:hAnsi="Times New Roman" w:cs="Times New Roman Bold"/>
          <w:b/>
          <w:sz w:val="22"/>
          <w:lang w:val="en-US"/>
        </w:rPr>
        <w:t>fractile</w:t>
      </w:r>
      <w:proofErr w:type="spellEnd"/>
    </w:p>
    <w:p w14:paraId="5153E7A4" w14:textId="77777777" w:rsidR="00FE2D11" w:rsidRPr="008921B0" w:rsidRDefault="00CC1432" w:rsidP="00B605C7">
      <w:pPr>
        <w:widowControl w:val="0"/>
        <w:tabs>
          <w:tab w:val="left" w:pos="576"/>
        </w:tabs>
        <w:autoSpaceDE w:val="0"/>
        <w:autoSpaceDN w:val="0"/>
        <w:adjustRightInd w:val="0"/>
        <w:rPr>
          <w:rFonts w:ascii="Times New Roman" w:hAnsi="Times New Roman" w:cs="Times New Roman Bold"/>
          <w:b/>
          <w:sz w:val="22"/>
          <w:lang w:val="en-US"/>
        </w:rPr>
      </w:pPr>
      <w:r w:rsidRPr="007066E0">
        <w:rPr>
          <w:rFonts w:ascii="Times New Roman" w:hAnsi="Times New Roman" w:cs="Times New Roman Bold"/>
          <w:b/>
          <w:noProof/>
          <w:sz w:val="22"/>
          <w:lang w:val="en-US"/>
        </w:rPr>
        <w:drawing>
          <wp:inline distT="0" distB="0" distL="0" distR="0" wp14:anchorId="58035A73" wp14:editId="13B1E331">
            <wp:extent cx="5569906" cy="4046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9.png"/>
                    <pic:cNvPicPr/>
                  </pic:nvPicPr>
                  <pic:blipFill>
                    <a:blip r:embed="rId11">
                      <a:extLst>
                        <a:ext uri="{28A0092B-C50C-407E-A947-70E740481C1C}">
                          <a14:useLocalDpi xmlns:a14="http://schemas.microsoft.com/office/drawing/2010/main" val="0"/>
                        </a:ext>
                      </a:extLst>
                    </a:blip>
                    <a:stretch>
                      <a:fillRect/>
                    </a:stretch>
                  </pic:blipFill>
                  <pic:spPr>
                    <a:xfrm>
                      <a:off x="0" y="0"/>
                      <a:ext cx="5586643" cy="4059015"/>
                    </a:xfrm>
                    <a:prstGeom prst="rect">
                      <a:avLst/>
                    </a:prstGeom>
                  </pic:spPr>
                </pic:pic>
              </a:graphicData>
            </a:graphic>
          </wp:inline>
        </w:drawing>
      </w:r>
    </w:p>
    <w:p w14:paraId="1AEA6F93" w14:textId="77777777" w:rsidR="00FA7406" w:rsidRDefault="00FA7406">
      <w:pPr>
        <w:rPr>
          <w:rFonts w:ascii="Times New Roman" w:hAnsi="Times New Roman" w:cs="Times New Roman Bold"/>
          <w:b/>
          <w:sz w:val="22"/>
          <w:lang w:val="en-US"/>
        </w:rPr>
      </w:pPr>
      <w:r>
        <w:rPr>
          <w:rFonts w:ascii="Times New Roman" w:hAnsi="Times New Roman" w:cs="Times New Roman Bold"/>
          <w:b/>
          <w:sz w:val="22"/>
          <w:lang w:val="en-US"/>
        </w:rPr>
        <w:br w:type="page"/>
      </w:r>
    </w:p>
    <w:p w14:paraId="2EC70A95" w14:textId="77777777" w:rsidR="00312923" w:rsidRPr="008921B0" w:rsidRDefault="00312923" w:rsidP="00312923">
      <w:pPr>
        <w:widowControl w:val="0"/>
        <w:autoSpaceDE w:val="0"/>
        <w:autoSpaceDN w:val="0"/>
        <w:adjustRightInd w:val="0"/>
        <w:rPr>
          <w:rFonts w:ascii="Times New Roman" w:hAnsi="Times New Roman" w:cs="Times New Roman Bold"/>
          <w:sz w:val="22"/>
          <w:lang w:val="en-US"/>
        </w:rPr>
      </w:pPr>
    </w:p>
    <w:p w14:paraId="24EDC81A" w14:textId="77777777" w:rsidR="00B7451D" w:rsidRDefault="00B7451D" w:rsidP="00B7451D">
      <w:pPr>
        <w:widowControl w:val="0"/>
        <w:autoSpaceDE w:val="0"/>
        <w:autoSpaceDN w:val="0"/>
        <w:adjustRightInd w:val="0"/>
        <w:outlineLvl w:val="0"/>
        <w:rPr>
          <w:rFonts w:ascii="Times New Roman" w:hAnsi="Times New Roman" w:cs="Times New Roman Bold"/>
          <w:b/>
          <w:sz w:val="22"/>
          <w:lang w:val="en-US"/>
        </w:rPr>
      </w:pPr>
      <w:r w:rsidRPr="008921B0">
        <w:rPr>
          <w:rFonts w:ascii="Times New Roman" w:hAnsi="Times New Roman" w:cs="Times New Roman Bold"/>
          <w:b/>
          <w:sz w:val="22"/>
          <w:lang w:val="en-US"/>
        </w:rPr>
        <w:t xml:space="preserve">Figure </w:t>
      </w:r>
      <w:r w:rsidR="004D5D27">
        <w:rPr>
          <w:rFonts w:ascii="Times New Roman" w:hAnsi="Times New Roman" w:cs="Times New Roman Bold"/>
          <w:b/>
          <w:sz w:val="22"/>
          <w:lang w:val="en-US"/>
        </w:rPr>
        <w:t>5</w:t>
      </w:r>
      <w:r w:rsidRPr="008921B0">
        <w:rPr>
          <w:rFonts w:ascii="Times New Roman" w:hAnsi="Times New Roman" w:cs="Times New Roman Bold"/>
          <w:b/>
          <w:sz w:val="22"/>
          <w:lang w:val="en-US"/>
        </w:rPr>
        <w:t xml:space="preserve">: Evolution of </w:t>
      </w:r>
      <w:r>
        <w:rPr>
          <w:rFonts w:ascii="Times New Roman" w:hAnsi="Times New Roman" w:cs="Times New Roman Bold"/>
          <w:b/>
          <w:sz w:val="22"/>
          <w:lang w:val="en-US"/>
        </w:rPr>
        <w:t>household income for top 10% and bottom 90% households, by year</w:t>
      </w:r>
    </w:p>
    <w:p w14:paraId="51225C58" w14:textId="77777777" w:rsidR="00B7451D" w:rsidRPr="00B7451D" w:rsidRDefault="00B7451D" w:rsidP="00B7451D">
      <w:pPr>
        <w:widowControl w:val="0"/>
        <w:autoSpaceDE w:val="0"/>
        <w:autoSpaceDN w:val="0"/>
        <w:adjustRightInd w:val="0"/>
        <w:outlineLvl w:val="0"/>
        <w:rPr>
          <w:rFonts w:ascii="Times New Roman" w:hAnsi="Times New Roman" w:cs="Times New Roman Bold"/>
          <w:b/>
          <w:sz w:val="22"/>
          <w:lang w:val="en-CA"/>
        </w:rPr>
      </w:pPr>
      <w:r w:rsidRPr="007066E0">
        <w:rPr>
          <w:rFonts w:ascii="Times New Roman" w:hAnsi="Times New Roman" w:cs="Times New Roman Bold"/>
          <w:b/>
          <w:noProof/>
          <w:sz w:val="22"/>
          <w:lang w:val="en-US"/>
        </w:rPr>
        <w:drawing>
          <wp:inline distT="0" distB="0" distL="0" distR="0" wp14:anchorId="2A659A7B" wp14:editId="16E425B2">
            <wp:extent cx="5663858" cy="411916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10_avgincome.pdf"/>
                    <pic:cNvPicPr/>
                  </pic:nvPicPr>
                  <pic:blipFill>
                    <a:blip r:embed="rId12">
                      <a:extLst>
                        <a:ext uri="{28A0092B-C50C-407E-A947-70E740481C1C}">
                          <a14:useLocalDpi xmlns:a14="http://schemas.microsoft.com/office/drawing/2010/main" val="0"/>
                        </a:ext>
                      </a:extLst>
                    </a:blip>
                    <a:stretch>
                      <a:fillRect/>
                    </a:stretch>
                  </pic:blipFill>
                  <pic:spPr>
                    <a:xfrm>
                      <a:off x="0" y="0"/>
                      <a:ext cx="5667894" cy="4122104"/>
                    </a:xfrm>
                    <a:prstGeom prst="rect">
                      <a:avLst/>
                    </a:prstGeom>
                  </pic:spPr>
                </pic:pic>
              </a:graphicData>
            </a:graphic>
          </wp:inline>
        </w:drawing>
      </w:r>
    </w:p>
    <w:p w14:paraId="2E3D8013" w14:textId="77777777" w:rsidR="00044484" w:rsidRDefault="00044484">
      <w:pPr>
        <w:rPr>
          <w:rFonts w:ascii="Times New Roman" w:hAnsi="Times New Roman" w:cs="Times New Roman Bold"/>
          <w:b/>
          <w:sz w:val="22"/>
          <w:lang w:val="en-US"/>
        </w:rPr>
      </w:pPr>
    </w:p>
    <w:p w14:paraId="08672628" w14:textId="77777777" w:rsidR="00FE2D11" w:rsidRPr="00FC0C9A" w:rsidRDefault="00B7451D" w:rsidP="00FC0C9A">
      <w:pPr>
        <w:rPr>
          <w:rFonts w:ascii="Times New Roman" w:hAnsi="Times New Roman"/>
          <w:b/>
          <w:sz w:val="22"/>
          <w:szCs w:val="20"/>
        </w:rPr>
      </w:pPr>
      <w:r>
        <w:rPr>
          <w:rFonts w:ascii="Times New Roman" w:hAnsi="Times New Roman"/>
          <w:b/>
          <w:sz w:val="22"/>
          <w:szCs w:val="20"/>
        </w:rPr>
        <w:br w:type="page"/>
      </w:r>
      <w:r w:rsidR="00FE2D11" w:rsidRPr="00281079">
        <w:rPr>
          <w:rFonts w:ascii="Times New Roman" w:hAnsi="Times New Roman"/>
          <w:b/>
          <w:sz w:val="22"/>
          <w:szCs w:val="20"/>
        </w:rPr>
        <w:lastRenderedPageBreak/>
        <w:t>Table 1 : Summary statistics</w:t>
      </w:r>
      <w:r w:rsidR="00FE2D11">
        <w:rPr>
          <w:rFonts w:ascii="Times New Roman" w:hAnsi="Times New Roman"/>
          <w:b/>
          <w:sz w:val="22"/>
          <w:szCs w:val="20"/>
        </w:rPr>
        <w:t>, Cross-country analysis</w:t>
      </w:r>
    </w:p>
    <w:p w14:paraId="782F8A6B" w14:textId="77777777" w:rsidR="00FE2D11" w:rsidRPr="00847C3D" w:rsidRDefault="00FE2D11" w:rsidP="00B605C7">
      <w:pPr>
        <w:rPr>
          <w:rFonts w:ascii="Times New Roman" w:hAnsi="Times New Roman"/>
          <w:b/>
          <w:sz w:val="20"/>
          <w:szCs w:val="20"/>
        </w:rPr>
      </w:pPr>
    </w:p>
    <w:tbl>
      <w:tblPr>
        <w:tblW w:w="10057" w:type="dxa"/>
        <w:jc w:val="center"/>
        <w:tblLayout w:type="fixed"/>
        <w:tblCellMar>
          <w:left w:w="75" w:type="dxa"/>
          <w:right w:w="75" w:type="dxa"/>
        </w:tblCellMar>
        <w:tblLook w:val="0000" w:firstRow="0" w:lastRow="0" w:firstColumn="0" w:lastColumn="0" w:noHBand="0" w:noVBand="0"/>
      </w:tblPr>
      <w:tblGrid>
        <w:gridCol w:w="877"/>
        <w:gridCol w:w="1150"/>
        <w:gridCol w:w="1008"/>
        <w:gridCol w:w="864"/>
        <w:gridCol w:w="898"/>
        <w:gridCol w:w="463"/>
        <w:gridCol w:w="414"/>
        <w:gridCol w:w="1150"/>
        <w:gridCol w:w="1008"/>
        <w:gridCol w:w="864"/>
        <w:gridCol w:w="1361"/>
      </w:tblGrid>
      <w:tr w:rsidR="00FE2D11" w:rsidRPr="00847C3D" w14:paraId="3B3F72CA" w14:textId="77777777">
        <w:trPr>
          <w:jc w:val="center"/>
        </w:trPr>
        <w:tc>
          <w:tcPr>
            <w:tcW w:w="4797" w:type="dxa"/>
            <w:gridSpan w:val="5"/>
            <w:tcBorders>
              <w:top w:val="nil"/>
              <w:left w:val="nil"/>
              <w:bottom w:val="double" w:sz="4" w:space="0" w:color="auto"/>
              <w:right w:val="nil"/>
            </w:tcBorders>
          </w:tcPr>
          <w:p w14:paraId="52DE2C6C" w14:textId="77777777" w:rsidR="00FE2D11" w:rsidRPr="00847C3D" w:rsidRDefault="00FE2D11" w:rsidP="00B605C7">
            <w:pPr>
              <w:widowControl w:val="0"/>
              <w:autoSpaceDE w:val="0"/>
              <w:autoSpaceDN w:val="0"/>
              <w:adjustRightInd w:val="0"/>
              <w:rPr>
                <w:rFonts w:ascii="Times New Roman" w:hAnsi="Times New Roman" w:cs="Times New Roman Bold"/>
                <w:sz w:val="20"/>
                <w:szCs w:val="20"/>
              </w:rPr>
            </w:pPr>
          </w:p>
        </w:tc>
        <w:tc>
          <w:tcPr>
            <w:tcW w:w="877" w:type="dxa"/>
            <w:gridSpan w:val="2"/>
            <w:tcBorders>
              <w:top w:val="nil"/>
              <w:left w:val="nil"/>
              <w:bottom w:val="double" w:sz="4" w:space="0" w:color="auto"/>
              <w:right w:val="nil"/>
            </w:tcBorders>
          </w:tcPr>
          <w:p w14:paraId="305B0753"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Mean</w:t>
            </w:r>
          </w:p>
        </w:tc>
        <w:tc>
          <w:tcPr>
            <w:tcW w:w="1150" w:type="dxa"/>
            <w:tcBorders>
              <w:top w:val="nil"/>
              <w:left w:val="nil"/>
              <w:bottom w:val="double" w:sz="4" w:space="0" w:color="auto"/>
              <w:right w:val="nil"/>
            </w:tcBorders>
          </w:tcPr>
          <w:p w14:paraId="2F34B7B2"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Stand. dev</w:t>
            </w:r>
          </w:p>
        </w:tc>
        <w:tc>
          <w:tcPr>
            <w:tcW w:w="1008" w:type="dxa"/>
            <w:tcBorders>
              <w:top w:val="nil"/>
              <w:left w:val="nil"/>
              <w:bottom w:val="double" w:sz="4" w:space="0" w:color="auto"/>
              <w:right w:val="nil"/>
            </w:tcBorders>
          </w:tcPr>
          <w:p w14:paraId="1477F884"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Min</w:t>
            </w:r>
          </w:p>
        </w:tc>
        <w:tc>
          <w:tcPr>
            <w:tcW w:w="864" w:type="dxa"/>
            <w:tcBorders>
              <w:top w:val="nil"/>
              <w:left w:val="nil"/>
              <w:bottom w:val="double" w:sz="4" w:space="0" w:color="auto"/>
              <w:right w:val="nil"/>
            </w:tcBorders>
          </w:tcPr>
          <w:p w14:paraId="5985930E"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Max</w:t>
            </w:r>
          </w:p>
        </w:tc>
        <w:tc>
          <w:tcPr>
            <w:tcW w:w="1361" w:type="dxa"/>
            <w:tcBorders>
              <w:top w:val="nil"/>
              <w:left w:val="nil"/>
              <w:bottom w:val="double" w:sz="4" w:space="0" w:color="auto"/>
              <w:right w:val="nil"/>
            </w:tcBorders>
          </w:tcPr>
          <w:p w14:paraId="74675547"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Observations</w:t>
            </w:r>
          </w:p>
        </w:tc>
      </w:tr>
      <w:tr w:rsidR="00FE2D11" w:rsidRPr="00847C3D" w14:paraId="66CFA302" w14:textId="77777777">
        <w:trPr>
          <w:jc w:val="center"/>
        </w:trPr>
        <w:tc>
          <w:tcPr>
            <w:tcW w:w="4797" w:type="dxa"/>
            <w:gridSpan w:val="5"/>
            <w:tcBorders>
              <w:top w:val="double" w:sz="4" w:space="0" w:color="auto"/>
              <w:left w:val="nil"/>
              <w:right w:val="nil"/>
            </w:tcBorders>
          </w:tcPr>
          <w:p w14:paraId="0C237BBD" w14:textId="77777777" w:rsidR="00FE2D11" w:rsidRPr="00847C3D" w:rsidRDefault="00FE2D11" w:rsidP="00B605C7">
            <w:pPr>
              <w:widowControl w:val="0"/>
              <w:autoSpaceDE w:val="0"/>
              <w:autoSpaceDN w:val="0"/>
              <w:adjustRightInd w:val="0"/>
              <w:rPr>
                <w:rFonts w:ascii="Times New Roman" w:hAnsi="Times New Roman" w:cs="Times New Roman Bold"/>
                <w:b/>
                <w:sz w:val="20"/>
                <w:szCs w:val="20"/>
              </w:rPr>
            </w:pPr>
          </w:p>
        </w:tc>
        <w:tc>
          <w:tcPr>
            <w:tcW w:w="877" w:type="dxa"/>
            <w:gridSpan w:val="2"/>
            <w:tcBorders>
              <w:top w:val="double" w:sz="4" w:space="0" w:color="auto"/>
              <w:left w:val="nil"/>
              <w:right w:val="nil"/>
            </w:tcBorders>
          </w:tcPr>
          <w:p w14:paraId="484EB8A8"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150" w:type="dxa"/>
            <w:tcBorders>
              <w:top w:val="double" w:sz="4" w:space="0" w:color="auto"/>
              <w:left w:val="nil"/>
              <w:right w:val="nil"/>
            </w:tcBorders>
          </w:tcPr>
          <w:p w14:paraId="0F0EEB50"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008" w:type="dxa"/>
            <w:tcBorders>
              <w:top w:val="double" w:sz="4" w:space="0" w:color="auto"/>
              <w:left w:val="nil"/>
              <w:right w:val="nil"/>
            </w:tcBorders>
          </w:tcPr>
          <w:p w14:paraId="4A660D37"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864" w:type="dxa"/>
            <w:tcBorders>
              <w:top w:val="double" w:sz="4" w:space="0" w:color="auto"/>
              <w:left w:val="nil"/>
              <w:right w:val="nil"/>
            </w:tcBorders>
          </w:tcPr>
          <w:p w14:paraId="4815D6D0"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361" w:type="dxa"/>
            <w:tcBorders>
              <w:top w:val="double" w:sz="4" w:space="0" w:color="auto"/>
              <w:left w:val="nil"/>
              <w:right w:val="nil"/>
            </w:tcBorders>
          </w:tcPr>
          <w:p w14:paraId="08DECF9E"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r>
      <w:tr w:rsidR="00797582" w:rsidRPr="00847C3D" w14:paraId="5000F831" w14:textId="77777777">
        <w:trPr>
          <w:gridAfter w:val="5"/>
          <w:wAfter w:w="4797" w:type="dxa"/>
          <w:jc w:val="center"/>
        </w:trPr>
        <w:tc>
          <w:tcPr>
            <w:tcW w:w="877" w:type="dxa"/>
            <w:tcBorders>
              <w:left w:val="nil"/>
              <w:bottom w:val="nil"/>
              <w:right w:val="nil"/>
            </w:tcBorders>
          </w:tcPr>
          <w:p w14:paraId="46AD6FEC" w14:textId="77777777" w:rsidR="00797582" w:rsidRPr="00847C3D" w:rsidRDefault="00797582" w:rsidP="00B605C7">
            <w:pPr>
              <w:widowControl w:val="0"/>
              <w:autoSpaceDE w:val="0"/>
              <w:autoSpaceDN w:val="0"/>
              <w:adjustRightInd w:val="0"/>
              <w:jc w:val="center"/>
              <w:rPr>
                <w:rFonts w:ascii="Times New Roman" w:hAnsi="Times New Roman" w:cs="Times New Roman Bold"/>
                <w:sz w:val="20"/>
                <w:szCs w:val="20"/>
              </w:rPr>
            </w:pPr>
          </w:p>
        </w:tc>
        <w:tc>
          <w:tcPr>
            <w:tcW w:w="1150" w:type="dxa"/>
            <w:tcBorders>
              <w:left w:val="nil"/>
              <w:bottom w:val="nil"/>
              <w:right w:val="nil"/>
            </w:tcBorders>
          </w:tcPr>
          <w:p w14:paraId="06AB95AB" w14:textId="77777777" w:rsidR="00797582" w:rsidRPr="00847C3D" w:rsidRDefault="00797582" w:rsidP="00B605C7">
            <w:pPr>
              <w:widowControl w:val="0"/>
              <w:autoSpaceDE w:val="0"/>
              <w:autoSpaceDN w:val="0"/>
              <w:adjustRightInd w:val="0"/>
              <w:jc w:val="center"/>
              <w:rPr>
                <w:rFonts w:ascii="Times New Roman" w:hAnsi="Times New Roman" w:cs="Times New Roman Bold"/>
                <w:sz w:val="20"/>
                <w:szCs w:val="20"/>
              </w:rPr>
            </w:pPr>
          </w:p>
        </w:tc>
        <w:tc>
          <w:tcPr>
            <w:tcW w:w="1008" w:type="dxa"/>
            <w:tcBorders>
              <w:left w:val="nil"/>
              <w:bottom w:val="nil"/>
              <w:right w:val="nil"/>
            </w:tcBorders>
          </w:tcPr>
          <w:p w14:paraId="7F9967EE" w14:textId="77777777" w:rsidR="00797582" w:rsidRPr="00847C3D" w:rsidRDefault="00797582" w:rsidP="00B605C7">
            <w:pPr>
              <w:widowControl w:val="0"/>
              <w:autoSpaceDE w:val="0"/>
              <w:autoSpaceDN w:val="0"/>
              <w:adjustRightInd w:val="0"/>
              <w:jc w:val="center"/>
              <w:rPr>
                <w:rFonts w:ascii="Times New Roman" w:hAnsi="Times New Roman" w:cs="Times New Roman Bold"/>
                <w:sz w:val="20"/>
                <w:szCs w:val="20"/>
              </w:rPr>
            </w:pPr>
          </w:p>
        </w:tc>
        <w:tc>
          <w:tcPr>
            <w:tcW w:w="864" w:type="dxa"/>
            <w:tcBorders>
              <w:left w:val="nil"/>
              <w:bottom w:val="nil"/>
              <w:right w:val="nil"/>
            </w:tcBorders>
          </w:tcPr>
          <w:p w14:paraId="3B35191C" w14:textId="77777777" w:rsidR="00797582" w:rsidRPr="00847C3D" w:rsidRDefault="00797582" w:rsidP="00B605C7">
            <w:pPr>
              <w:widowControl w:val="0"/>
              <w:autoSpaceDE w:val="0"/>
              <w:autoSpaceDN w:val="0"/>
              <w:adjustRightInd w:val="0"/>
              <w:jc w:val="center"/>
              <w:rPr>
                <w:rFonts w:ascii="Times New Roman" w:hAnsi="Times New Roman" w:cs="Times New Roman Bold"/>
                <w:sz w:val="20"/>
                <w:szCs w:val="20"/>
              </w:rPr>
            </w:pPr>
          </w:p>
        </w:tc>
        <w:tc>
          <w:tcPr>
            <w:tcW w:w="1361" w:type="dxa"/>
            <w:gridSpan w:val="2"/>
            <w:tcBorders>
              <w:left w:val="nil"/>
              <w:bottom w:val="nil"/>
              <w:right w:val="nil"/>
            </w:tcBorders>
          </w:tcPr>
          <w:p w14:paraId="7F11268D" w14:textId="77777777" w:rsidR="00797582" w:rsidRPr="00847C3D" w:rsidRDefault="00797582" w:rsidP="00B605C7">
            <w:pPr>
              <w:widowControl w:val="0"/>
              <w:autoSpaceDE w:val="0"/>
              <w:autoSpaceDN w:val="0"/>
              <w:adjustRightInd w:val="0"/>
              <w:jc w:val="center"/>
              <w:rPr>
                <w:rFonts w:ascii="Times New Roman" w:hAnsi="Times New Roman" w:cs="Times New Roman Bold"/>
                <w:sz w:val="20"/>
                <w:szCs w:val="20"/>
              </w:rPr>
            </w:pPr>
          </w:p>
        </w:tc>
      </w:tr>
      <w:tr w:rsidR="00FE2D11" w:rsidRPr="00847C3D" w14:paraId="4CC8FA91" w14:textId="77777777">
        <w:trPr>
          <w:jc w:val="center"/>
        </w:trPr>
        <w:tc>
          <w:tcPr>
            <w:tcW w:w="4797" w:type="dxa"/>
            <w:gridSpan w:val="5"/>
            <w:tcBorders>
              <w:left w:val="nil"/>
              <w:bottom w:val="nil"/>
              <w:right w:val="nil"/>
            </w:tcBorders>
          </w:tcPr>
          <w:p w14:paraId="503E4B23" w14:textId="77777777" w:rsidR="00FE2D11" w:rsidRPr="00847C3D" w:rsidRDefault="00FE2D11" w:rsidP="00B605C7">
            <w:pPr>
              <w:widowControl w:val="0"/>
              <w:autoSpaceDE w:val="0"/>
              <w:autoSpaceDN w:val="0"/>
              <w:adjustRightInd w:val="0"/>
              <w:spacing w:before="2" w:after="2"/>
              <w:jc w:val="right"/>
              <w:rPr>
                <w:rFonts w:ascii="Times New Roman" w:hAnsi="Times New Roman" w:cs="Times New Roman Bold"/>
                <w:sz w:val="20"/>
                <w:szCs w:val="20"/>
              </w:rPr>
            </w:pPr>
            <w:r w:rsidRPr="00847C3D">
              <w:rPr>
                <w:rFonts w:ascii="Times New Roman" w:hAnsi="Times New Roman" w:cs="Times New Roman Bold"/>
                <w:sz w:val="20"/>
                <w:szCs w:val="20"/>
              </w:rPr>
              <w:t>Top 1% income share</w:t>
            </w:r>
          </w:p>
        </w:tc>
        <w:tc>
          <w:tcPr>
            <w:tcW w:w="877" w:type="dxa"/>
            <w:gridSpan w:val="2"/>
            <w:tcBorders>
              <w:left w:val="nil"/>
              <w:bottom w:val="nil"/>
              <w:right w:val="nil"/>
            </w:tcBorders>
          </w:tcPr>
          <w:p w14:paraId="00D567AB"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8.51</w:t>
            </w:r>
          </w:p>
        </w:tc>
        <w:tc>
          <w:tcPr>
            <w:tcW w:w="1150" w:type="dxa"/>
            <w:tcBorders>
              <w:left w:val="nil"/>
              <w:bottom w:val="nil"/>
              <w:right w:val="nil"/>
            </w:tcBorders>
          </w:tcPr>
          <w:p w14:paraId="15F6B875"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3.00</w:t>
            </w:r>
          </w:p>
        </w:tc>
        <w:tc>
          <w:tcPr>
            <w:tcW w:w="1008" w:type="dxa"/>
            <w:tcBorders>
              <w:left w:val="nil"/>
              <w:bottom w:val="nil"/>
              <w:right w:val="nil"/>
            </w:tcBorders>
          </w:tcPr>
          <w:p w14:paraId="350F0FDC"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3.97</w:t>
            </w:r>
          </w:p>
        </w:tc>
        <w:tc>
          <w:tcPr>
            <w:tcW w:w="864" w:type="dxa"/>
            <w:tcBorders>
              <w:left w:val="nil"/>
              <w:bottom w:val="nil"/>
              <w:right w:val="nil"/>
            </w:tcBorders>
          </w:tcPr>
          <w:p w14:paraId="1DE04879"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20.45</w:t>
            </w:r>
          </w:p>
        </w:tc>
        <w:tc>
          <w:tcPr>
            <w:tcW w:w="1361" w:type="dxa"/>
            <w:tcBorders>
              <w:left w:val="nil"/>
              <w:bottom w:val="nil"/>
              <w:right w:val="nil"/>
            </w:tcBorders>
          </w:tcPr>
          <w:p w14:paraId="4049081C"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453</w:t>
            </w:r>
          </w:p>
        </w:tc>
      </w:tr>
      <w:tr w:rsidR="00FE2D11" w:rsidRPr="00847C3D" w14:paraId="4B9F1980" w14:textId="77777777">
        <w:trPr>
          <w:jc w:val="center"/>
        </w:trPr>
        <w:tc>
          <w:tcPr>
            <w:tcW w:w="4797" w:type="dxa"/>
            <w:gridSpan w:val="5"/>
            <w:tcBorders>
              <w:left w:val="nil"/>
              <w:bottom w:val="nil"/>
              <w:right w:val="nil"/>
            </w:tcBorders>
          </w:tcPr>
          <w:p w14:paraId="55416D7B" w14:textId="77777777" w:rsidR="00FE2D11" w:rsidRPr="00847C3D" w:rsidRDefault="00FE2D11" w:rsidP="00B605C7">
            <w:pPr>
              <w:widowControl w:val="0"/>
              <w:autoSpaceDE w:val="0"/>
              <w:autoSpaceDN w:val="0"/>
              <w:adjustRightInd w:val="0"/>
              <w:spacing w:before="2" w:after="2"/>
              <w:jc w:val="right"/>
              <w:rPr>
                <w:rFonts w:ascii="Times New Roman" w:hAnsi="Times New Roman" w:cs="Times New Roman Bold"/>
                <w:sz w:val="20"/>
                <w:szCs w:val="20"/>
              </w:rPr>
            </w:pPr>
            <w:r w:rsidRPr="00847C3D">
              <w:rPr>
                <w:rFonts w:ascii="Times New Roman" w:hAnsi="Times New Roman" w:cs="Times New Roman Bold"/>
                <w:sz w:val="20"/>
                <w:szCs w:val="20"/>
              </w:rPr>
              <w:t>Gini coefficient (after taxes and transfers)</w:t>
            </w:r>
          </w:p>
        </w:tc>
        <w:tc>
          <w:tcPr>
            <w:tcW w:w="877" w:type="dxa"/>
            <w:gridSpan w:val="2"/>
            <w:tcBorders>
              <w:left w:val="nil"/>
              <w:bottom w:val="nil"/>
              <w:right w:val="nil"/>
            </w:tcBorders>
          </w:tcPr>
          <w:p w14:paraId="4A11FB99"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0.30</w:t>
            </w:r>
          </w:p>
        </w:tc>
        <w:tc>
          <w:tcPr>
            <w:tcW w:w="1150" w:type="dxa"/>
            <w:tcBorders>
              <w:left w:val="nil"/>
              <w:bottom w:val="nil"/>
              <w:right w:val="nil"/>
            </w:tcBorders>
          </w:tcPr>
          <w:p w14:paraId="2EEDF659"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0.05</w:t>
            </w:r>
          </w:p>
        </w:tc>
        <w:tc>
          <w:tcPr>
            <w:tcW w:w="1008" w:type="dxa"/>
            <w:tcBorders>
              <w:left w:val="nil"/>
              <w:bottom w:val="nil"/>
              <w:right w:val="nil"/>
            </w:tcBorders>
          </w:tcPr>
          <w:p w14:paraId="7A107F08"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0.20</w:t>
            </w:r>
          </w:p>
        </w:tc>
        <w:tc>
          <w:tcPr>
            <w:tcW w:w="864" w:type="dxa"/>
            <w:tcBorders>
              <w:left w:val="nil"/>
              <w:bottom w:val="nil"/>
              <w:right w:val="nil"/>
            </w:tcBorders>
          </w:tcPr>
          <w:p w14:paraId="65E659C7"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0.40</w:t>
            </w:r>
          </w:p>
        </w:tc>
        <w:tc>
          <w:tcPr>
            <w:tcW w:w="1361" w:type="dxa"/>
            <w:tcBorders>
              <w:left w:val="nil"/>
              <w:bottom w:val="nil"/>
              <w:right w:val="nil"/>
            </w:tcBorders>
          </w:tcPr>
          <w:p w14:paraId="510F1B82"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195</w:t>
            </w:r>
          </w:p>
        </w:tc>
      </w:tr>
      <w:tr w:rsidR="00FE2D11" w:rsidRPr="00847C3D" w14:paraId="13FD23A5" w14:textId="77777777">
        <w:trPr>
          <w:jc w:val="center"/>
        </w:trPr>
        <w:tc>
          <w:tcPr>
            <w:tcW w:w="4797" w:type="dxa"/>
            <w:gridSpan w:val="5"/>
            <w:tcBorders>
              <w:left w:val="nil"/>
              <w:bottom w:val="nil"/>
              <w:right w:val="nil"/>
            </w:tcBorders>
          </w:tcPr>
          <w:p w14:paraId="31A22415" w14:textId="77777777" w:rsidR="00FE2D11" w:rsidRPr="00847C3D" w:rsidRDefault="00FE2D11" w:rsidP="00B605C7">
            <w:pPr>
              <w:widowControl w:val="0"/>
              <w:autoSpaceDE w:val="0"/>
              <w:autoSpaceDN w:val="0"/>
              <w:adjustRightInd w:val="0"/>
              <w:spacing w:before="2" w:after="2"/>
              <w:jc w:val="right"/>
              <w:rPr>
                <w:rFonts w:ascii="Times New Roman" w:hAnsi="Times New Roman" w:cs="Times New Roman Bold"/>
                <w:sz w:val="20"/>
                <w:szCs w:val="20"/>
              </w:rPr>
            </w:pPr>
            <w:r w:rsidRPr="00847C3D">
              <w:rPr>
                <w:rFonts w:ascii="Times New Roman" w:hAnsi="Times New Roman" w:cs="Times New Roman Bold"/>
                <w:sz w:val="20"/>
                <w:szCs w:val="20"/>
              </w:rPr>
              <w:t>Disposable income ratio: 90</w:t>
            </w:r>
            <w:r w:rsidRPr="00847C3D">
              <w:rPr>
                <w:rFonts w:ascii="Times New Roman" w:hAnsi="Times New Roman" w:cs="Times New Roman Bold"/>
                <w:sz w:val="20"/>
                <w:szCs w:val="20"/>
                <w:vertAlign w:val="superscript"/>
              </w:rPr>
              <w:t>th</w:t>
            </w:r>
            <w:r w:rsidRPr="00847C3D">
              <w:rPr>
                <w:rFonts w:ascii="Times New Roman" w:hAnsi="Times New Roman" w:cs="Times New Roman Bold"/>
                <w:sz w:val="20"/>
                <w:szCs w:val="20"/>
              </w:rPr>
              <w:t xml:space="preserve"> to 10</w:t>
            </w:r>
            <w:r w:rsidRPr="00847C3D">
              <w:rPr>
                <w:rFonts w:ascii="Times New Roman" w:hAnsi="Times New Roman" w:cs="Times New Roman Bold"/>
                <w:sz w:val="20"/>
                <w:szCs w:val="20"/>
                <w:vertAlign w:val="superscript"/>
              </w:rPr>
              <w:t>th</w:t>
            </w:r>
            <w:r w:rsidRPr="00847C3D">
              <w:rPr>
                <w:rFonts w:ascii="Times New Roman" w:hAnsi="Times New Roman" w:cs="Times New Roman Bold"/>
                <w:sz w:val="20"/>
                <w:szCs w:val="20"/>
              </w:rPr>
              <w:t xml:space="preserve"> percentile</w:t>
            </w:r>
          </w:p>
        </w:tc>
        <w:tc>
          <w:tcPr>
            <w:tcW w:w="877" w:type="dxa"/>
            <w:gridSpan w:val="2"/>
            <w:tcBorders>
              <w:left w:val="nil"/>
              <w:bottom w:val="nil"/>
              <w:right w:val="nil"/>
            </w:tcBorders>
          </w:tcPr>
          <w:p w14:paraId="344F18A4"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4.03</w:t>
            </w:r>
          </w:p>
        </w:tc>
        <w:tc>
          <w:tcPr>
            <w:tcW w:w="1150" w:type="dxa"/>
            <w:tcBorders>
              <w:left w:val="nil"/>
              <w:bottom w:val="nil"/>
              <w:right w:val="nil"/>
            </w:tcBorders>
          </w:tcPr>
          <w:p w14:paraId="59710B57"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0.90</w:t>
            </w:r>
          </w:p>
        </w:tc>
        <w:tc>
          <w:tcPr>
            <w:tcW w:w="1008" w:type="dxa"/>
            <w:tcBorders>
              <w:left w:val="nil"/>
              <w:bottom w:val="nil"/>
              <w:right w:val="nil"/>
            </w:tcBorders>
          </w:tcPr>
          <w:p w14:paraId="60CCF88C"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2.40</w:t>
            </w:r>
          </w:p>
        </w:tc>
        <w:tc>
          <w:tcPr>
            <w:tcW w:w="864" w:type="dxa"/>
            <w:tcBorders>
              <w:left w:val="nil"/>
              <w:bottom w:val="nil"/>
              <w:right w:val="nil"/>
            </w:tcBorders>
          </w:tcPr>
          <w:p w14:paraId="3267FAF0"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6.40</w:t>
            </w:r>
          </w:p>
        </w:tc>
        <w:tc>
          <w:tcPr>
            <w:tcW w:w="1361" w:type="dxa"/>
            <w:tcBorders>
              <w:left w:val="nil"/>
              <w:bottom w:val="nil"/>
              <w:right w:val="nil"/>
            </w:tcBorders>
          </w:tcPr>
          <w:p w14:paraId="5A128820"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143</w:t>
            </w:r>
          </w:p>
        </w:tc>
      </w:tr>
      <w:tr w:rsidR="00FE2D11" w:rsidRPr="00847C3D" w14:paraId="301DA9A6" w14:textId="77777777">
        <w:trPr>
          <w:jc w:val="center"/>
        </w:trPr>
        <w:tc>
          <w:tcPr>
            <w:tcW w:w="4797" w:type="dxa"/>
            <w:gridSpan w:val="5"/>
            <w:tcBorders>
              <w:left w:val="nil"/>
              <w:bottom w:val="nil"/>
              <w:right w:val="nil"/>
            </w:tcBorders>
          </w:tcPr>
          <w:p w14:paraId="714D399F" w14:textId="77777777" w:rsidR="00FE2D11" w:rsidRPr="00847C3D" w:rsidRDefault="00FE2D11" w:rsidP="00B605C7">
            <w:pPr>
              <w:widowControl w:val="0"/>
              <w:autoSpaceDE w:val="0"/>
              <w:autoSpaceDN w:val="0"/>
              <w:adjustRightInd w:val="0"/>
              <w:spacing w:before="2" w:after="2"/>
              <w:jc w:val="right"/>
              <w:rPr>
                <w:rFonts w:ascii="Times New Roman" w:hAnsi="Times New Roman" w:cs="Times New Roman Bold"/>
                <w:sz w:val="20"/>
                <w:szCs w:val="20"/>
              </w:rPr>
            </w:pPr>
            <w:r w:rsidRPr="00847C3D">
              <w:rPr>
                <w:rFonts w:ascii="Times New Roman" w:hAnsi="Times New Roman" w:cs="Times New Roman Bold"/>
                <w:sz w:val="20"/>
                <w:szCs w:val="20"/>
              </w:rPr>
              <w:t>Disposable income ratio: 90</w:t>
            </w:r>
            <w:r w:rsidRPr="00847C3D">
              <w:rPr>
                <w:rFonts w:ascii="Times New Roman" w:hAnsi="Times New Roman" w:cs="Times New Roman Bold"/>
                <w:sz w:val="20"/>
                <w:szCs w:val="20"/>
                <w:vertAlign w:val="superscript"/>
              </w:rPr>
              <w:t>th</w:t>
            </w:r>
            <w:r w:rsidRPr="00847C3D">
              <w:rPr>
                <w:rFonts w:ascii="Times New Roman" w:hAnsi="Times New Roman" w:cs="Times New Roman Bold"/>
                <w:sz w:val="20"/>
                <w:szCs w:val="20"/>
              </w:rPr>
              <w:t xml:space="preserve"> to 50</w:t>
            </w:r>
            <w:r w:rsidRPr="00847C3D">
              <w:rPr>
                <w:rFonts w:ascii="Times New Roman" w:hAnsi="Times New Roman" w:cs="Times New Roman Bold"/>
                <w:sz w:val="20"/>
                <w:szCs w:val="20"/>
                <w:vertAlign w:val="superscript"/>
              </w:rPr>
              <w:t>th</w:t>
            </w:r>
            <w:r w:rsidRPr="00847C3D">
              <w:rPr>
                <w:rFonts w:ascii="Times New Roman" w:hAnsi="Times New Roman" w:cs="Times New Roman Bold"/>
                <w:sz w:val="20"/>
                <w:szCs w:val="20"/>
              </w:rPr>
              <w:t xml:space="preserve"> percentile</w:t>
            </w:r>
          </w:p>
        </w:tc>
        <w:tc>
          <w:tcPr>
            <w:tcW w:w="877" w:type="dxa"/>
            <w:gridSpan w:val="2"/>
            <w:tcBorders>
              <w:left w:val="nil"/>
              <w:bottom w:val="nil"/>
              <w:right w:val="nil"/>
            </w:tcBorders>
          </w:tcPr>
          <w:p w14:paraId="3AA869F2"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1.90</w:t>
            </w:r>
          </w:p>
        </w:tc>
        <w:tc>
          <w:tcPr>
            <w:tcW w:w="1150" w:type="dxa"/>
            <w:tcBorders>
              <w:left w:val="nil"/>
              <w:bottom w:val="nil"/>
              <w:right w:val="nil"/>
            </w:tcBorders>
          </w:tcPr>
          <w:p w14:paraId="69F53304"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0.20</w:t>
            </w:r>
          </w:p>
        </w:tc>
        <w:tc>
          <w:tcPr>
            <w:tcW w:w="1008" w:type="dxa"/>
            <w:tcBorders>
              <w:left w:val="nil"/>
              <w:bottom w:val="nil"/>
              <w:right w:val="nil"/>
            </w:tcBorders>
          </w:tcPr>
          <w:p w14:paraId="7EB312F1"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1.50</w:t>
            </w:r>
          </w:p>
        </w:tc>
        <w:tc>
          <w:tcPr>
            <w:tcW w:w="864" w:type="dxa"/>
            <w:tcBorders>
              <w:left w:val="nil"/>
              <w:bottom w:val="nil"/>
              <w:right w:val="nil"/>
            </w:tcBorders>
          </w:tcPr>
          <w:p w14:paraId="36EA965F"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2.45</w:t>
            </w:r>
          </w:p>
        </w:tc>
        <w:tc>
          <w:tcPr>
            <w:tcW w:w="1361" w:type="dxa"/>
            <w:tcBorders>
              <w:left w:val="nil"/>
              <w:bottom w:val="nil"/>
              <w:right w:val="nil"/>
            </w:tcBorders>
          </w:tcPr>
          <w:p w14:paraId="609786DD"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143</w:t>
            </w:r>
          </w:p>
        </w:tc>
      </w:tr>
      <w:tr w:rsidR="00FE2D11" w:rsidRPr="00847C3D" w14:paraId="47104133" w14:textId="77777777">
        <w:trPr>
          <w:jc w:val="center"/>
        </w:trPr>
        <w:tc>
          <w:tcPr>
            <w:tcW w:w="4797" w:type="dxa"/>
            <w:gridSpan w:val="5"/>
            <w:tcBorders>
              <w:left w:val="nil"/>
              <w:bottom w:val="nil"/>
              <w:right w:val="nil"/>
            </w:tcBorders>
          </w:tcPr>
          <w:p w14:paraId="7D020537" w14:textId="77777777" w:rsidR="00FE2D11" w:rsidRPr="00847C3D" w:rsidRDefault="00FE2D11" w:rsidP="00B605C7">
            <w:pPr>
              <w:widowControl w:val="0"/>
              <w:autoSpaceDE w:val="0"/>
              <w:autoSpaceDN w:val="0"/>
              <w:adjustRightInd w:val="0"/>
              <w:spacing w:before="2" w:after="2"/>
              <w:jc w:val="right"/>
              <w:rPr>
                <w:rFonts w:ascii="Times New Roman" w:hAnsi="Times New Roman" w:cs="Times New Roman Bold"/>
                <w:sz w:val="20"/>
                <w:szCs w:val="20"/>
              </w:rPr>
            </w:pPr>
            <w:r w:rsidRPr="00847C3D">
              <w:rPr>
                <w:rFonts w:ascii="Times New Roman" w:hAnsi="Times New Roman" w:cs="Times New Roman Bold"/>
                <w:sz w:val="20"/>
                <w:szCs w:val="20"/>
              </w:rPr>
              <w:t>Disposable income ratio: 50</w:t>
            </w:r>
            <w:r w:rsidRPr="00847C3D">
              <w:rPr>
                <w:rFonts w:ascii="Times New Roman" w:hAnsi="Times New Roman" w:cs="Times New Roman Bold"/>
                <w:sz w:val="20"/>
                <w:szCs w:val="20"/>
                <w:vertAlign w:val="superscript"/>
              </w:rPr>
              <w:t>th</w:t>
            </w:r>
            <w:r w:rsidRPr="00847C3D">
              <w:rPr>
                <w:rFonts w:ascii="Times New Roman" w:hAnsi="Times New Roman" w:cs="Times New Roman Bold"/>
                <w:sz w:val="20"/>
                <w:szCs w:val="20"/>
              </w:rPr>
              <w:t xml:space="preserve"> to10</w:t>
            </w:r>
            <w:r w:rsidRPr="00847C3D">
              <w:rPr>
                <w:rFonts w:ascii="Times New Roman" w:hAnsi="Times New Roman" w:cs="Times New Roman Bold"/>
                <w:sz w:val="20"/>
                <w:szCs w:val="20"/>
                <w:vertAlign w:val="superscript"/>
              </w:rPr>
              <w:t>th</w:t>
            </w:r>
            <w:r w:rsidRPr="00847C3D">
              <w:rPr>
                <w:rFonts w:ascii="Times New Roman" w:hAnsi="Times New Roman" w:cs="Times New Roman Bold"/>
                <w:sz w:val="20"/>
                <w:szCs w:val="20"/>
              </w:rPr>
              <w:t xml:space="preserve"> percentile</w:t>
            </w:r>
          </w:p>
        </w:tc>
        <w:tc>
          <w:tcPr>
            <w:tcW w:w="877" w:type="dxa"/>
            <w:gridSpan w:val="2"/>
            <w:tcBorders>
              <w:left w:val="nil"/>
              <w:bottom w:val="nil"/>
              <w:right w:val="nil"/>
            </w:tcBorders>
          </w:tcPr>
          <w:p w14:paraId="518F0CDC"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2.10</w:t>
            </w:r>
          </w:p>
        </w:tc>
        <w:tc>
          <w:tcPr>
            <w:tcW w:w="1150" w:type="dxa"/>
            <w:tcBorders>
              <w:left w:val="nil"/>
              <w:bottom w:val="nil"/>
              <w:right w:val="nil"/>
            </w:tcBorders>
          </w:tcPr>
          <w:p w14:paraId="77ED33C1"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0.28</w:t>
            </w:r>
          </w:p>
        </w:tc>
        <w:tc>
          <w:tcPr>
            <w:tcW w:w="1008" w:type="dxa"/>
            <w:tcBorders>
              <w:left w:val="nil"/>
              <w:bottom w:val="nil"/>
              <w:right w:val="nil"/>
            </w:tcBorders>
          </w:tcPr>
          <w:p w14:paraId="61E7592A"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1.50</w:t>
            </w:r>
          </w:p>
        </w:tc>
        <w:tc>
          <w:tcPr>
            <w:tcW w:w="864" w:type="dxa"/>
            <w:tcBorders>
              <w:left w:val="nil"/>
              <w:bottom w:val="nil"/>
              <w:right w:val="nil"/>
            </w:tcBorders>
          </w:tcPr>
          <w:p w14:paraId="03548963"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2.70</w:t>
            </w:r>
          </w:p>
        </w:tc>
        <w:tc>
          <w:tcPr>
            <w:tcW w:w="1361" w:type="dxa"/>
            <w:tcBorders>
              <w:left w:val="nil"/>
              <w:bottom w:val="nil"/>
              <w:right w:val="nil"/>
            </w:tcBorders>
          </w:tcPr>
          <w:p w14:paraId="5D27485F"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143</w:t>
            </w:r>
          </w:p>
        </w:tc>
      </w:tr>
      <w:tr w:rsidR="00FE2D11" w:rsidRPr="00847C3D" w14:paraId="06B92B4B" w14:textId="77777777">
        <w:trPr>
          <w:jc w:val="center"/>
        </w:trPr>
        <w:tc>
          <w:tcPr>
            <w:tcW w:w="4797" w:type="dxa"/>
            <w:gridSpan w:val="5"/>
            <w:tcBorders>
              <w:left w:val="nil"/>
              <w:bottom w:val="nil"/>
              <w:right w:val="nil"/>
            </w:tcBorders>
          </w:tcPr>
          <w:p w14:paraId="55A22674" w14:textId="77777777" w:rsidR="00FE2D11" w:rsidRPr="00847C3D" w:rsidRDefault="00FE2D11" w:rsidP="00B605C7">
            <w:pPr>
              <w:widowControl w:val="0"/>
              <w:autoSpaceDE w:val="0"/>
              <w:autoSpaceDN w:val="0"/>
              <w:adjustRightInd w:val="0"/>
              <w:spacing w:before="2" w:after="2"/>
              <w:jc w:val="right"/>
              <w:rPr>
                <w:rFonts w:ascii="Times New Roman" w:hAnsi="Times New Roman" w:cs="Times New Roman Bold"/>
                <w:sz w:val="20"/>
                <w:szCs w:val="20"/>
              </w:rPr>
            </w:pPr>
            <w:r w:rsidRPr="00847C3D">
              <w:rPr>
                <w:rFonts w:ascii="Times New Roman" w:hAnsi="Times New Roman" w:cs="Times New Roman Bold"/>
                <w:sz w:val="20"/>
                <w:szCs w:val="20"/>
              </w:rPr>
              <w:t>Skew</w:t>
            </w:r>
          </w:p>
        </w:tc>
        <w:tc>
          <w:tcPr>
            <w:tcW w:w="877" w:type="dxa"/>
            <w:gridSpan w:val="2"/>
            <w:tcBorders>
              <w:left w:val="nil"/>
              <w:bottom w:val="nil"/>
              <w:right w:val="nil"/>
            </w:tcBorders>
          </w:tcPr>
          <w:p w14:paraId="48AA23AE"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0.91</w:t>
            </w:r>
          </w:p>
        </w:tc>
        <w:tc>
          <w:tcPr>
            <w:tcW w:w="1150" w:type="dxa"/>
            <w:tcBorders>
              <w:left w:val="nil"/>
              <w:bottom w:val="nil"/>
              <w:right w:val="nil"/>
            </w:tcBorders>
          </w:tcPr>
          <w:p w14:paraId="4227A77F"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0.09</w:t>
            </w:r>
          </w:p>
        </w:tc>
        <w:tc>
          <w:tcPr>
            <w:tcW w:w="1008" w:type="dxa"/>
            <w:tcBorders>
              <w:left w:val="nil"/>
              <w:bottom w:val="nil"/>
              <w:right w:val="nil"/>
            </w:tcBorders>
          </w:tcPr>
          <w:p w14:paraId="06519273"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0.73</w:t>
            </w:r>
          </w:p>
        </w:tc>
        <w:tc>
          <w:tcPr>
            <w:tcW w:w="864" w:type="dxa"/>
            <w:tcBorders>
              <w:left w:val="nil"/>
              <w:bottom w:val="nil"/>
              <w:right w:val="nil"/>
            </w:tcBorders>
          </w:tcPr>
          <w:p w14:paraId="026BFB0E"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1.14</w:t>
            </w:r>
          </w:p>
        </w:tc>
        <w:tc>
          <w:tcPr>
            <w:tcW w:w="1361" w:type="dxa"/>
            <w:tcBorders>
              <w:left w:val="nil"/>
              <w:bottom w:val="nil"/>
              <w:right w:val="nil"/>
            </w:tcBorders>
          </w:tcPr>
          <w:p w14:paraId="038B012F" w14:textId="77777777" w:rsidR="00FE2D11" w:rsidRPr="00847C3D" w:rsidRDefault="00FE2D11" w:rsidP="00B605C7">
            <w:pPr>
              <w:widowControl w:val="0"/>
              <w:autoSpaceDE w:val="0"/>
              <w:autoSpaceDN w:val="0"/>
              <w:adjustRightInd w:val="0"/>
              <w:spacing w:before="2" w:after="2"/>
              <w:jc w:val="center"/>
              <w:rPr>
                <w:rFonts w:ascii="Times New Roman" w:hAnsi="Times New Roman" w:cs="Times New Roman Bold"/>
                <w:sz w:val="20"/>
                <w:szCs w:val="20"/>
              </w:rPr>
            </w:pPr>
            <w:r w:rsidRPr="00847C3D">
              <w:rPr>
                <w:rFonts w:ascii="Times New Roman" w:hAnsi="Times New Roman" w:cs="Times New Roman Bold"/>
                <w:sz w:val="20"/>
                <w:szCs w:val="20"/>
              </w:rPr>
              <w:t>143</w:t>
            </w:r>
          </w:p>
        </w:tc>
      </w:tr>
      <w:tr w:rsidR="00FE2D11" w:rsidRPr="00847C3D" w14:paraId="58C1F94D" w14:textId="77777777">
        <w:trPr>
          <w:jc w:val="center"/>
        </w:trPr>
        <w:tc>
          <w:tcPr>
            <w:tcW w:w="4797" w:type="dxa"/>
            <w:gridSpan w:val="5"/>
            <w:tcBorders>
              <w:left w:val="nil"/>
              <w:bottom w:val="nil"/>
              <w:right w:val="nil"/>
            </w:tcBorders>
          </w:tcPr>
          <w:p w14:paraId="08BE7DBC" w14:textId="77777777" w:rsidR="00FE2D11" w:rsidRPr="00847C3D" w:rsidRDefault="00FE2D11" w:rsidP="00B605C7">
            <w:pPr>
              <w:widowControl w:val="0"/>
              <w:autoSpaceDE w:val="0"/>
              <w:autoSpaceDN w:val="0"/>
              <w:adjustRightInd w:val="0"/>
              <w:rPr>
                <w:rFonts w:ascii="Times New Roman" w:hAnsi="Times New Roman" w:cs="Times New Roman Bold"/>
                <w:b/>
                <w:sz w:val="20"/>
                <w:szCs w:val="20"/>
              </w:rPr>
            </w:pPr>
          </w:p>
        </w:tc>
        <w:tc>
          <w:tcPr>
            <w:tcW w:w="877" w:type="dxa"/>
            <w:gridSpan w:val="2"/>
            <w:tcBorders>
              <w:left w:val="nil"/>
              <w:bottom w:val="nil"/>
              <w:right w:val="nil"/>
            </w:tcBorders>
          </w:tcPr>
          <w:p w14:paraId="0EEA40F0"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150" w:type="dxa"/>
            <w:tcBorders>
              <w:left w:val="nil"/>
              <w:bottom w:val="nil"/>
              <w:right w:val="nil"/>
            </w:tcBorders>
          </w:tcPr>
          <w:p w14:paraId="4BC9E722"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008" w:type="dxa"/>
            <w:tcBorders>
              <w:left w:val="nil"/>
              <w:bottom w:val="nil"/>
              <w:right w:val="nil"/>
            </w:tcBorders>
          </w:tcPr>
          <w:p w14:paraId="1BB4D789"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864" w:type="dxa"/>
            <w:tcBorders>
              <w:left w:val="nil"/>
              <w:bottom w:val="nil"/>
              <w:right w:val="nil"/>
            </w:tcBorders>
          </w:tcPr>
          <w:p w14:paraId="03BD6C34"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361" w:type="dxa"/>
            <w:tcBorders>
              <w:left w:val="nil"/>
              <w:bottom w:val="nil"/>
              <w:right w:val="nil"/>
            </w:tcBorders>
          </w:tcPr>
          <w:p w14:paraId="14ECBAAB"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r>
      <w:tr w:rsidR="00FE2D11" w:rsidRPr="00847C3D" w14:paraId="624CE0BB" w14:textId="77777777">
        <w:trPr>
          <w:jc w:val="center"/>
        </w:trPr>
        <w:tc>
          <w:tcPr>
            <w:tcW w:w="4797" w:type="dxa"/>
            <w:gridSpan w:val="5"/>
            <w:tcBorders>
              <w:top w:val="nil"/>
              <w:left w:val="nil"/>
              <w:bottom w:val="nil"/>
              <w:right w:val="nil"/>
            </w:tcBorders>
          </w:tcPr>
          <w:p w14:paraId="2485EE3E"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Ratio: Private to public health expenditure</w:t>
            </w:r>
          </w:p>
        </w:tc>
        <w:tc>
          <w:tcPr>
            <w:tcW w:w="877" w:type="dxa"/>
            <w:gridSpan w:val="2"/>
            <w:tcBorders>
              <w:top w:val="nil"/>
              <w:left w:val="nil"/>
              <w:bottom w:val="nil"/>
              <w:right w:val="nil"/>
            </w:tcBorders>
          </w:tcPr>
          <w:p w14:paraId="4111903F"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0.45</w:t>
            </w:r>
          </w:p>
        </w:tc>
        <w:tc>
          <w:tcPr>
            <w:tcW w:w="1150" w:type="dxa"/>
            <w:tcBorders>
              <w:top w:val="nil"/>
              <w:left w:val="nil"/>
              <w:bottom w:val="nil"/>
              <w:right w:val="nil"/>
            </w:tcBorders>
          </w:tcPr>
          <w:p w14:paraId="59D7A4EA"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0.44</w:t>
            </w:r>
          </w:p>
        </w:tc>
        <w:tc>
          <w:tcPr>
            <w:tcW w:w="1008" w:type="dxa"/>
            <w:tcBorders>
              <w:top w:val="nil"/>
              <w:left w:val="nil"/>
              <w:bottom w:val="nil"/>
              <w:right w:val="nil"/>
            </w:tcBorders>
          </w:tcPr>
          <w:p w14:paraId="40DE91A7"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0.02</w:t>
            </w:r>
          </w:p>
        </w:tc>
        <w:tc>
          <w:tcPr>
            <w:tcW w:w="864" w:type="dxa"/>
            <w:tcBorders>
              <w:top w:val="nil"/>
              <w:left w:val="nil"/>
              <w:bottom w:val="nil"/>
              <w:right w:val="nil"/>
            </w:tcBorders>
          </w:tcPr>
          <w:p w14:paraId="35869C0B"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4.03</w:t>
            </w:r>
          </w:p>
        </w:tc>
        <w:tc>
          <w:tcPr>
            <w:tcW w:w="1361" w:type="dxa"/>
            <w:tcBorders>
              <w:top w:val="nil"/>
              <w:left w:val="nil"/>
              <w:bottom w:val="nil"/>
              <w:right w:val="nil"/>
            </w:tcBorders>
          </w:tcPr>
          <w:p w14:paraId="081D2CD0"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453</w:t>
            </w:r>
          </w:p>
        </w:tc>
      </w:tr>
      <w:tr w:rsidR="00FE2D11" w:rsidRPr="00847C3D" w14:paraId="097D9163" w14:textId="77777777">
        <w:trPr>
          <w:jc w:val="center"/>
        </w:trPr>
        <w:tc>
          <w:tcPr>
            <w:tcW w:w="4797" w:type="dxa"/>
            <w:gridSpan w:val="5"/>
            <w:tcBorders>
              <w:top w:val="nil"/>
              <w:left w:val="nil"/>
              <w:bottom w:val="nil"/>
              <w:right w:val="nil"/>
            </w:tcBorders>
          </w:tcPr>
          <w:p w14:paraId="3A56567A"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Private health expenditure (% all health expenditure)</w:t>
            </w:r>
          </w:p>
        </w:tc>
        <w:tc>
          <w:tcPr>
            <w:tcW w:w="877" w:type="dxa"/>
            <w:gridSpan w:val="2"/>
            <w:tcBorders>
              <w:top w:val="nil"/>
              <w:left w:val="nil"/>
              <w:bottom w:val="nil"/>
              <w:right w:val="nil"/>
            </w:tcBorders>
          </w:tcPr>
          <w:p w14:paraId="1D40596B"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27.15</w:t>
            </w:r>
          </w:p>
        </w:tc>
        <w:tc>
          <w:tcPr>
            <w:tcW w:w="1150" w:type="dxa"/>
            <w:tcBorders>
              <w:top w:val="nil"/>
              <w:left w:val="nil"/>
              <w:bottom w:val="nil"/>
              <w:right w:val="nil"/>
            </w:tcBorders>
          </w:tcPr>
          <w:p w14:paraId="48B32235"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13.75</w:t>
            </w:r>
          </w:p>
        </w:tc>
        <w:tc>
          <w:tcPr>
            <w:tcW w:w="1008" w:type="dxa"/>
            <w:tcBorders>
              <w:top w:val="nil"/>
              <w:left w:val="nil"/>
              <w:bottom w:val="nil"/>
              <w:right w:val="nil"/>
            </w:tcBorders>
          </w:tcPr>
          <w:p w14:paraId="1B3417E8"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1.73</w:t>
            </w:r>
          </w:p>
        </w:tc>
        <w:tc>
          <w:tcPr>
            <w:tcW w:w="864" w:type="dxa"/>
            <w:tcBorders>
              <w:top w:val="nil"/>
              <w:left w:val="nil"/>
              <w:bottom w:val="nil"/>
              <w:right w:val="nil"/>
            </w:tcBorders>
          </w:tcPr>
          <w:p w14:paraId="3885F227"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80.10</w:t>
            </w:r>
          </w:p>
        </w:tc>
        <w:tc>
          <w:tcPr>
            <w:tcW w:w="1361" w:type="dxa"/>
            <w:tcBorders>
              <w:top w:val="nil"/>
              <w:left w:val="nil"/>
              <w:bottom w:val="nil"/>
              <w:right w:val="nil"/>
            </w:tcBorders>
          </w:tcPr>
          <w:p w14:paraId="05A797F7"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453</w:t>
            </w:r>
          </w:p>
        </w:tc>
      </w:tr>
      <w:tr w:rsidR="00FE2D11" w:rsidRPr="00847C3D" w14:paraId="3F31F878" w14:textId="77777777">
        <w:trPr>
          <w:jc w:val="center"/>
        </w:trPr>
        <w:tc>
          <w:tcPr>
            <w:tcW w:w="4797" w:type="dxa"/>
            <w:gridSpan w:val="5"/>
            <w:tcBorders>
              <w:top w:val="nil"/>
              <w:left w:val="nil"/>
              <w:bottom w:val="nil"/>
              <w:right w:val="nil"/>
            </w:tcBorders>
          </w:tcPr>
          <w:p w14:paraId="313F2E59"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Population w/ private insurance (% total population)</w:t>
            </w:r>
          </w:p>
        </w:tc>
        <w:tc>
          <w:tcPr>
            <w:tcW w:w="877" w:type="dxa"/>
            <w:gridSpan w:val="2"/>
            <w:tcBorders>
              <w:top w:val="nil"/>
              <w:left w:val="nil"/>
              <w:bottom w:val="nil"/>
              <w:right w:val="nil"/>
            </w:tcBorders>
          </w:tcPr>
          <w:p w14:paraId="5FE1ECB0"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37.12</w:t>
            </w:r>
          </w:p>
        </w:tc>
        <w:tc>
          <w:tcPr>
            <w:tcW w:w="1150" w:type="dxa"/>
            <w:tcBorders>
              <w:top w:val="nil"/>
              <w:left w:val="nil"/>
              <w:bottom w:val="nil"/>
              <w:right w:val="nil"/>
            </w:tcBorders>
          </w:tcPr>
          <w:p w14:paraId="79420C67"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23.57</w:t>
            </w:r>
          </w:p>
        </w:tc>
        <w:tc>
          <w:tcPr>
            <w:tcW w:w="1008" w:type="dxa"/>
            <w:tcBorders>
              <w:top w:val="nil"/>
              <w:left w:val="nil"/>
              <w:bottom w:val="nil"/>
              <w:right w:val="nil"/>
            </w:tcBorders>
          </w:tcPr>
          <w:p w14:paraId="75E2BDE8"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0.80</w:t>
            </w:r>
          </w:p>
        </w:tc>
        <w:tc>
          <w:tcPr>
            <w:tcW w:w="864" w:type="dxa"/>
            <w:tcBorders>
              <w:top w:val="nil"/>
              <w:left w:val="nil"/>
              <w:bottom w:val="nil"/>
              <w:right w:val="nil"/>
            </w:tcBorders>
          </w:tcPr>
          <w:p w14:paraId="169C5C1A"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91.60</w:t>
            </w:r>
          </w:p>
        </w:tc>
        <w:tc>
          <w:tcPr>
            <w:tcW w:w="1361" w:type="dxa"/>
            <w:tcBorders>
              <w:top w:val="nil"/>
              <w:left w:val="nil"/>
              <w:bottom w:val="nil"/>
              <w:right w:val="nil"/>
            </w:tcBorders>
          </w:tcPr>
          <w:p w14:paraId="07861DCD"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135</w:t>
            </w:r>
          </w:p>
        </w:tc>
      </w:tr>
      <w:tr w:rsidR="00FE2D11" w:rsidRPr="00847C3D" w14:paraId="7C8DD581" w14:textId="77777777">
        <w:trPr>
          <w:jc w:val="center"/>
        </w:trPr>
        <w:tc>
          <w:tcPr>
            <w:tcW w:w="4797" w:type="dxa"/>
            <w:gridSpan w:val="5"/>
            <w:tcBorders>
              <w:top w:val="nil"/>
              <w:left w:val="nil"/>
              <w:bottom w:val="nil"/>
              <w:right w:val="nil"/>
            </w:tcBorders>
          </w:tcPr>
          <w:p w14:paraId="7B15F9DE"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Out of pocket health expenditure (% all health expenditure)</w:t>
            </w:r>
          </w:p>
        </w:tc>
        <w:tc>
          <w:tcPr>
            <w:tcW w:w="877" w:type="dxa"/>
            <w:gridSpan w:val="2"/>
            <w:tcBorders>
              <w:top w:val="nil"/>
              <w:left w:val="nil"/>
              <w:bottom w:val="nil"/>
              <w:right w:val="nil"/>
            </w:tcBorders>
          </w:tcPr>
          <w:p w14:paraId="151FB788"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18.04</w:t>
            </w:r>
          </w:p>
        </w:tc>
        <w:tc>
          <w:tcPr>
            <w:tcW w:w="1150" w:type="dxa"/>
            <w:tcBorders>
              <w:top w:val="nil"/>
              <w:left w:val="nil"/>
              <w:bottom w:val="nil"/>
              <w:right w:val="nil"/>
            </w:tcBorders>
          </w:tcPr>
          <w:p w14:paraId="7CD095DF"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8.11</w:t>
            </w:r>
          </w:p>
        </w:tc>
        <w:tc>
          <w:tcPr>
            <w:tcW w:w="1008" w:type="dxa"/>
            <w:tcBorders>
              <w:top w:val="nil"/>
              <w:left w:val="nil"/>
              <w:bottom w:val="nil"/>
              <w:right w:val="nil"/>
            </w:tcBorders>
          </w:tcPr>
          <w:p w14:paraId="6912986D"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6.96</w:t>
            </w:r>
          </w:p>
        </w:tc>
        <w:tc>
          <w:tcPr>
            <w:tcW w:w="864" w:type="dxa"/>
            <w:tcBorders>
              <w:top w:val="nil"/>
              <w:left w:val="nil"/>
              <w:bottom w:val="nil"/>
              <w:right w:val="nil"/>
            </w:tcBorders>
          </w:tcPr>
          <w:p w14:paraId="096E76BA"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53.13</w:t>
            </w:r>
          </w:p>
        </w:tc>
        <w:tc>
          <w:tcPr>
            <w:tcW w:w="1361" w:type="dxa"/>
            <w:tcBorders>
              <w:top w:val="nil"/>
              <w:left w:val="nil"/>
              <w:bottom w:val="nil"/>
              <w:right w:val="nil"/>
            </w:tcBorders>
          </w:tcPr>
          <w:p w14:paraId="6DCD6AF9"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265</w:t>
            </w:r>
          </w:p>
        </w:tc>
      </w:tr>
      <w:tr w:rsidR="00FE2D11" w:rsidRPr="00847C3D" w14:paraId="22E34A69" w14:textId="77777777">
        <w:trPr>
          <w:jc w:val="center"/>
        </w:trPr>
        <w:tc>
          <w:tcPr>
            <w:tcW w:w="4797" w:type="dxa"/>
            <w:gridSpan w:val="5"/>
            <w:tcBorders>
              <w:top w:val="nil"/>
              <w:left w:val="nil"/>
              <w:bottom w:val="nil"/>
              <w:right w:val="nil"/>
            </w:tcBorders>
          </w:tcPr>
          <w:p w14:paraId="6844AA3A"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p>
        </w:tc>
        <w:tc>
          <w:tcPr>
            <w:tcW w:w="877" w:type="dxa"/>
            <w:gridSpan w:val="2"/>
            <w:tcBorders>
              <w:top w:val="nil"/>
              <w:left w:val="nil"/>
              <w:bottom w:val="nil"/>
              <w:right w:val="nil"/>
            </w:tcBorders>
          </w:tcPr>
          <w:p w14:paraId="2D43505C"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150" w:type="dxa"/>
            <w:tcBorders>
              <w:top w:val="nil"/>
              <w:left w:val="nil"/>
              <w:bottom w:val="nil"/>
              <w:right w:val="nil"/>
            </w:tcBorders>
          </w:tcPr>
          <w:p w14:paraId="0A6E925F"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008" w:type="dxa"/>
            <w:tcBorders>
              <w:top w:val="nil"/>
              <w:left w:val="nil"/>
              <w:bottom w:val="nil"/>
              <w:right w:val="nil"/>
            </w:tcBorders>
          </w:tcPr>
          <w:p w14:paraId="4EF1FBC9"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864" w:type="dxa"/>
            <w:tcBorders>
              <w:top w:val="nil"/>
              <w:left w:val="nil"/>
              <w:bottom w:val="nil"/>
              <w:right w:val="nil"/>
            </w:tcBorders>
          </w:tcPr>
          <w:p w14:paraId="34552D7B"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361" w:type="dxa"/>
            <w:tcBorders>
              <w:top w:val="nil"/>
              <w:left w:val="nil"/>
              <w:bottom w:val="nil"/>
              <w:right w:val="nil"/>
            </w:tcBorders>
          </w:tcPr>
          <w:p w14:paraId="42BE8AE5"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r>
      <w:tr w:rsidR="00FE2D11" w:rsidRPr="00847C3D" w14:paraId="67A86F13" w14:textId="77777777">
        <w:trPr>
          <w:jc w:val="center"/>
        </w:trPr>
        <w:tc>
          <w:tcPr>
            <w:tcW w:w="4797" w:type="dxa"/>
            <w:gridSpan w:val="5"/>
            <w:tcBorders>
              <w:top w:val="nil"/>
              <w:left w:val="nil"/>
              <w:bottom w:val="nil"/>
              <w:right w:val="nil"/>
            </w:tcBorders>
          </w:tcPr>
          <w:p w14:paraId="04AA621C"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Total population (/100k)</w:t>
            </w:r>
          </w:p>
        </w:tc>
        <w:tc>
          <w:tcPr>
            <w:tcW w:w="877" w:type="dxa"/>
            <w:gridSpan w:val="2"/>
            <w:tcBorders>
              <w:top w:val="nil"/>
              <w:left w:val="nil"/>
              <w:bottom w:val="nil"/>
              <w:right w:val="nil"/>
            </w:tcBorders>
          </w:tcPr>
          <w:p w14:paraId="178275FC"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520.40</w:t>
            </w:r>
          </w:p>
        </w:tc>
        <w:tc>
          <w:tcPr>
            <w:tcW w:w="1150" w:type="dxa"/>
            <w:tcBorders>
              <w:top w:val="nil"/>
              <w:left w:val="nil"/>
              <w:bottom w:val="nil"/>
              <w:right w:val="nil"/>
            </w:tcBorders>
          </w:tcPr>
          <w:p w14:paraId="02F505AA"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734.80</w:t>
            </w:r>
          </w:p>
        </w:tc>
        <w:tc>
          <w:tcPr>
            <w:tcW w:w="1008" w:type="dxa"/>
            <w:tcBorders>
              <w:top w:val="nil"/>
              <w:left w:val="nil"/>
              <w:bottom w:val="nil"/>
              <w:right w:val="nil"/>
            </w:tcBorders>
          </w:tcPr>
          <w:p w14:paraId="0CE6F851"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31.70</w:t>
            </w:r>
          </w:p>
        </w:tc>
        <w:tc>
          <w:tcPr>
            <w:tcW w:w="864" w:type="dxa"/>
            <w:tcBorders>
              <w:top w:val="nil"/>
              <w:left w:val="nil"/>
              <w:bottom w:val="nil"/>
              <w:right w:val="nil"/>
            </w:tcBorders>
          </w:tcPr>
          <w:p w14:paraId="13D0FFB1"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3,212</w:t>
            </w:r>
          </w:p>
        </w:tc>
        <w:tc>
          <w:tcPr>
            <w:tcW w:w="1361" w:type="dxa"/>
            <w:tcBorders>
              <w:top w:val="nil"/>
              <w:left w:val="nil"/>
              <w:bottom w:val="nil"/>
              <w:right w:val="nil"/>
            </w:tcBorders>
          </w:tcPr>
          <w:p w14:paraId="53EDDF9D"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453</w:t>
            </w:r>
          </w:p>
        </w:tc>
      </w:tr>
      <w:tr w:rsidR="00FE2D11" w:rsidRPr="00847C3D" w14:paraId="74C45ADC" w14:textId="77777777">
        <w:trPr>
          <w:jc w:val="center"/>
        </w:trPr>
        <w:tc>
          <w:tcPr>
            <w:tcW w:w="4797" w:type="dxa"/>
            <w:gridSpan w:val="5"/>
            <w:tcBorders>
              <w:top w:val="nil"/>
              <w:left w:val="nil"/>
              <w:bottom w:val="nil"/>
              <w:right w:val="nil"/>
            </w:tcBorders>
          </w:tcPr>
          <w:p w14:paraId="43BA16C0"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 xml:space="preserve"> Proportion of the population aged 65 +</w:t>
            </w:r>
          </w:p>
        </w:tc>
        <w:tc>
          <w:tcPr>
            <w:tcW w:w="877" w:type="dxa"/>
            <w:gridSpan w:val="2"/>
            <w:tcBorders>
              <w:top w:val="nil"/>
              <w:left w:val="nil"/>
              <w:bottom w:val="nil"/>
              <w:right w:val="nil"/>
            </w:tcBorders>
          </w:tcPr>
          <w:p w14:paraId="55079E56"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14.06</w:t>
            </w:r>
          </w:p>
        </w:tc>
        <w:tc>
          <w:tcPr>
            <w:tcW w:w="1150" w:type="dxa"/>
            <w:tcBorders>
              <w:top w:val="nil"/>
              <w:left w:val="nil"/>
              <w:bottom w:val="nil"/>
              <w:right w:val="nil"/>
            </w:tcBorders>
          </w:tcPr>
          <w:p w14:paraId="20523A3C"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3.05</w:t>
            </w:r>
          </w:p>
        </w:tc>
        <w:tc>
          <w:tcPr>
            <w:tcW w:w="1008" w:type="dxa"/>
            <w:tcBorders>
              <w:top w:val="nil"/>
              <w:left w:val="nil"/>
              <w:bottom w:val="nil"/>
              <w:right w:val="nil"/>
            </w:tcBorders>
          </w:tcPr>
          <w:p w14:paraId="0D90E658"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3.80</w:t>
            </w:r>
          </w:p>
        </w:tc>
        <w:tc>
          <w:tcPr>
            <w:tcW w:w="864" w:type="dxa"/>
            <w:tcBorders>
              <w:top w:val="nil"/>
              <w:left w:val="nil"/>
              <w:bottom w:val="nil"/>
              <w:right w:val="nil"/>
            </w:tcBorders>
          </w:tcPr>
          <w:p w14:paraId="0AE16995"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23</w:t>
            </w:r>
          </w:p>
        </w:tc>
        <w:tc>
          <w:tcPr>
            <w:tcW w:w="1361" w:type="dxa"/>
            <w:tcBorders>
              <w:top w:val="nil"/>
              <w:left w:val="nil"/>
              <w:bottom w:val="nil"/>
              <w:right w:val="nil"/>
            </w:tcBorders>
          </w:tcPr>
          <w:p w14:paraId="049C21AB"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453</w:t>
            </w:r>
          </w:p>
        </w:tc>
      </w:tr>
      <w:tr w:rsidR="00FE2D11" w:rsidRPr="00847C3D" w14:paraId="4433CE54" w14:textId="77777777">
        <w:trPr>
          <w:jc w:val="center"/>
        </w:trPr>
        <w:tc>
          <w:tcPr>
            <w:tcW w:w="4797" w:type="dxa"/>
            <w:gridSpan w:val="5"/>
            <w:tcBorders>
              <w:top w:val="nil"/>
              <w:left w:val="nil"/>
              <w:bottom w:val="nil"/>
              <w:right w:val="nil"/>
            </w:tcBorders>
          </w:tcPr>
          <w:p w14:paraId="2BDE9D8A"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Employment rate</w:t>
            </w:r>
          </w:p>
        </w:tc>
        <w:tc>
          <w:tcPr>
            <w:tcW w:w="877" w:type="dxa"/>
            <w:gridSpan w:val="2"/>
            <w:tcBorders>
              <w:top w:val="nil"/>
              <w:left w:val="nil"/>
              <w:bottom w:val="nil"/>
              <w:right w:val="nil"/>
            </w:tcBorders>
          </w:tcPr>
          <w:p w14:paraId="164E751A"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45.84</w:t>
            </w:r>
          </w:p>
        </w:tc>
        <w:tc>
          <w:tcPr>
            <w:tcW w:w="1150" w:type="dxa"/>
            <w:tcBorders>
              <w:top w:val="nil"/>
              <w:left w:val="nil"/>
              <w:bottom w:val="nil"/>
              <w:right w:val="nil"/>
            </w:tcBorders>
          </w:tcPr>
          <w:p w14:paraId="5AEF223D"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5.43</w:t>
            </w:r>
          </w:p>
        </w:tc>
        <w:tc>
          <w:tcPr>
            <w:tcW w:w="1008" w:type="dxa"/>
            <w:tcBorders>
              <w:top w:val="nil"/>
              <w:left w:val="nil"/>
              <w:bottom w:val="nil"/>
              <w:right w:val="nil"/>
            </w:tcBorders>
          </w:tcPr>
          <w:p w14:paraId="2301560E"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28.40</w:t>
            </w:r>
          </w:p>
        </w:tc>
        <w:tc>
          <w:tcPr>
            <w:tcW w:w="864" w:type="dxa"/>
            <w:tcBorders>
              <w:top w:val="nil"/>
              <w:left w:val="nil"/>
              <w:bottom w:val="nil"/>
              <w:right w:val="nil"/>
            </w:tcBorders>
          </w:tcPr>
          <w:p w14:paraId="054F0D0A"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60.80</w:t>
            </w:r>
          </w:p>
        </w:tc>
        <w:tc>
          <w:tcPr>
            <w:tcW w:w="1361" w:type="dxa"/>
            <w:tcBorders>
              <w:top w:val="nil"/>
              <w:left w:val="nil"/>
              <w:bottom w:val="nil"/>
              <w:right w:val="nil"/>
            </w:tcBorders>
          </w:tcPr>
          <w:p w14:paraId="44B3E3B7"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453</w:t>
            </w:r>
          </w:p>
        </w:tc>
      </w:tr>
      <w:tr w:rsidR="00FE2D11" w:rsidRPr="00847C3D" w14:paraId="438158AD" w14:textId="77777777">
        <w:trPr>
          <w:jc w:val="center"/>
        </w:trPr>
        <w:tc>
          <w:tcPr>
            <w:tcW w:w="4797" w:type="dxa"/>
            <w:gridSpan w:val="5"/>
            <w:tcBorders>
              <w:top w:val="nil"/>
              <w:left w:val="nil"/>
              <w:bottom w:val="nil"/>
              <w:right w:val="nil"/>
            </w:tcBorders>
          </w:tcPr>
          <w:p w14:paraId="127F471B"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Average income (per tax unit)</w:t>
            </w:r>
          </w:p>
        </w:tc>
        <w:tc>
          <w:tcPr>
            <w:tcW w:w="877" w:type="dxa"/>
            <w:gridSpan w:val="2"/>
            <w:tcBorders>
              <w:top w:val="nil"/>
              <w:left w:val="nil"/>
              <w:bottom w:val="nil"/>
              <w:right w:val="nil"/>
            </w:tcBorders>
          </w:tcPr>
          <w:p w14:paraId="37D7A170"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66.23</w:t>
            </w:r>
          </w:p>
        </w:tc>
        <w:tc>
          <w:tcPr>
            <w:tcW w:w="1150" w:type="dxa"/>
            <w:tcBorders>
              <w:top w:val="nil"/>
              <w:left w:val="nil"/>
              <w:bottom w:val="nil"/>
              <w:right w:val="nil"/>
            </w:tcBorders>
          </w:tcPr>
          <w:p w14:paraId="66591C3A"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74.78</w:t>
            </w:r>
          </w:p>
        </w:tc>
        <w:tc>
          <w:tcPr>
            <w:tcW w:w="1008" w:type="dxa"/>
            <w:tcBorders>
              <w:top w:val="nil"/>
              <w:left w:val="nil"/>
              <w:bottom w:val="nil"/>
              <w:right w:val="nil"/>
            </w:tcBorders>
          </w:tcPr>
          <w:p w14:paraId="039CD569"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2.24</w:t>
            </w:r>
          </w:p>
        </w:tc>
        <w:tc>
          <w:tcPr>
            <w:tcW w:w="864" w:type="dxa"/>
            <w:tcBorders>
              <w:top w:val="nil"/>
              <w:left w:val="nil"/>
              <w:bottom w:val="nil"/>
              <w:right w:val="nil"/>
            </w:tcBorders>
          </w:tcPr>
          <w:p w14:paraId="32B3C5AF"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319.40</w:t>
            </w:r>
          </w:p>
        </w:tc>
        <w:tc>
          <w:tcPr>
            <w:tcW w:w="1361" w:type="dxa"/>
            <w:tcBorders>
              <w:top w:val="nil"/>
              <w:left w:val="nil"/>
              <w:bottom w:val="nil"/>
              <w:right w:val="nil"/>
            </w:tcBorders>
          </w:tcPr>
          <w:p w14:paraId="35B38851"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453</w:t>
            </w:r>
          </w:p>
        </w:tc>
      </w:tr>
      <w:tr w:rsidR="00FE2D11" w:rsidRPr="00847C3D" w14:paraId="1583FCFB" w14:textId="77777777">
        <w:trPr>
          <w:jc w:val="center"/>
        </w:trPr>
        <w:tc>
          <w:tcPr>
            <w:tcW w:w="4797" w:type="dxa"/>
            <w:gridSpan w:val="5"/>
            <w:tcBorders>
              <w:top w:val="nil"/>
              <w:left w:val="nil"/>
              <w:right w:val="nil"/>
            </w:tcBorders>
          </w:tcPr>
          <w:p w14:paraId="5433C91A"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Ln Government expenditure</w:t>
            </w:r>
          </w:p>
        </w:tc>
        <w:tc>
          <w:tcPr>
            <w:tcW w:w="877" w:type="dxa"/>
            <w:gridSpan w:val="2"/>
            <w:tcBorders>
              <w:top w:val="nil"/>
              <w:left w:val="nil"/>
              <w:right w:val="nil"/>
            </w:tcBorders>
          </w:tcPr>
          <w:p w14:paraId="61B6C5A2"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25.79</w:t>
            </w:r>
          </w:p>
        </w:tc>
        <w:tc>
          <w:tcPr>
            <w:tcW w:w="1150" w:type="dxa"/>
            <w:tcBorders>
              <w:top w:val="nil"/>
              <w:left w:val="nil"/>
              <w:right w:val="nil"/>
            </w:tcBorders>
          </w:tcPr>
          <w:p w14:paraId="3BC8B3DD"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1.28</w:t>
            </w:r>
          </w:p>
        </w:tc>
        <w:tc>
          <w:tcPr>
            <w:tcW w:w="1008" w:type="dxa"/>
            <w:tcBorders>
              <w:top w:val="nil"/>
              <w:left w:val="nil"/>
              <w:right w:val="nil"/>
            </w:tcBorders>
          </w:tcPr>
          <w:p w14:paraId="1DA90139"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23.42</w:t>
            </w:r>
          </w:p>
        </w:tc>
        <w:tc>
          <w:tcPr>
            <w:tcW w:w="864" w:type="dxa"/>
            <w:tcBorders>
              <w:top w:val="nil"/>
              <w:left w:val="nil"/>
              <w:right w:val="nil"/>
            </w:tcBorders>
          </w:tcPr>
          <w:p w14:paraId="77A0BCAC"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28.56</w:t>
            </w:r>
          </w:p>
        </w:tc>
        <w:tc>
          <w:tcPr>
            <w:tcW w:w="1361" w:type="dxa"/>
            <w:tcBorders>
              <w:top w:val="nil"/>
              <w:left w:val="nil"/>
              <w:right w:val="nil"/>
            </w:tcBorders>
          </w:tcPr>
          <w:p w14:paraId="6C7311EF"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453</w:t>
            </w:r>
          </w:p>
        </w:tc>
      </w:tr>
      <w:tr w:rsidR="00FE2D11" w:rsidRPr="00847C3D" w14:paraId="5BE17836" w14:textId="77777777">
        <w:trPr>
          <w:jc w:val="center"/>
        </w:trPr>
        <w:tc>
          <w:tcPr>
            <w:tcW w:w="4797" w:type="dxa"/>
            <w:gridSpan w:val="5"/>
            <w:tcBorders>
              <w:top w:val="nil"/>
              <w:left w:val="nil"/>
              <w:bottom w:val="single" w:sz="4" w:space="0" w:color="auto"/>
              <w:right w:val="nil"/>
            </w:tcBorders>
          </w:tcPr>
          <w:p w14:paraId="038CE61B"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r w:rsidRPr="00847C3D">
              <w:rPr>
                <w:rFonts w:ascii="Times New Roman" w:hAnsi="Times New Roman" w:cs="Times New Roman Bold"/>
                <w:sz w:val="20"/>
                <w:szCs w:val="20"/>
              </w:rPr>
              <w:t>Ln GDP</w:t>
            </w:r>
          </w:p>
        </w:tc>
        <w:tc>
          <w:tcPr>
            <w:tcW w:w="877" w:type="dxa"/>
            <w:gridSpan w:val="2"/>
            <w:tcBorders>
              <w:top w:val="nil"/>
              <w:left w:val="nil"/>
              <w:bottom w:val="single" w:sz="4" w:space="0" w:color="auto"/>
              <w:right w:val="nil"/>
            </w:tcBorders>
          </w:tcPr>
          <w:p w14:paraId="4F6440C5"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27.41</w:t>
            </w:r>
          </w:p>
        </w:tc>
        <w:tc>
          <w:tcPr>
            <w:tcW w:w="1150" w:type="dxa"/>
            <w:tcBorders>
              <w:top w:val="nil"/>
              <w:left w:val="nil"/>
              <w:bottom w:val="single" w:sz="4" w:space="0" w:color="auto"/>
              <w:right w:val="nil"/>
            </w:tcBorders>
          </w:tcPr>
          <w:p w14:paraId="5415B0CA"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1.30</w:t>
            </w:r>
          </w:p>
        </w:tc>
        <w:tc>
          <w:tcPr>
            <w:tcW w:w="1008" w:type="dxa"/>
            <w:tcBorders>
              <w:top w:val="nil"/>
              <w:left w:val="nil"/>
              <w:bottom w:val="single" w:sz="4" w:space="0" w:color="auto"/>
              <w:right w:val="nil"/>
            </w:tcBorders>
          </w:tcPr>
          <w:p w14:paraId="5F2C0C73"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24.97</w:t>
            </w:r>
          </w:p>
        </w:tc>
        <w:tc>
          <w:tcPr>
            <w:tcW w:w="864" w:type="dxa"/>
            <w:tcBorders>
              <w:top w:val="nil"/>
              <w:left w:val="nil"/>
              <w:bottom w:val="single" w:sz="4" w:space="0" w:color="auto"/>
              <w:right w:val="nil"/>
            </w:tcBorders>
          </w:tcPr>
          <w:p w14:paraId="37E6742A"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30.44</w:t>
            </w:r>
          </w:p>
        </w:tc>
        <w:tc>
          <w:tcPr>
            <w:tcW w:w="1361" w:type="dxa"/>
            <w:tcBorders>
              <w:top w:val="nil"/>
              <w:left w:val="nil"/>
              <w:bottom w:val="single" w:sz="4" w:space="0" w:color="auto"/>
              <w:right w:val="nil"/>
            </w:tcBorders>
          </w:tcPr>
          <w:p w14:paraId="1F0347AD"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r w:rsidRPr="00847C3D">
              <w:rPr>
                <w:rFonts w:ascii="Times New Roman" w:hAnsi="Times New Roman" w:cs="Times New Roman Bold"/>
                <w:sz w:val="20"/>
                <w:szCs w:val="20"/>
              </w:rPr>
              <w:t>453</w:t>
            </w:r>
          </w:p>
        </w:tc>
      </w:tr>
      <w:tr w:rsidR="00FE2D11" w:rsidRPr="00847C3D" w14:paraId="5D359E5B" w14:textId="77777777" w:rsidTr="00B605C7">
        <w:trPr>
          <w:trHeight w:val="266"/>
          <w:jc w:val="center"/>
        </w:trPr>
        <w:tc>
          <w:tcPr>
            <w:tcW w:w="4797" w:type="dxa"/>
            <w:gridSpan w:val="5"/>
            <w:tcBorders>
              <w:top w:val="single" w:sz="4" w:space="0" w:color="auto"/>
              <w:left w:val="nil"/>
              <w:right w:val="nil"/>
            </w:tcBorders>
          </w:tcPr>
          <w:p w14:paraId="73CD8A94"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p>
        </w:tc>
        <w:tc>
          <w:tcPr>
            <w:tcW w:w="877" w:type="dxa"/>
            <w:gridSpan w:val="2"/>
            <w:tcBorders>
              <w:top w:val="single" w:sz="4" w:space="0" w:color="auto"/>
              <w:left w:val="nil"/>
              <w:right w:val="nil"/>
            </w:tcBorders>
          </w:tcPr>
          <w:p w14:paraId="2F4A3D3D"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150" w:type="dxa"/>
            <w:tcBorders>
              <w:top w:val="single" w:sz="4" w:space="0" w:color="auto"/>
              <w:left w:val="nil"/>
              <w:right w:val="nil"/>
            </w:tcBorders>
          </w:tcPr>
          <w:p w14:paraId="4E1C0F2C"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008" w:type="dxa"/>
            <w:tcBorders>
              <w:top w:val="single" w:sz="4" w:space="0" w:color="auto"/>
              <w:left w:val="nil"/>
              <w:right w:val="nil"/>
            </w:tcBorders>
          </w:tcPr>
          <w:p w14:paraId="257EE5CD"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864" w:type="dxa"/>
            <w:tcBorders>
              <w:top w:val="single" w:sz="4" w:space="0" w:color="auto"/>
              <w:left w:val="nil"/>
              <w:right w:val="nil"/>
            </w:tcBorders>
          </w:tcPr>
          <w:p w14:paraId="1042A2A5"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361" w:type="dxa"/>
            <w:tcBorders>
              <w:top w:val="single" w:sz="4" w:space="0" w:color="auto"/>
              <w:left w:val="nil"/>
              <w:right w:val="nil"/>
            </w:tcBorders>
          </w:tcPr>
          <w:p w14:paraId="67665E1E"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r>
      <w:tr w:rsidR="00FE2D11" w:rsidRPr="00847C3D" w14:paraId="6767CAD4" w14:textId="77777777">
        <w:trPr>
          <w:jc w:val="center"/>
        </w:trPr>
        <w:tc>
          <w:tcPr>
            <w:tcW w:w="4797" w:type="dxa"/>
            <w:gridSpan w:val="5"/>
            <w:tcBorders>
              <w:top w:val="nil"/>
              <w:left w:val="nil"/>
              <w:bottom w:val="double" w:sz="4" w:space="0" w:color="auto"/>
              <w:right w:val="nil"/>
            </w:tcBorders>
          </w:tcPr>
          <w:p w14:paraId="6D08F3C1" w14:textId="77777777" w:rsidR="00FE2D11" w:rsidRPr="00847C3D" w:rsidRDefault="00FE2D11" w:rsidP="00B605C7">
            <w:pPr>
              <w:widowControl w:val="0"/>
              <w:autoSpaceDE w:val="0"/>
              <w:autoSpaceDN w:val="0"/>
              <w:adjustRightInd w:val="0"/>
              <w:jc w:val="right"/>
              <w:rPr>
                <w:rFonts w:ascii="Times New Roman" w:hAnsi="Times New Roman" w:cs="Times New Roman Bold"/>
                <w:sz w:val="20"/>
                <w:szCs w:val="20"/>
              </w:rPr>
            </w:pPr>
          </w:p>
        </w:tc>
        <w:tc>
          <w:tcPr>
            <w:tcW w:w="877" w:type="dxa"/>
            <w:gridSpan w:val="2"/>
            <w:tcBorders>
              <w:top w:val="nil"/>
              <w:left w:val="nil"/>
              <w:bottom w:val="double" w:sz="4" w:space="0" w:color="auto"/>
              <w:right w:val="nil"/>
            </w:tcBorders>
          </w:tcPr>
          <w:p w14:paraId="0B7C2622"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150" w:type="dxa"/>
            <w:tcBorders>
              <w:top w:val="nil"/>
              <w:left w:val="nil"/>
              <w:bottom w:val="double" w:sz="4" w:space="0" w:color="auto"/>
              <w:right w:val="nil"/>
            </w:tcBorders>
          </w:tcPr>
          <w:p w14:paraId="34CF92EF"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008" w:type="dxa"/>
            <w:tcBorders>
              <w:top w:val="nil"/>
              <w:left w:val="nil"/>
              <w:bottom w:val="double" w:sz="4" w:space="0" w:color="auto"/>
              <w:right w:val="nil"/>
            </w:tcBorders>
          </w:tcPr>
          <w:p w14:paraId="1A44B797"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864" w:type="dxa"/>
            <w:tcBorders>
              <w:top w:val="nil"/>
              <w:left w:val="nil"/>
              <w:bottom w:val="double" w:sz="4" w:space="0" w:color="auto"/>
              <w:right w:val="nil"/>
            </w:tcBorders>
          </w:tcPr>
          <w:p w14:paraId="5943CA62"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c>
          <w:tcPr>
            <w:tcW w:w="1361" w:type="dxa"/>
            <w:tcBorders>
              <w:top w:val="nil"/>
              <w:left w:val="nil"/>
              <w:bottom w:val="double" w:sz="4" w:space="0" w:color="auto"/>
              <w:right w:val="nil"/>
            </w:tcBorders>
          </w:tcPr>
          <w:p w14:paraId="18B80A17" w14:textId="77777777" w:rsidR="00FE2D11" w:rsidRPr="00847C3D" w:rsidRDefault="00FE2D11" w:rsidP="00B605C7">
            <w:pPr>
              <w:widowControl w:val="0"/>
              <w:autoSpaceDE w:val="0"/>
              <w:autoSpaceDN w:val="0"/>
              <w:adjustRightInd w:val="0"/>
              <w:jc w:val="center"/>
              <w:rPr>
                <w:rFonts w:ascii="Times New Roman" w:hAnsi="Times New Roman" w:cs="Times New Roman Bold"/>
                <w:sz w:val="20"/>
                <w:szCs w:val="20"/>
              </w:rPr>
            </w:pPr>
          </w:p>
        </w:tc>
      </w:tr>
    </w:tbl>
    <w:p w14:paraId="13DD02E1" w14:textId="77777777" w:rsidR="00FE2D11" w:rsidRPr="00AD7656" w:rsidRDefault="00FE2D11" w:rsidP="00B605C7">
      <w:pPr>
        <w:widowControl w:val="0"/>
        <w:autoSpaceDE w:val="0"/>
        <w:autoSpaceDN w:val="0"/>
        <w:adjustRightInd w:val="0"/>
        <w:rPr>
          <w:rFonts w:ascii="Times New Roman" w:hAnsi="Times New Roman" w:cs="Times New Roman Bold"/>
          <w:b/>
          <w:sz w:val="22"/>
        </w:rPr>
      </w:pPr>
      <w:r>
        <w:rPr>
          <w:rFonts w:ascii="Times New Roman" w:hAnsi="Times New Roman"/>
          <w:sz w:val="18"/>
        </w:rPr>
        <w:t>[a] All income and expenditure variables are expressed in U.S. dollars of 2010</w:t>
      </w:r>
      <w:r>
        <w:rPr>
          <w:rFonts w:ascii="Times New Roman" w:hAnsi="Times New Roman"/>
          <w:b/>
          <w:sz w:val="18"/>
        </w:rPr>
        <w:br w:type="page"/>
      </w:r>
    </w:p>
    <w:p w14:paraId="20C43FBE" w14:textId="77777777" w:rsidR="00FE2D11" w:rsidRDefault="00FE2D11" w:rsidP="00CC5CC1">
      <w:pPr>
        <w:widowControl w:val="0"/>
        <w:autoSpaceDE w:val="0"/>
        <w:autoSpaceDN w:val="0"/>
        <w:adjustRightInd w:val="0"/>
        <w:outlineLvl w:val="0"/>
        <w:rPr>
          <w:rFonts w:ascii="Times New Roman" w:hAnsi="Times New Roman" w:cs="Times New Roman Bold"/>
          <w:b/>
          <w:sz w:val="22"/>
        </w:rPr>
      </w:pPr>
      <w:r>
        <w:rPr>
          <w:rFonts w:ascii="Times New Roman" w:hAnsi="Times New Roman" w:cs="Times New Roman Bold"/>
          <w:b/>
          <w:sz w:val="22"/>
        </w:rPr>
        <w:lastRenderedPageBreak/>
        <w:t>Table 2</w:t>
      </w:r>
      <w:r w:rsidRPr="00AD7656">
        <w:rPr>
          <w:rFonts w:ascii="Times New Roman" w:hAnsi="Times New Roman" w:cs="Times New Roman Bold"/>
          <w:b/>
          <w:sz w:val="22"/>
        </w:rPr>
        <w:t xml:space="preserve"> : Ln income share of top 1% on Ln private health expenditure </w:t>
      </w:r>
    </w:p>
    <w:p w14:paraId="23CE12DF" w14:textId="77777777" w:rsidR="00FE2D11" w:rsidRPr="00281079" w:rsidRDefault="00FE2D11" w:rsidP="00B605C7">
      <w:pPr>
        <w:widowControl w:val="0"/>
        <w:autoSpaceDE w:val="0"/>
        <w:autoSpaceDN w:val="0"/>
        <w:adjustRightInd w:val="0"/>
        <w:rPr>
          <w:rFonts w:ascii="Times New Roman" w:hAnsi="Times New Roman" w:cs="Times New Roman Bold"/>
          <w:sz w:val="22"/>
        </w:rPr>
      </w:pPr>
    </w:p>
    <w:tbl>
      <w:tblPr>
        <w:tblW w:w="9579" w:type="dxa"/>
        <w:jc w:val="center"/>
        <w:tblLayout w:type="fixed"/>
        <w:tblCellMar>
          <w:left w:w="75" w:type="dxa"/>
          <w:right w:w="75" w:type="dxa"/>
        </w:tblCellMar>
        <w:tblLook w:val="0000" w:firstRow="0" w:lastRow="0" w:firstColumn="0" w:lastColumn="0" w:noHBand="0" w:noVBand="0"/>
      </w:tblPr>
      <w:tblGrid>
        <w:gridCol w:w="4251"/>
        <w:gridCol w:w="1584"/>
        <w:gridCol w:w="1872"/>
        <w:gridCol w:w="1872"/>
      </w:tblGrid>
      <w:tr w:rsidR="00FE2D11" w:rsidRPr="00281079" w14:paraId="197C114C" w14:textId="77777777">
        <w:trPr>
          <w:jc w:val="center"/>
        </w:trPr>
        <w:tc>
          <w:tcPr>
            <w:tcW w:w="4251" w:type="dxa"/>
            <w:tcBorders>
              <w:top w:val="double" w:sz="4" w:space="0" w:color="auto"/>
              <w:left w:val="nil"/>
              <w:bottom w:val="nil"/>
              <w:right w:val="nil"/>
            </w:tcBorders>
          </w:tcPr>
          <w:p w14:paraId="33B6CD5A" w14:textId="77777777" w:rsidR="00FE2D11" w:rsidRPr="00281079" w:rsidRDefault="00FE2D11">
            <w:pPr>
              <w:widowControl w:val="0"/>
              <w:autoSpaceDE w:val="0"/>
              <w:autoSpaceDN w:val="0"/>
              <w:adjustRightInd w:val="0"/>
              <w:rPr>
                <w:rFonts w:ascii="Times New Roman" w:hAnsi="Times New Roman" w:cs="Times New Roman Bold"/>
                <w:b/>
                <w:sz w:val="22"/>
              </w:rPr>
            </w:pPr>
          </w:p>
        </w:tc>
        <w:tc>
          <w:tcPr>
            <w:tcW w:w="1584" w:type="dxa"/>
            <w:tcBorders>
              <w:top w:val="double" w:sz="4" w:space="0" w:color="auto"/>
              <w:left w:val="nil"/>
              <w:bottom w:val="nil"/>
              <w:right w:val="nil"/>
            </w:tcBorders>
          </w:tcPr>
          <w:p w14:paraId="06F0D575"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(1)</w:t>
            </w:r>
          </w:p>
        </w:tc>
        <w:tc>
          <w:tcPr>
            <w:tcW w:w="1872" w:type="dxa"/>
            <w:tcBorders>
              <w:top w:val="double" w:sz="4" w:space="0" w:color="auto"/>
              <w:left w:val="nil"/>
              <w:bottom w:val="nil"/>
              <w:right w:val="nil"/>
            </w:tcBorders>
          </w:tcPr>
          <w:p w14:paraId="6039A239"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(2)</w:t>
            </w:r>
          </w:p>
        </w:tc>
        <w:tc>
          <w:tcPr>
            <w:tcW w:w="1872" w:type="dxa"/>
            <w:tcBorders>
              <w:top w:val="double" w:sz="4" w:space="0" w:color="auto"/>
              <w:left w:val="nil"/>
              <w:bottom w:val="nil"/>
              <w:right w:val="nil"/>
            </w:tcBorders>
          </w:tcPr>
          <w:p w14:paraId="1E1151CE"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(3)</w:t>
            </w:r>
          </w:p>
        </w:tc>
      </w:tr>
      <w:tr w:rsidR="00FE2D11" w:rsidRPr="00281079" w14:paraId="3CE4CBB0" w14:textId="77777777">
        <w:trPr>
          <w:jc w:val="center"/>
        </w:trPr>
        <w:tc>
          <w:tcPr>
            <w:tcW w:w="4251" w:type="dxa"/>
            <w:tcBorders>
              <w:top w:val="nil"/>
              <w:left w:val="nil"/>
              <w:bottom w:val="single" w:sz="6" w:space="0" w:color="auto"/>
              <w:right w:val="nil"/>
            </w:tcBorders>
          </w:tcPr>
          <w:p w14:paraId="47B052B2" w14:textId="77777777" w:rsidR="00FE2D11" w:rsidRPr="00281079" w:rsidRDefault="00FE2D11">
            <w:pPr>
              <w:widowControl w:val="0"/>
              <w:autoSpaceDE w:val="0"/>
              <w:autoSpaceDN w:val="0"/>
              <w:adjustRightInd w:val="0"/>
              <w:rPr>
                <w:rFonts w:ascii="Times New Roman" w:hAnsi="Times New Roman" w:cs="Times New Roman Bold"/>
                <w:b/>
                <w:sz w:val="22"/>
              </w:rPr>
            </w:pPr>
          </w:p>
        </w:tc>
        <w:tc>
          <w:tcPr>
            <w:tcW w:w="1584" w:type="dxa"/>
            <w:tcBorders>
              <w:top w:val="nil"/>
              <w:left w:val="nil"/>
              <w:bottom w:val="single" w:sz="6" w:space="0" w:color="auto"/>
              <w:right w:val="nil"/>
            </w:tcBorders>
          </w:tcPr>
          <w:p w14:paraId="52615872"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Top 1% [t]</w:t>
            </w:r>
          </w:p>
        </w:tc>
        <w:tc>
          <w:tcPr>
            <w:tcW w:w="1872" w:type="dxa"/>
            <w:tcBorders>
              <w:top w:val="nil"/>
              <w:left w:val="nil"/>
              <w:bottom w:val="single" w:sz="6" w:space="0" w:color="auto"/>
              <w:right w:val="nil"/>
            </w:tcBorders>
          </w:tcPr>
          <w:p w14:paraId="7B8AE8D3"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Top 1% [t-1]</w:t>
            </w:r>
          </w:p>
        </w:tc>
        <w:tc>
          <w:tcPr>
            <w:tcW w:w="1872" w:type="dxa"/>
            <w:tcBorders>
              <w:top w:val="nil"/>
              <w:left w:val="nil"/>
              <w:bottom w:val="single" w:sz="6" w:space="0" w:color="auto"/>
              <w:right w:val="nil"/>
            </w:tcBorders>
          </w:tcPr>
          <w:p w14:paraId="1B12D792"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Top 1% [t-2]</w:t>
            </w:r>
          </w:p>
        </w:tc>
      </w:tr>
      <w:tr w:rsidR="00FE2D11" w:rsidRPr="00281079" w14:paraId="53E1A707" w14:textId="77777777">
        <w:trPr>
          <w:jc w:val="center"/>
        </w:trPr>
        <w:tc>
          <w:tcPr>
            <w:tcW w:w="4251" w:type="dxa"/>
            <w:tcBorders>
              <w:top w:val="nil"/>
              <w:left w:val="nil"/>
              <w:bottom w:val="nil"/>
              <w:right w:val="nil"/>
            </w:tcBorders>
          </w:tcPr>
          <w:p w14:paraId="3066FC00" w14:textId="77777777" w:rsidR="00FE2D11" w:rsidRPr="00281079" w:rsidRDefault="00FE2D11">
            <w:pPr>
              <w:widowControl w:val="0"/>
              <w:autoSpaceDE w:val="0"/>
              <w:autoSpaceDN w:val="0"/>
              <w:adjustRightInd w:val="0"/>
              <w:rPr>
                <w:rFonts w:ascii="Times New Roman" w:hAnsi="Times New Roman" w:cs="Times New Roman Bold"/>
                <w:sz w:val="22"/>
              </w:rPr>
            </w:pPr>
          </w:p>
        </w:tc>
        <w:tc>
          <w:tcPr>
            <w:tcW w:w="1584" w:type="dxa"/>
            <w:tcBorders>
              <w:top w:val="nil"/>
              <w:left w:val="nil"/>
              <w:bottom w:val="nil"/>
              <w:right w:val="nil"/>
            </w:tcBorders>
          </w:tcPr>
          <w:p w14:paraId="79DE5667"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nil"/>
              <w:right w:val="nil"/>
            </w:tcBorders>
          </w:tcPr>
          <w:p w14:paraId="61A5956B"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nil"/>
              <w:right w:val="nil"/>
            </w:tcBorders>
          </w:tcPr>
          <w:p w14:paraId="28620835"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r>
      <w:tr w:rsidR="00F03502" w:rsidRPr="00281079" w14:paraId="0ED44E71" w14:textId="77777777">
        <w:trPr>
          <w:jc w:val="center"/>
        </w:trPr>
        <w:tc>
          <w:tcPr>
            <w:tcW w:w="4251" w:type="dxa"/>
            <w:tcBorders>
              <w:top w:val="nil"/>
              <w:left w:val="nil"/>
              <w:bottom w:val="nil"/>
              <w:right w:val="nil"/>
            </w:tcBorders>
          </w:tcPr>
          <w:p w14:paraId="12D1A637"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Ln Top 1% income share</w:t>
            </w:r>
          </w:p>
        </w:tc>
        <w:tc>
          <w:tcPr>
            <w:tcW w:w="1584" w:type="dxa"/>
            <w:tcBorders>
              <w:top w:val="nil"/>
              <w:left w:val="nil"/>
              <w:bottom w:val="nil"/>
              <w:right w:val="nil"/>
            </w:tcBorders>
          </w:tcPr>
          <w:p w14:paraId="0FE24A53"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0.778***</w:t>
            </w:r>
          </w:p>
        </w:tc>
        <w:tc>
          <w:tcPr>
            <w:tcW w:w="1872" w:type="dxa"/>
            <w:tcBorders>
              <w:top w:val="nil"/>
              <w:left w:val="nil"/>
              <w:bottom w:val="nil"/>
              <w:right w:val="nil"/>
            </w:tcBorders>
          </w:tcPr>
          <w:p w14:paraId="774A0A6C"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0.650***</w:t>
            </w:r>
          </w:p>
        </w:tc>
        <w:tc>
          <w:tcPr>
            <w:tcW w:w="1872" w:type="dxa"/>
            <w:tcBorders>
              <w:top w:val="nil"/>
              <w:left w:val="nil"/>
              <w:bottom w:val="nil"/>
              <w:right w:val="nil"/>
            </w:tcBorders>
          </w:tcPr>
          <w:p w14:paraId="6E7EBAE1"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0.613***</w:t>
            </w:r>
          </w:p>
        </w:tc>
      </w:tr>
      <w:tr w:rsidR="00F03502" w:rsidRPr="00281079" w14:paraId="730A633E" w14:textId="77777777">
        <w:trPr>
          <w:jc w:val="center"/>
        </w:trPr>
        <w:tc>
          <w:tcPr>
            <w:tcW w:w="4251" w:type="dxa"/>
            <w:tcBorders>
              <w:top w:val="nil"/>
              <w:left w:val="nil"/>
              <w:bottom w:val="nil"/>
              <w:right w:val="nil"/>
            </w:tcBorders>
          </w:tcPr>
          <w:p w14:paraId="01D1EC8B"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p>
        </w:tc>
        <w:tc>
          <w:tcPr>
            <w:tcW w:w="1584" w:type="dxa"/>
            <w:tcBorders>
              <w:top w:val="nil"/>
              <w:left w:val="nil"/>
              <w:bottom w:val="nil"/>
              <w:right w:val="nil"/>
            </w:tcBorders>
          </w:tcPr>
          <w:p w14:paraId="6D6C3968"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(0.142)</w:t>
            </w:r>
          </w:p>
        </w:tc>
        <w:tc>
          <w:tcPr>
            <w:tcW w:w="1872" w:type="dxa"/>
            <w:tcBorders>
              <w:top w:val="nil"/>
              <w:left w:val="nil"/>
              <w:bottom w:val="nil"/>
              <w:right w:val="nil"/>
            </w:tcBorders>
          </w:tcPr>
          <w:p w14:paraId="6BE32B5D"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(0.155)</w:t>
            </w:r>
          </w:p>
        </w:tc>
        <w:tc>
          <w:tcPr>
            <w:tcW w:w="1872" w:type="dxa"/>
            <w:tcBorders>
              <w:top w:val="nil"/>
              <w:left w:val="nil"/>
              <w:bottom w:val="nil"/>
              <w:right w:val="nil"/>
            </w:tcBorders>
          </w:tcPr>
          <w:p w14:paraId="050384CD"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(0.143)</w:t>
            </w:r>
          </w:p>
        </w:tc>
      </w:tr>
      <w:tr w:rsidR="00F03502" w:rsidRPr="00281079" w14:paraId="4D09C726" w14:textId="77777777">
        <w:trPr>
          <w:jc w:val="center"/>
        </w:trPr>
        <w:tc>
          <w:tcPr>
            <w:tcW w:w="4251" w:type="dxa"/>
            <w:tcBorders>
              <w:top w:val="nil"/>
              <w:left w:val="nil"/>
              <w:bottom w:val="nil"/>
              <w:right w:val="nil"/>
            </w:tcBorders>
          </w:tcPr>
          <w:p w14:paraId="708E3942"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r>
              <w:rPr>
                <w:rFonts w:ascii="Times New Roman" w:hAnsi="Times New Roman" w:cs="Times New Roman Bold"/>
                <w:sz w:val="22"/>
              </w:rPr>
              <w:t>Ln Public</w:t>
            </w:r>
            <w:r w:rsidRPr="00281079">
              <w:rPr>
                <w:rFonts w:ascii="Times New Roman" w:hAnsi="Times New Roman" w:cs="Times New Roman Bold"/>
                <w:sz w:val="22"/>
              </w:rPr>
              <w:t xml:space="preserve"> health expenditure</w:t>
            </w:r>
          </w:p>
        </w:tc>
        <w:tc>
          <w:tcPr>
            <w:tcW w:w="1584" w:type="dxa"/>
            <w:tcBorders>
              <w:top w:val="nil"/>
              <w:left w:val="nil"/>
              <w:bottom w:val="nil"/>
              <w:right w:val="nil"/>
            </w:tcBorders>
          </w:tcPr>
          <w:p w14:paraId="1B377D02"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-0.551***</w:t>
            </w:r>
          </w:p>
        </w:tc>
        <w:tc>
          <w:tcPr>
            <w:tcW w:w="1872" w:type="dxa"/>
            <w:tcBorders>
              <w:top w:val="nil"/>
              <w:left w:val="nil"/>
              <w:bottom w:val="nil"/>
              <w:right w:val="nil"/>
            </w:tcBorders>
          </w:tcPr>
          <w:p w14:paraId="3AC37C16"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-0.489***</w:t>
            </w:r>
          </w:p>
        </w:tc>
        <w:tc>
          <w:tcPr>
            <w:tcW w:w="1872" w:type="dxa"/>
            <w:tcBorders>
              <w:top w:val="nil"/>
              <w:left w:val="nil"/>
              <w:bottom w:val="nil"/>
              <w:right w:val="nil"/>
            </w:tcBorders>
          </w:tcPr>
          <w:p w14:paraId="787C20F8"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-0.486***</w:t>
            </w:r>
          </w:p>
        </w:tc>
      </w:tr>
      <w:tr w:rsidR="00F03502" w:rsidRPr="00281079" w14:paraId="517DEAA9" w14:textId="77777777">
        <w:trPr>
          <w:jc w:val="center"/>
        </w:trPr>
        <w:tc>
          <w:tcPr>
            <w:tcW w:w="4251" w:type="dxa"/>
            <w:tcBorders>
              <w:top w:val="nil"/>
              <w:left w:val="nil"/>
              <w:bottom w:val="nil"/>
              <w:right w:val="nil"/>
            </w:tcBorders>
          </w:tcPr>
          <w:p w14:paraId="0B29DCCB"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p>
        </w:tc>
        <w:tc>
          <w:tcPr>
            <w:tcW w:w="1584" w:type="dxa"/>
            <w:tcBorders>
              <w:top w:val="nil"/>
              <w:left w:val="nil"/>
              <w:bottom w:val="nil"/>
              <w:right w:val="nil"/>
            </w:tcBorders>
          </w:tcPr>
          <w:p w14:paraId="6007FF02"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(0.129)</w:t>
            </w:r>
          </w:p>
        </w:tc>
        <w:tc>
          <w:tcPr>
            <w:tcW w:w="1872" w:type="dxa"/>
            <w:tcBorders>
              <w:top w:val="nil"/>
              <w:left w:val="nil"/>
              <w:bottom w:val="nil"/>
              <w:right w:val="nil"/>
            </w:tcBorders>
          </w:tcPr>
          <w:p w14:paraId="2DCED076"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(0.161)</w:t>
            </w:r>
          </w:p>
        </w:tc>
        <w:tc>
          <w:tcPr>
            <w:tcW w:w="1872" w:type="dxa"/>
            <w:tcBorders>
              <w:top w:val="nil"/>
              <w:left w:val="nil"/>
              <w:bottom w:val="nil"/>
              <w:right w:val="nil"/>
            </w:tcBorders>
          </w:tcPr>
          <w:p w14:paraId="72200572"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(0.141)</w:t>
            </w:r>
          </w:p>
        </w:tc>
      </w:tr>
      <w:tr w:rsidR="00F03502" w:rsidRPr="00281079" w14:paraId="6DDD7198" w14:textId="77777777">
        <w:trPr>
          <w:jc w:val="center"/>
        </w:trPr>
        <w:tc>
          <w:tcPr>
            <w:tcW w:w="4251" w:type="dxa"/>
            <w:tcBorders>
              <w:top w:val="nil"/>
              <w:left w:val="nil"/>
              <w:bottom w:val="nil"/>
              <w:right w:val="nil"/>
            </w:tcBorders>
          </w:tcPr>
          <w:p w14:paraId="66A04629"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Ln GDP</w:t>
            </w:r>
          </w:p>
        </w:tc>
        <w:tc>
          <w:tcPr>
            <w:tcW w:w="1584" w:type="dxa"/>
            <w:tcBorders>
              <w:top w:val="nil"/>
              <w:left w:val="nil"/>
              <w:bottom w:val="nil"/>
              <w:right w:val="nil"/>
            </w:tcBorders>
          </w:tcPr>
          <w:p w14:paraId="2DB07AE5"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0.856***</w:t>
            </w:r>
          </w:p>
        </w:tc>
        <w:tc>
          <w:tcPr>
            <w:tcW w:w="1872" w:type="dxa"/>
            <w:tcBorders>
              <w:top w:val="nil"/>
              <w:left w:val="nil"/>
              <w:bottom w:val="nil"/>
              <w:right w:val="nil"/>
            </w:tcBorders>
          </w:tcPr>
          <w:p w14:paraId="66678186"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0.762**</w:t>
            </w:r>
          </w:p>
        </w:tc>
        <w:tc>
          <w:tcPr>
            <w:tcW w:w="1872" w:type="dxa"/>
            <w:tcBorders>
              <w:top w:val="nil"/>
              <w:left w:val="nil"/>
              <w:bottom w:val="nil"/>
              <w:right w:val="nil"/>
            </w:tcBorders>
          </w:tcPr>
          <w:p w14:paraId="2BE0E5D2"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0.840**</w:t>
            </w:r>
          </w:p>
        </w:tc>
      </w:tr>
      <w:tr w:rsidR="00F03502" w:rsidRPr="00281079" w14:paraId="13AF6E74" w14:textId="77777777">
        <w:trPr>
          <w:jc w:val="center"/>
        </w:trPr>
        <w:tc>
          <w:tcPr>
            <w:tcW w:w="4251" w:type="dxa"/>
            <w:tcBorders>
              <w:top w:val="nil"/>
              <w:left w:val="nil"/>
              <w:bottom w:val="nil"/>
              <w:right w:val="nil"/>
            </w:tcBorders>
          </w:tcPr>
          <w:p w14:paraId="635BB8EC"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p>
        </w:tc>
        <w:tc>
          <w:tcPr>
            <w:tcW w:w="1584" w:type="dxa"/>
            <w:tcBorders>
              <w:top w:val="nil"/>
              <w:left w:val="nil"/>
              <w:bottom w:val="nil"/>
              <w:right w:val="nil"/>
            </w:tcBorders>
          </w:tcPr>
          <w:p w14:paraId="50D2145E"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(0.304)</w:t>
            </w:r>
          </w:p>
        </w:tc>
        <w:tc>
          <w:tcPr>
            <w:tcW w:w="1872" w:type="dxa"/>
            <w:tcBorders>
              <w:top w:val="nil"/>
              <w:left w:val="nil"/>
              <w:bottom w:val="nil"/>
              <w:right w:val="nil"/>
            </w:tcBorders>
          </w:tcPr>
          <w:p w14:paraId="266443CD"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(0.386)</w:t>
            </w:r>
          </w:p>
        </w:tc>
        <w:tc>
          <w:tcPr>
            <w:tcW w:w="1872" w:type="dxa"/>
            <w:tcBorders>
              <w:top w:val="nil"/>
              <w:left w:val="nil"/>
              <w:bottom w:val="nil"/>
              <w:right w:val="nil"/>
            </w:tcBorders>
          </w:tcPr>
          <w:p w14:paraId="6F89C74B"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(0.370)</w:t>
            </w:r>
          </w:p>
        </w:tc>
      </w:tr>
      <w:tr w:rsidR="00F03502" w:rsidRPr="00281079" w14:paraId="4DA1EACE" w14:textId="77777777">
        <w:trPr>
          <w:jc w:val="center"/>
        </w:trPr>
        <w:tc>
          <w:tcPr>
            <w:tcW w:w="4251" w:type="dxa"/>
            <w:tcBorders>
              <w:top w:val="nil"/>
              <w:left w:val="nil"/>
              <w:bottom w:val="nil"/>
              <w:right w:val="nil"/>
            </w:tcBorders>
          </w:tcPr>
          <w:p w14:paraId="4C2D0253"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r>
              <w:rPr>
                <w:rFonts w:ascii="Times New Roman" w:hAnsi="Times New Roman" w:cs="Times New Roman Bold"/>
                <w:sz w:val="22"/>
              </w:rPr>
              <w:t xml:space="preserve">Ln Government </w:t>
            </w:r>
            <w:r w:rsidRPr="00281079">
              <w:rPr>
                <w:rFonts w:ascii="Times New Roman" w:hAnsi="Times New Roman" w:cs="Times New Roman Bold"/>
                <w:sz w:val="22"/>
              </w:rPr>
              <w:t>expenditure</w:t>
            </w:r>
          </w:p>
        </w:tc>
        <w:tc>
          <w:tcPr>
            <w:tcW w:w="1584" w:type="dxa"/>
            <w:tcBorders>
              <w:top w:val="nil"/>
              <w:left w:val="nil"/>
              <w:bottom w:val="nil"/>
              <w:right w:val="nil"/>
            </w:tcBorders>
          </w:tcPr>
          <w:p w14:paraId="75BF0E1B"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0.883***</w:t>
            </w:r>
          </w:p>
        </w:tc>
        <w:tc>
          <w:tcPr>
            <w:tcW w:w="1872" w:type="dxa"/>
            <w:tcBorders>
              <w:top w:val="nil"/>
              <w:left w:val="nil"/>
              <w:bottom w:val="nil"/>
              <w:right w:val="nil"/>
            </w:tcBorders>
          </w:tcPr>
          <w:p w14:paraId="3D8D077D"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0.917***</w:t>
            </w:r>
          </w:p>
        </w:tc>
        <w:tc>
          <w:tcPr>
            <w:tcW w:w="1872" w:type="dxa"/>
            <w:tcBorders>
              <w:top w:val="nil"/>
              <w:left w:val="nil"/>
              <w:bottom w:val="nil"/>
              <w:right w:val="nil"/>
            </w:tcBorders>
          </w:tcPr>
          <w:p w14:paraId="66650C9E"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1.024***</w:t>
            </w:r>
          </w:p>
        </w:tc>
      </w:tr>
      <w:tr w:rsidR="00F03502" w:rsidRPr="00281079" w14:paraId="1FEA8608" w14:textId="77777777">
        <w:trPr>
          <w:jc w:val="center"/>
        </w:trPr>
        <w:tc>
          <w:tcPr>
            <w:tcW w:w="4251" w:type="dxa"/>
            <w:tcBorders>
              <w:top w:val="nil"/>
              <w:left w:val="nil"/>
              <w:bottom w:val="nil"/>
              <w:right w:val="nil"/>
            </w:tcBorders>
          </w:tcPr>
          <w:p w14:paraId="57B9BFC5"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p>
        </w:tc>
        <w:tc>
          <w:tcPr>
            <w:tcW w:w="1584" w:type="dxa"/>
            <w:tcBorders>
              <w:top w:val="nil"/>
              <w:left w:val="nil"/>
              <w:bottom w:val="nil"/>
              <w:right w:val="nil"/>
            </w:tcBorders>
          </w:tcPr>
          <w:p w14:paraId="0BFEC7BB"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(0.230)</w:t>
            </w:r>
          </w:p>
        </w:tc>
        <w:tc>
          <w:tcPr>
            <w:tcW w:w="1872" w:type="dxa"/>
            <w:tcBorders>
              <w:top w:val="nil"/>
              <w:left w:val="nil"/>
              <w:bottom w:val="nil"/>
              <w:right w:val="nil"/>
            </w:tcBorders>
          </w:tcPr>
          <w:p w14:paraId="4840F845"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(0.276)</w:t>
            </w:r>
          </w:p>
        </w:tc>
        <w:tc>
          <w:tcPr>
            <w:tcW w:w="1872" w:type="dxa"/>
            <w:tcBorders>
              <w:top w:val="nil"/>
              <w:left w:val="nil"/>
              <w:bottom w:val="nil"/>
              <w:right w:val="nil"/>
            </w:tcBorders>
          </w:tcPr>
          <w:p w14:paraId="7F8156C3"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(0.269)</w:t>
            </w:r>
          </w:p>
        </w:tc>
      </w:tr>
      <w:tr w:rsidR="00F03502" w:rsidRPr="00281079" w14:paraId="6749D324" w14:textId="77777777">
        <w:trPr>
          <w:jc w:val="center"/>
        </w:trPr>
        <w:tc>
          <w:tcPr>
            <w:tcW w:w="4251" w:type="dxa"/>
            <w:tcBorders>
              <w:top w:val="nil"/>
              <w:left w:val="nil"/>
              <w:bottom w:val="nil"/>
              <w:right w:val="nil"/>
            </w:tcBorders>
          </w:tcPr>
          <w:p w14:paraId="032498E2"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Ln Population (/100k)</w:t>
            </w:r>
          </w:p>
        </w:tc>
        <w:tc>
          <w:tcPr>
            <w:tcW w:w="1584" w:type="dxa"/>
            <w:tcBorders>
              <w:top w:val="nil"/>
              <w:left w:val="nil"/>
              <w:bottom w:val="nil"/>
              <w:right w:val="nil"/>
            </w:tcBorders>
          </w:tcPr>
          <w:p w14:paraId="2E09BD84"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-0.566</w:t>
            </w:r>
          </w:p>
        </w:tc>
        <w:tc>
          <w:tcPr>
            <w:tcW w:w="1872" w:type="dxa"/>
            <w:tcBorders>
              <w:top w:val="nil"/>
              <w:left w:val="nil"/>
              <w:bottom w:val="nil"/>
              <w:right w:val="nil"/>
            </w:tcBorders>
          </w:tcPr>
          <w:p w14:paraId="46B83943"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-0.723</w:t>
            </w:r>
          </w:p>
        </w:tc>
        <w:tc>
          <w:tcPr>
            <w:tcW w:w="1872" w:type="dxa"/>
            <w:tcBorders>
              <w:top w:val="nil"/>
              <w:left w:val="nil"/>
              <w:bottom w:val="nil"/>
              <w:right w:val="nil"/>
            </w:tcBorders>
          </w:tcPr>
          <w:p w14:paraId="247994AF"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-0.980</w:t>
            </w:r>
          </w:p>
        </w:tc>
      </w:tr>
      <w:tr w:rsidR="00F03502" w:rsidRPr="00281079" w14:paraId="6C315478" w14:textId="77777777">
        <w:trPr>
          <w:jc w:val="center"/>
        </w:trPr>
        <w:tc>
          <w:tcPr>
            <w:tcW w:w="4251" w:type="dxa"/>
            <w:tcBorders>
              <w:top w:val="nil"/>
              <w:left w:val="nil"/>
              <w:bottom w:val="nil"/>
              <w:right w:val="nil"/>
            </w:tcBorders>
          </w:tcPr>
          <w:p w14:paraId="1635F68E"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p>
        </w:tc>
        <w:tc>
          <w:tcPr>
            <w:tcW w:w="1584" w:type="dxa"/>
            <w:tcBorders>
              <w:top w:val="nil"/>
              <w:left w:val="nil"/>
              <w:bottom w:val="nil"/>
              <w:right w:val="nil"/>
            </w:tcBorders>
          </w:tcPr>
          <w:p w14:paraId="2F405D55"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(0.456)</w:t>
            </w:r>
          </w:p>
        </w:tc>
        <w:tc>
          <w:tcPr>
            <w:tcW w:w="1872" w:type="dxa"/>
            <w:tcBorders>
              <w:top w:val="nil"/>
              <w:left w:val="nil"/>
              <w:bottom w:val="nil"/>
              <w:right w:val="nil"/>
            </w:tcBorders>
          </w:tcPr>
          <w:p w14:paraId="5349651D"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(0.676)</w:t>
            </w:r>
          </w:p>
        </w:tc>
        <w:tc>
          <w:tcPr>
            <w:tcW w:w="1872" w:type="dxa"/>
            <w:tcBorders>
              <w:top w:val="nil"/>
              <w:left w:val="nil"/>
              <w:bottom w:val="nil"/>
              <w:right w:val="nil"/>
            </w:tcBorders>
          </w:tcPr>
          <w:p w14:paraId="41B8DE34"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(0.650)</w:t>
            </w:r>
          </w:p>
        </w:tc>
      </w:tr>
      <w:tr w:rsidR="00F03502" w:rsidRPr="00281079" w14:paraId="43E7720A" w14:textId="77777777">
        <w:trPr>
          <w:jc w:val="center"/>
        </w:trPr>
        <w:tc>
          <w:tcPr>
            <w:tcW w:w="4251" w:type="dxa"/>
            <w:tcBorders>
              <w:top w:val="nil"/>
              <w:left w:val="nil"/>
              <w:bottom w:val="nil"/>
              <w:right w:val="nil"/>
            </w:tcBorders>
          </w:tcPr>
          <w:p w14:paraId="3B8268CB"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Ln Population aged &gt; 65</w:t>
            </w:r>
          </w:p>
        </w:tc>
        <w:tc>
          <w:tcPr>
            <w:tcW w:w="1584" w:type="dxa"/>
            <w:tcBorders>
              <w:top w:val="nil"/>
              <w:left w:val="nil"/>
              <w:bottom w:val="nil"/>
              <w:right w:val="nil"/>
            </w:tcBorders>
          </w:tcPr>
          <w:p w14:paraId="14FB0E7D"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-0.838***</w:t>
            </w:r>
          </w:p>
        </w:tc>
        <w:tc>
          <w:tcPr>
            <w:tcW w:w="1872" w:type="dxa"/>
            <w:tcBorders>
              <w:top w:val="nil"/>
              <w:left w:val="nil"/>
              <w:bottom w:val="nil"/>
              <w:right w:val="nil"/>
            </w:tcBorders>
          </w:tcPr>
          <w:p w14:paraId="7E67839C"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-0.858***</w:t>
            </w:r>
          </w:p>
        </w:tc>
        <w:tc>
          <w:tcPr>
            <w:tcW w:w="1872" w:type="dxa"/>
            <w:tcBorders>
              <w:top w:val="nil"/>
              <w:left w:val="nil"/>
              <w:bottom w:val="nil"/>
              <w:right w:val="nil"/>
            </w:tcBorders>
          </w:tcPr>
          <w:p w14:paraId="6430EC55"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-0.820***</w:t>
            </w:r>
          </w:p>
        </w:tc>
      </w:tr>
      <w:tr w:rsidR="00F03502" w:rsidRPr="00281079" w14:paraId="434BE83E" w14:textId="77777777">
        <w:trPr>
          <w:jc w:val="center"/>
        </w:trPr>
        <w:tc>
          <w:tcPr>
            <w:tcW w:w="4251" w:type="dxa"/>
            <w:tcBorders>
              <w:top w:val="nil"/>
              <w:left w:val="nil"/>
              <w:bottom w:val="nil"/>
              <w:right w:val="nil"/>
            </w:tcBorders>
          </w:tcPr>
          <w:p w14:paraId="210EB876"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p>
        </w:tc>
        <w:tc>
          <w:tcPr>
            <w:tcW w:w="1584" w:type="dxa"/>
            <w:tcBorders>
              <w:top w:val="nil"/>
              <w:left w:val="nil"/>
              <w:bottom w:val="nil"/>
              <w:right w:val="nil"/>
            </w:tcBorders>
          </w:tcPr>
          <w:p w14:paraId="4CC73DA4"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(0.190)</w:t>
            </w:r>
          </w:p>
        </w:tc>
        <w:tc>
          <w:tcPr>
            <w:tcW w:w="1872" w:type="dxa"/>
            <w:tcBorders>
              <w:top w:val="nil"/>
              <w:left w:val="nil"/>
              <w:bottom w:val="nil"/>
              <w:right w:val="nil"/>
            </w:tcBorders>
          </w:tcPr>
          <w:p w14:paraId="12948DF4"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(0.235)</w:t>
            </w:r>
          </w:p>
        </w:tc>
        <w:tc>
          <w:tcPr>
            <w:tcW w:w="1872" w:type="dxa"/>
            <w:tcBorders>
              <w:top w:val="nil"/>
              <w:left w:val="nil"/>
              <w:bottom w:val="nil"/>
              <w:right w:val="nil"/>
            </w:tcBorders>
          </w:tcPr>
          <w:p w14:paraId="68168728"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(0.239)</w:t>
            </w:r>
          </w:p>
        </w:tc>
      </w:tr>
      <w:tr w:rsidR="00F03502" w:rsidRPr="00281079" w14:paraId="712034DF" w14:textId="77777777">
        <w:trPr>
          <w:jc w:val="center"/>
        </w:trPr>
        <w:tc>
          <w:tcPr>
            <w:tcW w:w="4251" w:type="dxa"/>
            <w:tcBorders>
              <w:top w:val="nil"/>
              <w:left w:val="nil"/>
              <w:bottom w:val="nil"/>
              <w:right w:val="nil"/>
            </w:tcBorders>
          </w:tcPr>
          <w:p w14:paraId="52195CC7"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Ln Employment rate</w:t>
            </w:r>
          </w:p>
        </w:tc>
        <w:tc>
          <w:tcPr>
            <w:tcW w:w="1584" w:type="dxa"/>
            <w:tcBorders>
              <w:top w:val="nil"/>
              <w:left w:val="nil"/>
              <w:bottom w:val="nil"/>
              <w:right w:val="nil"/>
            </w:tcBorders>
          </w:tcPr>
          <w:p w14:paraId="3209185C"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0.186</w:t>
            </w:r>
          </w:p>
        </w:tc>
        <w:tc>
          <w:tcPr>
            <w:tcW w:w="1872" w:type="dxa"/>
            <w:tcBorders>
              <w:top w:val="nil"/>
              <w:left w:val="nil"/>
              <w:bottom w:val="nil"/>
              <w:right w:val="nil"/>
            </w:tcBorders>
          </w:tcPr>
          <w:p w14:paraId="21F841A3"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0.234</w:t>
            </w:r>
          </w:p>
        </w:tc>
        <w:tc>
          <w:tcPr>
            <w:tcW w:w="1872" w:type="dxa"/>
            <w:tcBorders>
              <w:top w:val="nil"/>
              <w:left w:val="nil"/>
              <w:bottom w:val="nil"/>
              <w:right w:val="nil"/>
            </w:tcBorders>
          </w:tcPr>
          <w:p w14:paraId="4BFAD73E"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0.000</w:t>
            </w:r>
          </w:p>
        </w:tc>
      </w:tr>
      <w:tr w:rsidR="00F03502" w:rsidRPr="00281079" w14:paraId="51E75D7F" w14:textId="77777777">
        <w:trPr>
          <w:jc w:val="center"/>
        </w:trPr>
        <w:tc>
          <w:tcPr>
            <w:tcW w:w="4251" w:type="dxa"/>
            <w:tcBorders>
              <w:top w:val="nil"/>
              <w:left w:val="nil"/>
              <w:bottom w:val="nil"/>
              <w:right w:val="nil"/>
            </w:tcBorders>
          </w:tcPr>
          <w:p w14:paraId="7B99368F"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p>
        </w:tc>
        <w:tc>
          <w:tcPr>
            <w:tcW w:w="1584" w:type="dxa"/>
            <w:tcBorders>
              <w:top w:val="nil"/>
              <w:left w:val="nil"/>
              <w:bottom w:val="nil"/>
              <w:right w:val="nil"/>
            </w:tcBorders>
          </w:tcPr>
          <w:p w14:paraId="3FCF0D5A"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(0.344)</w:t>
            </w:r>
          </w:p>
        </w:tc>
        <w:tc>
          <w:tcPr>
            <w:tcW w:w="1872" w:type="dxa"/>
            <w:tcBorders>
              <w:top w:val="nil"/>
              <w:left w:val="nil"/>
              <w:bottom w:val="nil"/>
              <w:right w:val="nil"/>
            </w:tcBorders>
          </w:tcPr>
          <w:p w14:paraId="054003D9"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(0.399)</w:t>
            </w:r>
          </w:p>
        </w:tc>
        <w:tc>
          <w:tcPr>
            <w:tcW w:w="1872" w:type="dxa"/>
            <w:tcBorders>
              <w:top w:val="nil"/>
              <w:left w:val="nil"/>
              <w:bottom w:val="nil"/>
              <w:right w:val="nil"/>
            </w:tcBorders>
          </w:tcPr>
          <w:p w14:paraId="03E0609F"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(0.354)</w:t>
            </w:r>
          </w:p>
        </w:tc>
      </w:tr>
      <w:tr w:rsidR="00F03502" w:rsidRPr="00281079" w14:paraId="04EF5AB8" w14:textId="77777777">
        <w:trPr>
          <w:jc w:val="center"/>
        </w:trPr>
        <w:tc>
          <w:tcPr>
            <w:tcW w:w="4251" w:type="dxa"/>
            <w:tcBorders>
              <w:top w:val="nil"/>
              <w:left w:val="nil"/>
              <w:bottom w:val="nil"/>
              <w:right w:val="nil"/>
            </w:tcBorders>
          </w:tcPr>
          <w:p w14:paraId="33FAB1A5"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Ln Average income (per tax unit)</w:t>
            </w:r>
          </w:p>
        </w:tc>
        <w:tc>
          <w:tcPr>
            <w:tcW w:w="1584" w:type="dxa"/>
            <w:tcBorders>
              <w:top w:val="nil"/>
              <w:left w:val="nil"/>
              <w:bottom w:val="nil"/>
              <w:right w:val="nil"/>
            </w:tcBorders>
          </w:tcPr>
          <w:p w14:paraId="337DDEFC"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0.434**</w:t>
            </w:r>
          </w:p>
        </w:tc>
        <w:tc>
          <w:tcPr>
            <w:tcW w:w="1872" w:type="dxa"/>
            <w:tcBorders>
              <w:top w:val="nil"/>
              <w:left w:val="nil"/>
              <w:bottom w:val="nil"/>
              <w:right w:val="nil"/>
            </w:tcBorders>
          </w:tcPr>
          <w:p w14:paraId="7EE02D6E"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0.400*</w:t>
            </w:r>
          </w:p>
        </w:tc>
        <w:tc>
          <w:tcPr>
            <w:tcW w:w="1872" w:type="dxa"/>
            <w:tcBorders>
              <w:top w:val="nil"/>
              <w:left w:val="nil"/>
              <w:bottom w:val="nil"/>
              <w:right w:val="nil"/>
            </w:tcBorders>
          </w:tcPr>
          <w:p w14:paraId="793BC487"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0.349*</w:t>
            </w:r>
          </w:p>
        </w:tc>
      </w:tr>
      <w:tr w:rsidR="00F03502" w:rsidRPr="00281079" w14:paraId="69B77155" w14:textId="77777777">
        <w:trPr>
          <w:jc w:val="center"/>
        </w:trPr>
        <w:tc>
          <w:tcPr>
            <w:tcW w:w="4251" w:type="dxa"/>
            <w:tcBorders>
              <w:top w:val="nil"/>
              <w:left w:val="nil"/>
              <w:bottom w:val="nil"/>
              <w:right w:val="nil"/>
            </w:tcBorders>
          </w:tcPr>
          <w:p w14:paraId="6D77F911" w14:textId="77777777" w:rsidR="00F03502" w:rsidRPr="00281079" w:rsidRDefault="00F03502" w:rsidP="00B605C7">
            <w:pPr>
              <w:widowControl w:val="0"/>
              <w:autoSpaceDE w:val="0"/>
              <w:autoSpaceDN w:val="0"/>
              <w:adjustRightInd w:val="0"/>
              <w:jc w:val="right"/>
              <w:rPr>
                <w:rFonts w:ascii="Times New Roman" w:hAnsi="Times New Roman" w:cs="Times New Roman Bold"/>
                <w:sz w:val="22"/>
              </w:rPr>
            </w:pPr>
          </w:p>
        </w:tc>
        <w:tc>
          <w:tcPr>
            <w:tcW w:w="1584" w:type="dxa"/>
            <w:tcBorders>
              <w:top w:val="nil"/>
              <w:left w:val="nil"/>
              <w:bottom w:val="nil"/>
              <w:right w:val="nil"/>
            </w:tcBorders>
          </w:tcPr>
          <w:p w14:paraId="2E9AF22B"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(0.183)</w:t>
            </w:r>
          </w:p>
        </w:tc>
        <w:tc>
          <w:tcPr>
            <w:tcW w:w="1872" w:type="dxa"/>
            <w:tcBorders>
              <w:top w:val="nil"/>
              <w:left w:val="nil"/>
              <w:bottom w:val="nil"/>
              <w:right w:val="nil"/>
            </w:tcBorders>
          </w:tcPr>
          <w:p w14:paraId="0949322B"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(0.204)</w:t>
            </w:r>
          </w:p>
        </w:tc>
        <w:tc>
          <w:tcPr>
            <w:tcW w:w="1872" w:type="dxa"/>
            <w:tcBorders>
              <w:top w:val="nil"/>
              <w:left w:val="nil"/>
              <w:bottom w:val="nil"/>
              <w:right w:val="nil"/>
            </w:tcBorders>
          </w:tcPr>
          <w:p w14:paraId="5816473A" w14:textId="77777777" w:rsidR="00F03502" w:rsidRPr="00F03502" w:rsidRDefault="00F03502">
            <w:pPr>
              <w:widowControl w:val="0"/>
              <w:autoSpaceDE w:val="0"/>
              <w:autoSpaceDN w:val="0"/>
              <w:adjustRightInd w:val="0"/>
              <w:jc w:val="center"/>
              <w:rPr>
                <w:rFonts w:ascii="Times New Roman" w:hAnsi="Times New Roman" w:cs="Times New Roman Bold"/>
                <w:sz w:val="22"/>
                <w:szCs w:val="22"/>
              </w:rPr>
            </w:pPr>
            <w:r w:rsidRPr="00F03502">
              <w:rPr>
                <w:rFonts w:ascii="Times New Roman" w:eastAsia="Times New Roman" w:hAnsi="Times New Roman" w:cs="Times New Roman"/>
                <w:sz w:val="22"/>
                <w:szCs w:val="22"/>
              </w:rPr>
              <w:t>(0.204)</w:t>
            </w:r>
          </w:p>
        </w:tc>
      </w:tr>
      <w:tr w:rsidR="00FE2D11" w:rsidRPr="00281079" w14:paraId="6EC50135" w14:textId="77777777">
        <w:trPr>
          <w:jc w:val="center"/>
        </w:trPr>
        <w:tc>
          <w:tcPr>
            <w:tcW w:w="4251" w:type="dxa"/>
            <w:tcBorders>
              <w:top w:val="nil"/>
              <w:left w:val="nil"/>
              <w:bottom w:val="nil"/>
              <w:right w:val="nil"/>
            </w:tcBorders>
          </w:tcPr>
          <w:p w14:paraId="3D83ADFC" w14:textId="77777777" w:rsidR="00FE2D11" w:rsidRPr="00281079" w:rsidRDefault="00FE2D11" w:rsidP="00B605C7">
            <w:pPr>
              <w:widowControl w:val="0"/>
              <w:autoSpaceDE w:val="0"/>
              <w:autoSpaceDN w:val="0"/>
              <w:adjustRightInd w:val="0"/>
              <w:jc w:val="right"/>
              <w:rPr>
                <w:rFonts w:ascii="Times New Roman" w:hAnsi="Times New Roman" w:cs="Times New Roman Bold"/>
                <w:sz w:val="22"/>
              </w:rPr>
            </w:pPr>
          </w:p>
        </w:tc>
        <w:tc>
          <w:tcPr>
            <w:tcW w:w="1584" w:type="dxa"/>
            <w:tcBorders>
              <w:top w:val="nil"/>
              <w:left w:val="nil"/>
              <w:bottom w:val="nil"/>
              <w:right w:val="nil"/>
            </w:tcBorders>
          </w:tcPr>
          <w:p w14:paraId="7FB669CB"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nil"/>
              <w:right w:val="nil"/>
            </w:tcBorders>
          </w:tcPr>
          <w:p w14:paraId="14059B5E"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nil"/>
              <w:right w:val="nil"/>
            </w:tcBorders>
          </w:tcPr>
          <w:p w14:paraId="36261A20"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r>
      <w:tr w:rsidR="00FE2D11" w:rsidRPr="00281079" w14:paraId="5598C329" w14:textId="77777777">
        <w:trPr>
          <w:jc w:val="center"/>
        </w:trPr>
        <w:tc>
          <w:tcPr>
            <w:tcW w:w="4251" w:type="dxa"/>
            <w:tcBorders>
              <w:top w:val="nil"/>
              <w:left w:val="nil"/>
              <w:bottom w:val="nil"/>
              <w:right w:val="nil"/>
            </w:tcBorders>
          </w:tcPr>
          <w:p w14:paraId="16CC4851" w14:textId="77777777" w:rsidR="00FE2D11" w:rsidRPr="00281079" w:rsidRDefault="00FE2D11"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Country FE</w:t>
            </w:r>
          </w:p>
        </w:tc>
        <w:tc>
          <w:tcPr>
            <w:tcW w:w="1584" w:type="dxa"/>
            <w:tcBorders>
              <w:top w:val="nil"/>
              <w:left w:val="nil"/>
              <w:bottom w:val="nil"/>
              <w:right w:val="nil"/>
            </w:tcBorders>
          </w:tcPr>
          <w:p w14:paraId="35FEFADB"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c>
          <w:tcPr>
            <w:tcW w:w="1872" w:type="dxa"/>
            <w:tcBorders>
              <w:top w:val="nil"/>
              <w:left w:val="nil"/>
              <w:bottom w:val="nil"/>
              <w:right w:val="nil"/>
            </w:tcBorders>
          </w:tcPr>
          <w:p w14:paraId="11EA7C94"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c>
          <w:tcPr>
            <w:tcW w:w="1872" w:type="dxa"/>
            <w:tcBorders>
              <w:top w:val="nil"/>
              <w:left w:val="nil"/>
              <w:bottom w:val="nil"/>
              <w:right w:val="nil"/>
            </w:tcBorders>
          </w:tcPr>
          <w:p w14:paraId="6BB9E526"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r>
      <w:tr w:rsidR="00FE2D11" w:rsidRPr="00281079" w14:paraId="0B74315C" w14:textId="77777777">
        <w:trPr>
          <w:jc w:val="center"/>
        </w:trPr>
        <w:tc>
          <w:tcPr>
            <w:tcW w:w="4251" w:type="dxa"/>
            <w:tcBorders>
              <w:top w:val="nil"/>
              <w:left w:val="nil"/>
              <w:bottom w:val="nil"/>
              <w:right w:val="nil"/>
            </w:tcBorders>
          </w:tcPr>
          <w:p w14:paraId="6083EC83" w14:textId="77777777" w:rsidR="00FE2D11" w:rsidRPr="00281079" w:rsidRDefault="00FE2D11"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Year FE</w:t>
            </w:r>
          </w:p>
        </w:tc>
        <w:tc>
          <w:tcPr>
            <w:tcW w:w="1584" w:type="dxa"/>
            <w:tcBorders>
              <w:top w:val="nil"/>
              <w:left w:val="nil"/>
              <w:bottom w:val="nil"/>
              <w:right w:val="nil"/>
            </w:tcBorders>
          </w:tcPr>
          <w:p w14:paraId="401537A7"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c>
          <w:tcPr>
            <w:tcW w:w="1872" w:type="dxa"/>
            <w:tcBorders>
              <w:top w:val="nil"/>
              <w:left w:val="nil"/>
              <w:bottom w:val="nil"/>
              <w:right w:val="nil"/>
            </w:tcBorders>
          </w:tcPr>
          <w:p w14:paraId="0904E840"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c>
          <w:tcPr>
            <w:tcW w:w="1872" w:type="dxa"/>
            <w:tcBorders>
              <w:top w:val="nil"/>
              <w:left w:val="nil"/>
              <w:bottom w:val="nil"/>
              <w:right w:val="nil"/>
            </w:tcBorders>
          </w:tcPr>
          <w:p w14:paraId="1C4E85EA"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r>
      <w:tr w:rsidR="00FE2D11" w:rsidRPr="00281079" w14:paraId="027C2200" w14:textId="77777777">
        <w:trPr>
          <w:jc w:val="center"/>
        </w:trPr>
        <w:tc>
          <w:tcPr>
            <w:tcW w:w="4251" w:type="dxa"/>
            <w:tcBorders>
              <w:top w:val="nil"/>
              <w:left w:val="nil"/>
              <w:bottom w:val="single" w:sz="4" w:space="0" w:color="auto"/>
              <w:right w:val="nil"/>
            </w:tcBorders>
          </w:tcPr>
          <w:p w14:paraId="0396579D" w14:textId="77777777" w:rsidR="00FE2D11" w:rsidRPr="00281079" w:rsidRDefault="00FE2D11">
            <w:pPr>
              <w:widowControl w:val="0"/>
              <w:autoSpaceDE w:val="0"/>
              <w:autoSpaceDN w:val="0"/>
              <w:adjustRightInd w:val="0"/>
              <w:rPr>
                <w:rFonts w:ascii="Times New Roman" w:hAnsi="Times New Roman" w:cs="Times New Roman Bold"/>
                <w:b/>
                <w:sz w:val="22"/>
              </w:rPr>
            </w:pPr>
          </w:p>
        </w:tc>
        <w:tc>
          <w:tcPr>
            <w:tcW w:w="1584" w:type="dxa"/>
            <w:tcBorders>
              <w:top w:val="nil"/>
              <w:left w:val="nil"/>
              <w:bottom w:val="single" w:sz="4" w:space="0" w:color="auto"/>
              <w:right w:val="nil"/>
            </w:tcBorders>
          </w:tcPr>
          <w:p w14:paraId="39ABD690" w14:textId="77777777" w:rsidR="00FE2D11" w:rsidRPr="00281079" w:rsidRDefault="00FE2D11">
            <w:pPr>
              <w:widowControl w:val="0"/>
              <w:autoSpaceDE w:val="0"/>
              <w:autoSpaceDN w:val="0"/>
              <w:adjustRightInd w:val="0"/>
              <w:jc w:val="center"/>
              <w:rPr>
                <w:rFonts w:ascii="Times New Roman" w:hAnsi="Times New Roman" w:cs="Times New Roman Bold"/>
                <w:b/>
                <w:sz w:val="22"/>
              </w:rPr>
            </w:pPr>
          </w:p>
        </w:tc>
        <w:tc>
          <w:tcPr>
            <w:tcW w:w="1872" w:type="dxa"/>
            <w:tcBorders>
              <w:top w:val="nil"/>
              <w:left w:val="nil"/>
              <w:bottom w:val="single" w:sz="4" w:space="0" w:color="auto"/>
              <w:right w:val="nil"/>
            </w:tcBorders>
          </w:tcPr>
          <w:p w14:paraId="10531274"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single" w:sz="4" w:space="0" w:color="auto"/>
              <w:right w:val="nil"/>
            </w:tcBorders>
          </w:tcPr>
          <w:p w14:paraId="5DF7B232"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r>
      <w:tr w:rsidR="00FE2D11" w:rsidRPr="00281079" w14:paraId="48998B74" w14:textId="77777777">
        <w:trPr>
          <w:jc w:val="center"/>
        </w:trPr>
        <w:tc>
          <w:tcPr>
            <w:tcW w:w="4251" w:type="dxa"/>
            <w:tcBorders>
              <w:top w:val="single" w:sz="4" w:space="0" w:color="auto"/>
              <w:left w:val="nil"/>
              <w:bottom w:val="nil"/>
              <w:right w:val="nil"/>
            </w:tcBorders>
          </w:tcPr>
          <w:p w14:paraId="6F311ACF" w14:textId="77777777" w:rsidR="00FE2D11" w:rsidRPr="00281079" w:rsidRDefault="00FE2D11">
            <w:pPr>
              <w:widowControl w:val="0"/>
              <w:autoSpaceDE w:val="0"/>
              <w:autoSpaceDN w:val="0"/>
              <w:adjustRightInd w:val="0"/>
              <w:rPr>
                <w:rFonts w:ascii="Times New Roman" w:hAnsi="Times New Roman" w:cs="Times New Roman Bold"/>
                <w:b/>
                <w:sz w:val="22"/>
              </w:rPr>
            </w:pPr>
            <w:r w:rsidRPr="00281079">
              <w:rPr>
                <w:rFonts w:ascii="Times New Roman" w:hAnsi="Times New Roman" w:cs="Times New Roman Bold"/>
                <w:b/>
                <w:sz w:val="22"/>
              </w:rPr>
              <w:t>Observations</w:t>
            </w:r>
          </w:p>
        </w:tc>
        <w:tc>
          <w:tcPr>
            <w:tcW w:w="1584" w:type="dxa"/>
            <w:tcBorders>
              <w:top w:val="single" w:sz="4" w:space="0" w:color="auto"/>
              <w:left w:val="nil"/>
              <w:bottom w:val="nil"/>
              <w:right w:val="nil"/>
            </w:tcBorders>
          </w:tcPr>
          <w:p w14:paraId="49DE7BF9" w14:textId="77777777" w:rsidR="00FE2D11" w:rsidRPr="00AD7656" w:rsidRDefault="00FE2D11">
            <w:pPr>
              <w:widowControl w:val="0"/>
              <w:autoSpaceDE w:val="0"/>
              <w:autoSpaceDN w:val="0"/>
              <w:adjustRightInd w:val="0"/>
              <w:jc w:val="center"/>
              <w:rPr>
                <w:rFonts w:ascii="Times New Roman" w:hAnsi="Times New Roman" w:cs="Times New Roman Bold"/>
                <w:sz w:val="22"/>
              </w:rPr>
            </w:pPr>
            <w:r w:rsidRPr="00AD7656">
              <w:rPr>
                <w:rFonts w:ascii="Times New Roman" w:hAnsi="Times New Roman" w:cs="Times New Roman Bold"/>
                <w:sz w:val="22"/>
              </w:rPr>
              <w:t>453</w:t>
            </w:r>
          </w:p>
        </w:tc>
        <w:tc>
          <w:tcPr>
            <w:tcW w:w="1872" w:type="dxa"/>
            <w:tcBorders>
              <w:top w:val="single" w:sz="4" w:space="0" w:color="auto"/>
              <w:left w:val="nil"/>
              <w:bottom w:val="nil"/>
              <w:right w:val="nil"/>
            </w:tcBorders>
          </w:tcPr>
          <w:p w14:paraId="7746EB47" w14:textId="77777777" w:rsidR="00FE2D11" w:rsidRPr="00AD7656" w:rsidRDefault="00FE2D11">
            <w:pPr>
              <w:widowControl w:val="0"/>
              <w:autoSpaceDE w:val="0"/>
              <w:autoSpaceDN w:val="0"/>
              <w:adjustRightInd w:val="0"/>
              <w:jc w:val="center"/>
              <w:rPr>
                <w:rFonts w:ascii="Times New Roman" w:hAnsi="Times New Roman" w:cs="Times New Roman Bold"/>
                <w:sz w:val="22"/>
              </w:rPr>
            </w:pPr>
            <w:r w:rsidRPr="00AD7656">
              <w:rPr>
                <w:rFonts w:ascii="Times New Roman" w:hAnsi="Times New Roman" w:cs="Times New Roman Bold"/>
                <w:sz w:val="22"/>
              </w:rPr>
              <w:t>434</w:t>
            </w:r>
          </w:p>
        </w:tc>
        <w:tc>
          <w:tcPr>
            <w:tcW w:w="1872" w:type="dxa"/>
            <w:tcBorders>
              <w:top w:val="single" w:sz="4" w:space="0" w:color="auto"/>
              <w:left w:val="nil"/>
              <w:bottom w:val="nil"/>
              <w:right w:val="nil"/>
            </w:tcBorders>
          </w:tcPr>
          <w:p w14:paraId="76BCEB3D" w14:textId="77777777" w:rsidR="00FE2D11" w:rsidRPr="00AD7656" w:rsidRDefault="00FE2D11">
            <w:pPr>
              <w:widowControl w:val="0"/>
              <w:autoSpaceDE w:val="0"/>
              <w:autoSpaceDN w:val="0"/>
              <w:adjustRightInd w:val="0"/>
              <w:jc w:val="center"/>
              <w:rPr>
                <w:rFonts w:ascii="Times New Roman" w:hAnsi="Times New Roman" w:cs="Times New Roman Bold"/>
                <w:sz w:val="22"/>
              </w:rPr>
            </w:pPr>
            <w:r w:rsidRPr="00AD7656">
              <w:rPr>
                <w:rFonts w:ascii="Times New Roman" w:hAnsi="Times New Roman" w:cs="Times New Roman Bold"/>
                <w:sz w:val="22"/>
              </w:rPr>
              <w:t>418</w:t>
            </w:r>
          </w:p>
        </w:tc>
      </w:tr>
      <w:tr w:rsidR="00FE2D11" w:rsidRPr="00281079" w14:paraId="47EDEF5E" w14:textId="77777777">
        <w:trPr>
          <w:jc w:val="center"/>
        </w:trPr>
        <w:tc>
          <w:tcPr>
            <w:tcW w:w="4251" w:type="dxa"/>
            <w:tcBorders>
              <w:top w:val="nil"/>
              <w:left w:val="nil"/>
              <w:bottom w:val="double" w:sz="4" w:space="0" w:color="auto"/>
              <w:right w:val="nil"/>
            </w:tcBorders>
          </w:tcPr>
          <w:p w14:paraId="4587CA91" w14:textId="77777777" w:rsidR="00FE2D11" w:rsidRPr="00281079" w:rsidRDefault="00FE2D11">
            <w:pPr>
              <w:widowControl w:val="0"/>
              <w:autoSpaceDE w:val="0"/>
              <w:autoSpaceDN w:val="0"/>
              <w:adjustRightInd w:val="0"/>
              <w:rPr>
                <w:rFonts w:ascii="Times New Roman" w:hAnsi="Times New Roman" w:cs="Times New Roman Bold"/>
                <w:b/>
                <w:sz w:val="22"/>
              </w:rPr>
            </w:pPr>
            <w:r w:rsidRPr="00281079">
              <w:rPr>
                <w:rFonts w:ascii="Times New Roman" w:hAnsi="Times New Roman" w:cs="Times New Roman Bold"/>
                <w:b/>
                <w:sz w:val="22"/>
              </w:rPr>
              <w:t>R-squared</w:t>
            </w:r>
          </w:p>
        </w:tc>
        <w:tc>
          <w:tcPr>
            <w:tcW w:w="1584" w:type="dxa"/>
            <w:tcBorders>
              <w:top w:val="nil"/>
              <w:left w:val="nil"/>
              <w:bottom w:val="double" w:sz="4" w:space="0" w:color="auto"/>
              <w:right w:val="nil"/>
            </w:tcBorders>
          </w:tcPr>
          <w:p w14:paraId="0572E5F6" w14:textId="77777777" w:rsidR="00FE2D11" w:rsidRPr="00AD7656" w:rsidRDefault="00FE2D11">
            <w:pPr>
              <w:widowControl w:val="0"/>
              <w:autoSpaceDE w:val="0"/>
              <w:autoSpaceDN w:val="0"/>
              <w:adjustRightInd w:val="0"/>
              <w:jc w:val="center"/>
              <w:rPr>
                <w:rFonts w:ascii="Times New Roman" w:hAnsi="Times New Roman" w:cs="Times New Roman Bold"/>
                <w:sz w:val="22"/>
              </w:rPr>
            </w:pPr>
            <w:r w:rsidRPr="00AD7656">
              <w:rPr>
                <w:rFonts w:ascii="Times New Roman" w:hAnsi="Times New Roman" w:cs="Times New Roman Bold"/>
                <w:sz w:val="22"/>
              </w:rPr>
              <w:t>0.987</w:t>
            </w:r>
          </w:p>
        </w:tc>
        <w:tc>
          <w:tcPr>
            <w:tcW w:w="1872" w:type="dxa"/>
            <w:tcBorders>
              <w:top w:val="nil"/>
              <w:left w:val="nil"/>
              <w:bottom w:val="double" w:sz="4" w:space="0" w:color="auto"/>
              <w:right w:val="nil"/>
            </w:tcBorders>
          </w:tcPr>
          <w:p w14:paraId="23ECB435" w14:textId="77777777" w:rsidR="00FE2D11" w:rsidRPr="00AD7656" w:rsidRDefault="00FE2D11">
            <w:pPr>
              <w:widowControl w:val="0"/>
              <w:autoSpaceDE w:val="0"/>
              <w:autoSpaceDN w:val="0"/>
              <w:adjustRightInd w:val="0"/>
              <w:jc w:val="center"/>
              <w:rPr>
                <w:rFonts w:ascii="Times New Roman" w:hAnsi="Times New Roman" w:cs="Times New Roman Bold"/>
                <w:sz w:val="22"/>
              </w:rPr>
            </w:pPr>
            <w:r w:rsidRPr="00AD7656">
              <w:rPr>
                <w:rFonts w:ascii="Times New Roman" w:hAnsi="Times New Roman" w:cs="Times New Roman Bold"/>
                <w:sz w:val="22"/>
              </w:rPr>
              <w:t>0.987</w:t>
            </w:r>
          </w:p>
        </w:tc>
        <w:tc>
          <w:tcPr>
            <w:tcW w:w="1872" w:type="dxa"/>
            <w:tcBorders>
              <w:top w:val="nil"/>
              <w:left w:val="nil"/>
              <w:bottom w:val="double" w:sz="4" w:space="0" w:color="auto"/>
              <w:right w:val="nil"/>
            </w:tcBorders>
          </w:tcPr>
          <w:p w14:paraId="4ACA24AD" w14:textId="77777777" w:rsidR="00FE2D11" w:rsidRPr="00AD7656" w:rsidRDefault="00FE2D11">
            <w:pPr>
              <w:widowControl w:val="0"/>
              <w:autoSpaceDE w:val="0"/>
              <w:autoSpaceDN w:val="0"/>
              <w:adjustRightInd w:val="0"/>
              <w:jc w:val="center"/>
              <w:rPr>
                <w:rFonts w:ascii="Times New Roman" w:hAnsi="Times New Roman" w:cs="Times New Roman Bold"/>
                <w:sz w:val="22"/>
              </w:rPr>
            </w:pPr>
            <w:r w:rsidRPr="00AD7656">
              <w:rPr>
                <w:rFonts w:ascii="Times New Roman" w:hAnsi="Times New Roman" w:cs="Times New Roman Bold"/>
                <w:sz w:val="22"/>
              </w:rPr>
              <w:t>0.989</w:t>
            </w:r>
          </w:p>
        </w:tc>
      </w:tr>
    </w:tbl>
    <w:p w14:paraId="0E04BFEB" w14:textId="77777777" w:rsidR="00FE2D11" w:rsidRPr="00281079" w:rsidRDefault="00FE2D11" w:rsidP="00B605C7">
      <w:pPr>
        <w:rPr>
          <w:rFonts w:ascii="Times New Roman" w:hAnsi="Times New Roman"/>
          <w:bCs/>
          <w:sz w:val="18"/>
        </w:rPr>
      </w:pPr>
      <w:r w:rsidRPr="00281079">
        <w:rPr>
          <w:rFonts w:ascii="Times New Roman" w:hAnsi="Times New Roman"/>
          <w:bCs/>
          <w:sz w:val="18"/>
        </w:rPr>
        <w:t>[a] Robust standard errors in parentheses, *** p&lt;0.01, ** p&lt;0.05, * p&lt;0.1</w:t>
      </w:r>
    </w:p>
    <w:p w14:paraId="67435AE2" w14:textId="77777777" w:rsidR="00FE2D11" w:rsidRPr="00281079" w:rsidRDefault="00FE2D11" w:rsidP="00B605C7">
      <w:pPr>
        <w:rPr>
          <w:rFonts w:ascii="Times New Roman" w:hAnsi="Times New Roman"/>
          <w:bCs/>
          <w:sz w:val="18"/>
        </w:rPr>
      </w:pPr>
      <w:r w:rsidRPr="00281079">
        <w:rPr>
          <w:rFonts w:ascii="Times New Roman" w:hAnsi="Times New Roman"/>
          <w:bCs/>
          <w:sz w:val="18"/>
        </w:rPr>
        <w:t>[b] Income shares from</w:t>
      </w:r>
      <w:r>
        <w:rPr>
          <w:rFonts w:ascii="Times New Roman" w:hAnsi="Times New Roman"/>
          <w:bCs/>
          <w:sz w:val="18"/>
        </w:rPr>
        <w:t xml:space="preserve"> the</w:t>
      </w:r>
      <w:r w:rsidRPr="00281079">
        <w:rPr>
          <w:rFonts w:ascii="Times New Roman" w:hAnsi="Times New Roman"/>
          <w:bCs/>
          <w:sz w:val="18"/>
        </w:rPr>
        <w:t xml:space="preserve"> World Wealth and Income Database. GDP, Government Expenditure, Private </w:t>
      </w:r>
      <w:r>
        <w:rPr>
          <w:rFonts w:ascii="Times New Roman" w:hAnsi="Times New Roman"/>
          <w:bCs/>
          <w:sz w:val="18"/>
        </w:rPr>
        <w:t xml:space="preserve">and Public </w:t>
      </w:r>
      <w:r w:rsidRPr="00281079">
        <w:rPr>
          <w:rFonts w:ascii="Times New Roman" w:hAnsi="Times New Roman"/>
          <w:bCs/>
          <w:sz w:val="18"/>
        </w:rPr>
        <w:t>health expenditure, Population and Employment Rate from</w:t>
      </w:r>
      <w:r>
        <w:rPr>
          <w:rFonts w:ascii="Times New Roman" w:hAnsi="Times New Roman"/>
          <w:bCs/>
          <w:sz w:val="18"/>
        </w:rPr>
        <w:t xml:space="preserve"> the OECD</w:t>
      </w:r>
      <w:r w:rsidRPr="00281079">
        <w:rPr>
          <w:rFonts w:ascii="Times New Roman" w:hAnsi="Times New Roman"/>
          <w:bCs/>
          <w:sz w:val="18"/>
        </w:rPr>
        <w:t>.</w:t>
      </w:r>
    </w:p>
    <w:p w14:paraId="1E027901" w14:textId="77777777" w:rsidR="00FE2D11" w:rsidRPr="00281079" w:rsidRDefault="00FE2D11" w:rsidP="00B605C7">
      <w:pPr>
        <w:rPr>
          <w:rFonts w:ascii="Times New Roman" w:hAnsi="Times New Roman"/>
          <w:bCs/>
          <w:sz w:val="18"/>
        </w:rPr>
      </w:pPr>
      <w:r w:rsidRPr="00281079">
        <w:rPr>
          <w:rFonts w:ascii="Times New Roman" w:hAnsi="Times New Roman"/>
          <w:bCs/>
          <w:sz w:val="18"/>
        </w:rPr>
        <w:t xml:space="preserve">[c] All values in 2010 $US </w:t>
      </w:r>
    </w:p>
    <w:p w14:paraId="5FE8DA3A" w14:textId="77777777" w:rsidR="00FE2D11" w:rsidRPr="00281079" w:rsidRDefault="00FE2D11" w:rsidP="00B605C7">
      <w:pPr>
        <w:rPr>
          <w:rFonts w:ascii="Times New Roman" w:hAnsi="Times New Roman"/>
          <w:bCs/>
          <w:sz w:val="18"/>
        </w:rPr>
      </w:pPr>
      <w:r w:rsidRPr="00281079">
        <w:rPr>
          <w:rFonts w:ascii="Times New Roman" w:hAnsi="Times New Roman"/>
          <w:bCs/>
          <w:sz w:val="18"/>
        </w:rPr>
        <w:t>[d] Unbalanced panel, data available from 1982 to 2015</w:t>
      </w:r>
    </w:p>
    <w:p w14:paraId="0308CC20" w14:textId="77777777" w:rsidR="00FE2D11" w:rsidRPr="00AD7656" w:rsidRDefault="00FE2D11" w:rsidP="00CC5CC1">
      <w:pPr>
        <w:widowControl w:val="0"/>
        <w:autoSpaceDE w:val="0"/>
        <w:autoSpaceDN w:val="0"/>
        <w:adjustRightInd w:val="0"/>
        <w:outlineLvl w:val="0"/>
        <w:rPr>
          <w:rFonts w:ascii="Times New Roman" w:hAnsi="Times New Roman" w:cs="Times New Roman Bold"/>
          <w:b/>
          <w:sz w:val="22"/>
        </w:rPr>
      </w:pPr>
      <w:r>
        <w:rPr>
          <w:rFonts w:ascii="Times New Roman" w:hAnsi="Times New Roman"/>
          <w:b/>
          <w:sz w:val="18"/>
        </w:rPr>
        <w:br w:type="page"/>
      </w:r>
      <w:r>
        <w:rPr>
          <w:rFonts w:ascii="Times New Roman" w:hAnsi="Times New Roman" w:cs="Times New Roman Bold"/>
          <w:b/>
          <w:sz w:val="22"/>
        </w:rPr>
        <w:lastRenderedPageBreak/>
        <w:t>Table 3</w:t>
      </w:r>
      <w:r w:rsidRPr="00AD7656">
        <w:rPr>
          <w:rFonts w:ascii="Times New Roman" w:hAnsi="Times New Roman" w:cs="Times New Roman Bold"/>
          <w:b/>
          <w:sz w:val="22"/>
        </w:rPr>
        <w:t xml:space="preserve"> : </w:t>
      </w:r>
      <w:r w:rsidRPr="001B60DA">
        <w:rPr>
          <w:rFonts w:ascii="Times New Roman" w:hAnsi="Times New Roman" w:cs="Times New Roman Bold"/>
          <w:b/>
          <w:sz w:val="22"/>
        </w:rPr>
        <w:t xml:space="preserve">Ln income share of top 1% on Ln population with private health insurance </w:t>
      </w:r>
    </w:p>
    <w:p w14:paraId="038B8E11" w14:textId="77777777" w:rsidR="00FE2D11" w:rsidRPr="00281079" w:rsidRDefault="00FE2D11" w:rsidP="00B605C7">
      <w:pPr>
        <w:widowControl w:val="0"/>
        <w:autoSpaceDE w:val="0"/>
        <w:autoSpaceDN w:val="0"/>
        <w:adjustRightInd w:val="0"/>
        <w:jc w:val="center"/>
        <w:rPr>
          <w:rFonts w:ascii="Times New Roman" w:hAnsi="Times New Roman" w:cs="Times New Roman Bold"/>
          <w:sz w:val="22"/>
        </w:rPr>
      </w:pPr>
    </w:p>
    <w:tbl>
      <w:tblPr>
        <w:tblW w:w="9579" w:type="dxa"/>
        <w:jc w:val="center"/>
        <w:tblLayout w:type="fixed"/>
        <w:tblCellMar>
          <w:left w:w="75" w:type="dxa"/>
          <w:right w:w="75" w:type="dxa"/>
        </w:tblCellMar>
        <w:tblLook w:val="0000" w:firstRow="0" w:lastRow="0" w:firstColumn="0" w:lastColumn="0" w:noHBand="0" w:noVBand="0"/>
      </w:tblPr>
      <w:tblGrid>
        <w:gridCol w:w="4251"/>
        <w:gridCol w:w="1584"/>
        <w:gridCol w:w="1872"/>
        <w:gridCol w:w="1872"/>
      </w:tblGrid>
      <w:tr w:rsidR="00FE2D11" w:rsidRPr="00281079" w14:paraId="2D910BC0" w14:textId="77777777">
        <w:trPr>
          <w:jc w:val="center"/>
        </w:trPr>
        <w:tc>
          <w:tcPr>
            <w:tcW w:w="4251" w:type="dxa"/>
            <w:tcBorders>
              <w:top w:val="double" w:sz="4" w:space="0" w:color="auto"/>
              <w:left w:val="nil"/>
              <w:bottom w:val="nil"/>
              <w:right w:val="nil"/>
            </w:tcBorders>
          </w:tcPr>
          <w:p w14:paraId="1BD5DCA0" w14:textId="77777777" w:rsidR="00FE2D11" w:rsidRPr="00281079" w:rsidRDefault="00FE2D11">
            <w:pPr>
              <w:widowControl w:val="0"/>
              <w:autoSpaceDE w:val="0"/>
              <w:autoSpaceDN w:val="0"/>
              <w:adjustRightInd w:val="0"/>
              <w:rPr>
                <w:rFonts w:ascii="Times New Roman" w:hAnsi="Times New Roman" w:cs="Times New Roman Bold"/>
                <w:b/>
                <w:sz w:val="22"/>
              </w:rPr>
            </w:pPr>
          </w:p>
        </w:tc>
        <w:tc>
          <w:tcPr>
            <w:tcW w:w="1584" w:type="dxa"/>
            <w:tcBorders>
              <w:top w:val="double" w:sz="4" w:space="0" w:color="auto"/>
              <w:left w:val="nil"/>
              <w:bottom w:val="nil"/>
              <w:right w:val="nil"/>
            </w:tcBorders>
          </w:tcPr>
          <w:p w14:paraId="767DA44E"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(1)</w:t>
            </w:r>
          </w:p>
        </w:tc>
        <w:tc>
          <w:tcPr>
            <w:tcW w:w="1872" w:type="dxa"/>
            <w:tcBorders>
              <w:top w:val="double" w:sz="4" w:space="0" w:color="auto"/>
              <w:left w:val="nil"/>
              <w:bottom w:val="nil"/>
              <w:right w:val="nil"/>
            </w:tcBorders>
          </w:tcPr>
          <w:p w14:paraId="4D152C26"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(2)</w:t>
            </w:r>
          </w:p>
        </w:tc>
        <w:tc>
          <w:tcPr>
            <w:tcW w:w="1872" w:type="dxa"/>
            <w:tcBorders>
              <w:top w:val="double" w:sz="4" w:space="0" w:color="auto"/>
              <w:left w:val="nil"/>
              <w:bottom w:val="nil"/>
              <w:right w:val="nil"/>
            </w:tcBorders>
          </w:tcPr>
          <w:p w14:paraId="404B8DF0"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(3)</w:t>
            </w:r>
          </w:p>
        </w:tc>
      </w:tr>
      <w:tr w:rsidR="00FE2D11" w:rsidRPr="00281079" w14:paraId="28F1647C" w14:textId="77777777">
        <w:trPr>
          <w:jc w:val="center"/>
        </w:trPr>
        <w:tc>
          <w:tcPr>
            <w:tcW w:w="4251" w:type="dxa"/>
            <w:tcBorders>
              <w:top w:val="nil"/>
              <w:left w:val="nil"/>
              <w:bottom w:val="single" w:sz="6" w:space="0" w:color="auto"/>
              <w:right w:val="nil"/>
            </w:tcBorders>
          </w:tcPr>
          <w:p w14:paraId="307C9D3E" w14:textId="77777777" w:rsidR="00FE2D11" w:rsidRPr="00281079" w:rsidRDefault="00FE2D11">
            <w:pPr>
              <w:widowControl w:val="0"/>
              <w:autoSpaceDE w:val="0"/>
              <w:autoSpaceDN w:val="0"/>
              <w:adjustRightInd w:val="0"/>
              <w:rPr>
                <w:rFonts w:ascii="Times New Roman" w:hAnsi="Times New Roman" w:cs="Times New Roman Bold"/>
                <w:b/>
                <w:sz w:val="22"/>
              </w:rPr>
            </w:pPr>
          </w:p>
        </w:tc>
        <w:tc>
          <w:tcPr>
            <w:tcW w:w="1584" w:type="dxa"/>
            <w:tcBorders>
              <w:top w:val="nil"/>
              <w:left w:val="nil"/>
              <w:bottom w:val="single" w:sz="6" w:space="0" w:color="auto"/>
              <w:right w:val="nil"/>
            </w:tcBorders>
          </w:tcPr>
          <w:p w14:paraId="37A91ADB"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Top 1% [t]</w:t>
            </w:r>
          </w:p>
        </w:tc>
        <w:tc>
          <w:tcPr>
            <w:tcW w:w="1872" w:type="dxa"/>
            <w:tcBorders>
              <w:top w:val="nil"/>
              <w:left w:val="nil"/>
              <w:bottom w:val="single" w:sz="6" w:space="0" w:color="auto"/>
              <w:right w:val="nil"/>
            </w:tcBorders>
          </w:tcPr>
          <w:p w14:paraId="6D781A66"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Top 1% [t-1]</w:t>
            </w:r>
          </w:p>
        </w:tc>
        <w:tc>
          <w:tcPr>
            <w:tcW w:w="1872" w:type="dxa"/>
            <w:tcBorders>
              <w:top w:val="nil"/>
              <w:left w:val="nil"/>
              <w:bottom w:val="single" w:sz="6" w:space="0" w:color="auto"/>
              <w:right w:val="nil"/>
            </w:tcBorders>
          </w:tcPr>
          <w:p w14:paraId="3399A8E7"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Top 1% [t-2]</w:t>
            </w:r>
          </w:p>
        </w:tc>
      </w:tr>
      <w:tr w:rsidR="00FE2D11" w:rsidRPr="00281079" w14:paraId="453691AA" w14:textId="77777777">
        <w:trPr>
          <w:jc w:val="center"/>
        </w:trPr>
        <w:tc>
          <w:tcPr>
            <w:tcW w:w="4251" w:type="dxa"/>
            <w:tcBorders>
              <w:top w:val="nil"/>
              <w:left w:val="nil"/>
              <w:bottom w:val="nil"/>
              <w:right w:val="nil"/>
            </w:tcBorders>
          </w:tcPr>
          <w:p w14:paraId="4FA8B639" w14:textId="77777777" w:rsidR="00FE2D11" w:rsidRPr="00281079" w:rsidRDefault="00FE2D11">
            <w:pPr>
              <w:widowControl w:val="0"/>
              <w:autoSpaceDE w:val="0"/>
              <w:autoSpaceDN w:val="0"/>
              <w:adjustRightInd w:val="0"/>
              <w:rPr>
                <w:rFonts w:ascii="Times New Roman" w:hAnsi="Times New Roman" w:cs="Times New Roman Bold"/>
                <w:sz w:val="22"/>
              </w:rPr>
            </w:pPr>
          </w:p>
        </w:tc>
        <w:tc>
          <w:tcPr>
            <w:tcW w:w="1584" w:type="dxa"/>
            <w:tcBorders>
              <w:top w:val="nil"/>
              <w:left w:val="nil"/>
              <w:bottom w:val="nil"/>
              <w:right w:val="nil"/>
            </w:tcBorders>
          </w:tcPr>
          <w:p w14:paraId="166385FF"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nil"/>
              <w:right w:val="nil"/>
            </w:tcBorders>
          </w:tcPr>
          <w:p w14:paraId="03184096"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nil"/>
              <w:right w:val="nil"/>
            </w:tcBorders>
          </w:tcPr>
          <w:p w14:paraId="54726FC4"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r>
      <w:tr w:rsidR="00F223AB" w:rsidRPr="00281079" w14:paraId="230B4F45" w14:textId="77777777">
        <w:trPr>
          <w:jc w:val="center"/>
        </w:trPr>
        <w:tc>
          <w:tcPr>
            <w:tcW w:w="4251" w:type="dxa"/>
            <w:tcBorders>
              <w:top w:val="nil"/>
              <w:left w:val="nil"/>
              <w:bottom w:val="nil"/>
              <w:right w:val="nil"/>
            </w:tcBorders>
          </w:tcPr>
          <w:p w14:paraId="597F00F8"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r w:rsidRPr="00F223AB">
              <w:rPr>
                <w:rFonts w:ascii="Times New Roman" w:hAnsi="Times New Roman" w:cs="Times New Roman Bold"/>
                <w:sz w:val="22"/>
                <w:szCs w:val="22"/>
              </w:rPr>
              <w:t>Ln Top 1% income share</w:t>
            </w:r>
          </w:p>
        </w:tc>
        <w:tc>
          <w:tcPr>
            <w:tcW w:w="1584" w:type="dxa"/>
            <w:tcBorders>
              <w:top w:val="nil"/>
              <w:left w:val="nil"/>
              <w:bottom w:val="nil"/>
              <w:right w:val="nil"/>
            </w:tcBorders>
          </w:tcPr>
          <w:p w14:paraId="78551E9B"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0.861**</w:t>
            </w:r>
          </w:p>
        </w:tc>
        <w:tc>
          <w:tcPr>
            <w:tcW w:w="1872" w:type="dxa"/>
            <w:tcBorders>
              <w:top w:val="nil"/>
              <w:left w:val="nil"/>
              <w:bottom w:val="nil"/>
              <w:right w:val="nil"/>
            </w:tcBorders>
          </w:tcPr>
          <w:p w14:paraId="74840B74"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0.679**</w:t>
            </w:r>
          </w:p>
        </w:tc>
        <w:tc>
          <w:tcPr>
            <w:tcW w:w="1872" w:type="dxa"/>
            <w:tcBorders>
              <w:top w:val="nil"/>
              <w:left w:val="nil"/>
              <w:bottom w:val="nil"/>
              <w:right w:val="nil"/>
            </w:tcBorders>
          </w:tcPr>
          <w:p w14:paraId="08B857C1"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0.930***</w:t>
            </w:r>
          </w:p>
        </w:tc>
      </w:tr>
      <w:tr w:rsidR="00F223AB" w:rsidRPr="00281079" w14:paraId="45AA38FA" w14:textId="77777777">
        <w:trPr>
          <w:jc w:val="center"/>
        </w:trPr>
        <w:tc>
          <w:tcPr>
            <w:tcW w:w="4251" w:type="dxa"/>
            <w:tcBorders>
              <w:top w:val="nil"/>
              <w:left w:val="nil"/>
              <w:bottom w:val="nil"/>
              <w:right w:val="nil"/>
            </w:tcBorders>
          </w:tcPr>
          <w:p w14:paraId="03ECE0D6"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p>
        </w:tc>
        <w:tc>
          <w:tcPr>
            <w:tcW w:w="1584" w:type="dxa"/>
            <w:tcBorders>
              <w:top w:val="nil"/>
              <w:left w:val="nil"/>
              <w:bottom w:val="nil"/>
              <w:right w:val="nil"/>
            </w:tcBorders>
          </w:tcPr>
          <w:p w14:paraId="317A3242"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(0.339)</w:t>
            </w:r>
          </w:p>
        </w:tc>
        <w:tc>
          <w:tcPr>
            <w:tcW w:w="1872" w:type="dxa"/>
            <w:tcBorders>
              <w:top w:val="nil"/>
              <w:left w:val="nil"/>
              <w:bottom w:val="nil"/>
              <w:right w:val="nil"/>
            </w:tcBorders>
          </w:tcPr>
          <w:p w14:paraId="37E6D084"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(0.320)</w:t>
            </w:r>
          </w:p>
        </w:tc>
        <w:tc>
          <w:tcPr>
            <w:tcW w:w="1872" w:type="dxa"/>
            <w:tcBorders>
              <w:top w:val="nil"/>
              <w:left w:val="nil"/>
              <w:bottom w:val="nil"/>
              <w:right w:val="nil"/>
            </w:tcBorders>
          </w:tcPr>
          <w:p w14:paraId="2CDA16D2"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(0.313)</w:t>
            </w:r>
          </w:p>
        </w:tc>
      </w:tr>
      <w:tr w:rsidR="00F223AB" w:rsidRPr="00281079" w14:paraId="62DF9D77" w14:textId="77777777">
        <w:trPr>
          <w:jc w:val="center"/>
        </w:trPr>
        <w:tc>
          <w:tcPr>
            <w:tcW w:w="4251" w:type="dxa"/>
            <w:tcBorders>
              <w:top w:val="nil"/>
              <w:left w:val="nil"/>
              <w:bottom w:val="nil"/>
              <w:right w:val="nil"/>
            </w:tcBorders>
          </w:tcPr>
          <w:p w14:paraId="2E589BA0"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r w:rsidRPr="00F223AB">
              <w:rPr>
                <w:rFonts w:ascii="Times New Roman" w:hAnsi="Times New Roman" w:cs="Times New Roman Bold"/>
                <w:sz w:val="22"/>
                <w:szCs w:val="22"/>
              </w:rPr>
              <w:t>Ln Public health expenditure</w:t>
            </w:r>
          </w:p>
        </w:tc>
        <w:tc>
          <w:tcPr>
            <w:tcW w:w="1584" w:type="dxa"/>
            <w:tcBorders>
              <w:top w:val="nil"/>
              <w:left w:val="nil"/>
              <w:bottom w:val="nil"/>
              <w:right w:val="nil"/>
            </w:tcBorders>
          </w:tcPr>
          <w:p w14:paraId="18570392"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-0.956</w:t>
            </w:r>
          </w:p>
        </w:tc>
        <w:tc>
          <w:tcPr>
            <w:tcW w:w="1872" w:type="dxa"/>
            <w:tcBorders>
              <w:top w:val="nil"/>
              <w:left w:val="nil"/>
              <w:bottom w:val="nil"/>
              <w:right w:val="nil"/>
            </w:tcBorders>
          </w:tcPr>
          <w:p w14:paraId="5D30C597"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-1.202*</w:t>
            </w:r>
          </w:p>
        </w:tc>
        <w:tc>
          <w:tcPr>
            <w:tcW w:w="1872" w:type="dxa"/>
            <w:tcBorders>
              <w:top w:val="nil"/>
              <w:left w:val="nil"/>
              <w:bottom w:val="nil"/>
              <w:right w:val="nil"/>
            </w:tcBorders>
          </w:tcPr>
          <w:p w14:paraId="33190B9F"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-1.167</w:t>
            </w:r>
          </w:p>
        </w:tc>
      </w:tr>
      <w:tr w:rsidR="00F223AB" w:rsidRPr="00281079" w14:paraId="732B0C79" w14:textId="77777777">
        <w:trPr>
          <w:jc w:val="center"/>
        </w:trPr>
        <w:tc>
          <w:tcPr>
            <w:tcW w:w="4251" w:type="dxa"/>
            <w:tcBorders>
              <w:top w:val="nil"/>
              <w:left w:val="nil"/>
              <w:bottom w:val="nil"/>
              <w:right w:val="nil"/>
            </w:tcBorders>
          </w:tcPr>
          <w:p w14:paraId="37A8BBBE"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p>
        </w:tc>
        <w:tc>
          <w:tcPr>
            <w:tcW w:w="1584" w:type="dxa"/>
            <w:tcBorders>
              <w:top w:val="nil"/>
              <w:left w:val="nil"/>
              <w:bottom w:val="nil"/>
              <w:right w:val="nil"/>
            </w:tcBorders>
          </w:tcPr>
          <w:p w14:paraId="5F3735DF"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(0.686)</w:t>
            </w:r>
          </w:p>
        </w:tc>
        <w:tc>
          <w:tcPr>
            <w:tcW w:w="1872" w:type="dxa"/>
            <w:tcBorders>
              <w:top w:val="nil"/>
              <w:left w:val="nil"/>
              <w:bottom w:val="nil"/>
              <w:right w:val="nil"/>
            </w:tcBorders>
          </w:tcPr>
          <w:p w14:paraId="641AA1A6"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(0.707)</w:t>
            </w:r>
          </w:p>
        </w:tc>
        <w:tc>
          <w:tcPr>
            <w:tcW w:w="1872" w:type="dxa"/>
            <w:tcBorders>
              <w:top w:val="nil"/>
              <w:left w:val="nil"/>
              <w:bottom w:val="nil"/>
              <w:right w:val="nil"/>
            </w:tcBorders>
          </w:tcPr>
          <w:p w14:paraId="6CB83DE3"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(0.708)</w:t>
            </w:r>
          </w:p>
        </w:tc>
      </w:tr>
      <w:tr w:rsidR="00F223AB" w:rsidRPr="00281079" w14:paraId="616F58F6" w14:textId="77777777">
        <w:trPr>
          <w:jc w:val="center"/>
        </w:trPr>
        <w:tc>
          <w:tcPr>
            <w:tcW w:w="4251" w:type="dxa"/>
            <w:tcBorders>
              <w:top w:val="nil"/>
              <w:left w:val="nil"/>
              <w:bottom w:val="nil"/>
              <w:right w:val="nil"/>
            </w:tcBorders>
          </w:tcPr>
          <w:p w14:paraId="558A6415"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r w:rsidRPr="00F223AB">
              <w:rPr>
                <w:rFonts w:ascii="Times New Roman" w:hAnsi="Times New Roman" w:cs="Times New Roman Bold"/>
                <w:sz w:val="22"/>
                <w:szCs w:val="22"/>
              </w:rPr>
              <w:t>Ln GDP</w:t>
            </w:r>
          </w:p>
        </w:tc>
        <w:tc>
          <w:tcPr>
            <w:tcW w:w="1584" w:type="dxa"/>
            <w:tcBorders>
              <w:top w:val="nil"/>
              <w:left w:val="nil"/>
              <w:bottom w:val="nil"/>
              <w:right w:val="nil"/>
            </w:tcBorders>
          </w:tcPr>
          <w:p w14:paraId="392E69A6"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-2.631**</w:t>
            </w:r>
          </w:p>
        </w:tc>
        <w:tc>
          <w:tcPr>
            <w:tcW w:w="1872" w:type="dxa"/>
            <w:tcBorders>
              <w:top w:val="nil"/>
              <w:left w:val="nil"/>
              <w:bottom w:val="nil"/>
              <w:right w:val="nil"/>
            </w:tcBorders>
          </w:tcPr>
          <w:p w14:paraId="4497CDFC"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-2.524*</w:t>
            </w:r>
          </w:p>
        </w:tc>
        <w:tc>
          <w:tcPr>
            <w:tcW w:w="1872" w:type="dxa"/>
            <w:tcBorders>
              <w:top w:val="nil"/>
              <w:left w:val="nil"/>
              <w:bottom w:val="nil"/>
              <w:right w:val="nil"/>
            </w:tcBorders>
          </w:tcPr>
          <w:p w14:paraId="0EC61DBB"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-2.379</w:t>
            </w:r>
          </w:p>
        </w:tc>
      </w:tr>
      <w:tr w:rsidR="00F223AB" w:rsidRPr="00281079" w14:paraId="32BC370D" w14:textId="77777777">
        <w:trPr>
          <w:jc w:val="center"/>
        </w:trPr>
        <w:tc>
          <w:tcPr>
            <w:tcW w:w="4251" w:type="dxa"/>
            <w:tcBorders>
              <w:top w:val="nil"/>
              <w:left w:val="nil"/>
              <w:bottom w:val="nil"/>
              <w:right w:val="nil"/>
            </w:tcBorders>
          </w:tcPr>
          <w:p w14:paraId="07B4C0E5"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p>
        </w:tc>
        <w:tc>
          <w:tcPr>
            <w:tcW w:w="1584" w:type="dxa"/>
            <w:tcBorders>
              <w:top w:val="nil"/>
              <w:left w:val="nil"/>
              <w:bottom w:val="nil"/>
              <w:right w:val="nil"/>
            </w:tcBorders>
          </w:tcPr>
          <w:p w14:paraId="3C58B768"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(1.247)</w:t>
            </w:r>
          </w:p>
        </w:tc>
        <w:tc>
          <w:tcPr>
            <w:tcW w:w="1872" w:type="dxa"/>
            <w:tcBorders>
              <w:top w:val="nil"/>
              <w:left w:val="nil"/>
              <w:bottom w:val="nil"/>
              <w:right w:val="nil"/>
            </w:tcBorders>
          </w:tcPr>
          <w:p w14:paraId="3280DCAF"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(1.424)</w:t>
            </w:r>
          </w:p>
        </w:tc>
        <w:tc>
          <w:tcPr>
            <w:tcW w:w="1872" w:type="dxa"/>
            <w:tcBorders>
              <w:top w:val="nil"/>
              <w:left w:val="nil"/>
              <w:bottom w:val="nil"/>
              <w:right w:val="nil"/>
            </w:tcBorders>
          </w:tcPr>
          <w:p w14:paraId="149EFF7E"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(1.457)</w:t>
            </w:r>
          </w:p>
        </w:tc>
      </w:tr>
      <w:tr w:rsidR="00F223AB" w:rsidRPr="00281079" w14:paraId="72502383" w14:textId="77777777">
        <w:trPr>
          <w:jc w:val="center"/>
        </w:trPr>
        <w:tc>
          <w:tcPr>
            <w:tcW w:w="4251" w:type="dxa"/>
            <w:tcBorders>
              <w:top w:val="nil"/>
              <w:left w:val="nil"/>
              <w:bottom w:val="nil"/>
              <w:right w:val="nil"/>
            </w:tcBorders>
          </w:tcPr>
          <w:p w14:paraId="7998C2FD"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r w:rsidRPr="00F223AB">
              <w:rPr>
                <w:rFonts w:ascii="Times New Roman" w:hAnsi="Times New Roman" w:cs="Times New Roman Bold"/>
                <w:sz w:val="22"/>
                <w:szCs w:val="22"/>
              </w:rPr>
              <w:t>Ln Government expenditure</w:t>
            </w:r>
          </w:p>
        </w:tc>
        <w:tc>
          <w:tcPr>
            <w:tcW w:w="1584" w:type="dxa"/>
            <w:tcBorders>
              <w:top w:val="nil"/>
              <w:left w:val="nil"/>
              <w:bottom w:val="nil"/>
              <w:right w:val="nil"/>
            </w:tcBorders>
          </w:tcPr>
          <w:p w14:paraId="747D58DF"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1.596**</w:t>
            </w:r>
          </w:p>
        </w:tc>
        <w:tc>
          <w:tcPr>
            <w:tcW w:w="1872" w:type="dxa"/>
            <w:tcBorders>
              <w:top w:val="nil"/>
              <w:left w:val="nil"/>
              <w:bottom w:val="nil"/>
              <w:right w:val="nil"/>
            </w:tcBorders>
          </w:tcPr>
          <w:p w14:paraId="07C751AF"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1.557*</w:t>
            </w:r>
          </w:p>
        </w:tc>
        <w:tc>
          <w:tcPr>
            <w:tcW w:w="1872" w:type="dxa"/>
            <w:tcBorders>
              <w:top w:val="nil"/>
              <w:left w:val="nil"/>
              <w:bottom w:val="nil"/>
              <w:right w:val="nil"/>
            </w:tcBorders>
          </w:tcPr>
          <w:p w14:paraId="049564FE"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1.508*</w:t>
            </w:r>
          </w:p>
        </w:tc>
      </w:tr>
      <w:tr w:rsidR="00F223AB" w:rsidRPr="00281079" w14:paraId="51764A45" w14:textId="77777777">
        <w:trPr>
          <w:jc w:val="center"/>
        </w:trPr>
        <w:tc>
          <w:tcPr>
            <w:tcW w:w="4251" w:type="dxa"/>
            <w:tcBorders>
              <w:top w:val="nil"/>
              <w:left w:val="nil"/>
              <w:bottom w:val="nil"/>
              <w:right w:val="nil"/>
            </w:tcBorders>
          </w:tcPr>
          <w:p w14:paraId="076F3E1F"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p>
        </w:tc>
        <w:tc>
          <w:tcPr>
            <w:tcW w:w="1584" w:type="dxa"/>
            <w:tcBorders>
              <w:top w:val="nil"/>
              <w:left w:val="nil"/>
              <w:bottom w:val="nil"/>
              <w:right w:val="nil"/>
            </w:tcBorders>
          </w:tcPr>
          <w:p w14:paraId="51AEE388"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(0.765)</w:t>
            </w:r>
          </w:p>
        </w:tc>
        <w:tc>
          <w:tcPr>
            <w:tcW w:w="1872" w:type="dxa"/>
            <w:tcBorders>
              <w:top w:val="nil"/>
              <w:left w:val="nil"/>
              <w:bottom w:val="nil"/>
              <w:right w:val="nil"/>
            </w:tcBorders>
          </w:tcPr>
          <w:p w14:paraId="3D5BC20E"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(0.850)</w:t>
            </w:r>
          </w:p>
        </w:tc>
        <w:tc>
          <w:tcPr>
            <w:tcW w:w="1872" w:type="dxa"/>
            <w:tcBorders>
              <w:top w:val="nil"/>
              <w:left w:val="nil"/>
              <w:bottom w:val="nil"/>
              <w:right w:val="nil"/>
            </w:tcBorders>
          </w:tcPr>
          <w:p w14:paraId="04307146"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(0.804)</w:t>
            </w:r>
          </w:p>
        </w:tc>
      </w:tr>
      <w:tr w:rsidR="00F223AB" w:rsidRPr="00281079" w14:paraId="42E2C459" w14:textId="77777777">
        <w:trPr>
          <w:jc w:val="center"/>
        </w:trPr>
        <w:tc>
          <w:tcPr>
            <w:tcW w:w="4251" w:type="dxa"/>
            <w:tcBorders>
              <w:top w:val="nil"/>
              <w:left w:val="nil"/>
              <w:bottom w:val="nil"/>
              <w:right w:val="nil"/>
            </w:tcBorders>
          </w:tcPr>
          <w:p w14:paraId="420C099D"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r w:rsidRPr="00F223AB">
              <w:rPr>
                <w:rFonts w:ascii="Times New Roman" w:hAnsi="Times New Roman" w:cs="Times New Roman Bold"/>
                <w:sz w:val="22"/>
                <w:szCs w:val="22"/>
              </w:rPr>
              <w:t>Ln Population aged &gt; 65</w:t>
            </w:r>
          </w:p>
        </w:tc>
        <w:tc>
          <w:tcPr>
            <w:tcW w:w="1584" w:type="dxa"/>
            <w:tcBorders>
              <w:top w:val="nil"/>
              <w:left w:val="nil"/>
              <w:bottom w:val="nil"/>
              <w:right w:val="nil"/>
            </w:tcBorders>
          </w:tcPr>
          <w:p w14:paraId="62D9AFFD"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2.228*</w:t>
            </w:r>
          </w:p>
        </w:tc>
        <w:tc>
          <w:tcPr>
            <w:tcW w:w="1872" w:type="dxa"/>
            <w:tcBorders>
              <w:top w:val="nil"/>
              <w:left w:val="nil"/>
              <w:bottom w:val="nil"/>
              <w:right w:val="nil"/>
            </w:tcBorders>
          </w:tcPr>
          <w:p w14:paraId="54416296"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3.040**</w:t>
            </w:r>
          </w:p>
        </w:tc>
        <w:tc>
          <w:tcPr>
            <w:tcW w:w="1872" w:type="dxa"/>
            <w:tcBorders>
              <w:top w:val="nil"/>
              <w:left w:val="nil"/>
              <w:bottom w:val="nil"/>
              <w:right w:val="nil"/>
            </w:tcBorders>
          </w:tcPr>
          <w:p w14:paraId="6B7000FC"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3.481***</w:t>
            </w:r>
          </w:p>
        </w:tc>
      </w:tr>
      <w:tr w:rsidR="00F223AB" w:rsidRPr="00281079" w14:paraId="675F3360" w14:textId="77777777">
        <w:trPr>
          <w:jc w:val="center"/>
        </w:trPr>
        <w:tc>
          <w:tcPr>
            <w:tcW w:w="4251" w:type="dxa"/>
            <w:tcBorders>
              <w:top w:val="nil"/>
              <w:left w:val="nil"/>
              <w:bottom w:val="nil"/>
              <w:right w:val="nil"/>
            </w:tcBorders>
          </w:tcPr>
          <w:p w14:paraId="10936D77"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p>
        </w:tc>
        <w:tc>
          <w:tcPr>
            <w:tcW w:w="1584" w:type="dxa"/>
            <w:tcBorders>
              <w:top w:val="nil"/>
              <w:left w:val="nil"/>
              <w:bottom w:val="nil"/>
              <w:right w:val="nil"/>
            </w:tcBorders>
          </w:tcPr>
          <w:p w14:paraId="02DB2DA0"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(1.250)</w:t>
            </w:r>
          </w:p>
        </w:tc>
        <w:tc>
          <w:tcPr>
            <w:tcW w:w="1872" w:type="dxa"/>
            <w:tcBorders>
              <w:top w:val="nil"/>
              <w:left w:val="nil"/>
              <w:bottom w:val="nil"/>
              <w:right w:val="nil"/>
            </w:tcBorders>
          </w:tcPr>
          <w:p w14:paraId="2D71F9DD"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(1.217)</w:t>
            </w:r>
          </w:p>
        </w:tc>
        <w:tc>
          <w:tcPr>
            <w:tcW w:w="1872" w:type="dxa"/>
            <w:tcBorders>
              <w:top w:val="nil"/>
              <w:left w:val="nil"/>
              <w:bottom w:val="nil"/>
              <w:right w:val="nil"/>
            </w:tcBorders>
          </w:tcPr>
          <w:p w14:paraId="088B699C"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(1.239)</w:t>
            </w:r>
          </w:p>
        </w:tc>
      </w:tr>
      <w:tr w:rsidR="00F223AB" w:rsidRPr="00281079" w14:paraId="358DBC64" w14:textId="77777777">
        <w:trPr>
          <w:jc w:val="center"/>
        </w:trPr>
        <w:tc>
          <w:tcPr>
            <w:tcW w:w="4251" w:type="dxa"/>
            <w:tcBorders>
              <w:top w:val="nil"/>
              <w:left w:val="nil"/>
              <w:bottom w:val="nil"/>
              <w:right w:val="nil"/>
            </w:tcBorders>
          </w:tcPr>
          <w:p w14:paraId="4A42E26F"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r w:rsidRPr="00F223AB">
              <w:rPr>
                <w:rFonts w:ascii="Times New Roman" w:hAnsi="Times New Roman" w:cs="Times New Roman Bold"/>
                <w:sz w:val="22"/>
                <w:szCs w:val="22"/>
              </w:rPr>
              <w:t>Ln Employment rate</w:t>
            </w:r>
          </w:p>
        </w:tc>
        <w:tc>
          <w:tcPr>
            <w:tcW w:w="1584" w:type="dxa"/>
            <w:tcBorders>
              <w:top w:val="nil"/>
              <w:left w:val="nil"/>
              <w:bottom w:val="nil"/>
              <w:right w:val="nil"/>
            </w:tcBorders>
          </w:tcPr>
          <w:p w14:paraId="02F5A022"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1.251</w:t>
            </w:r>
          </w:p>
        </w:tc>
        <w:tc>
          <w:tcPr>
            <w:tcW w:w="1872" w:type="dxa"/>
            <w:tcBorders>
              <w:top w:val="nil"/>
              <w:left w:val="nil"/>
              <w:bottom w:val="nil"/>
              <w:right w:val="nil"/>
            </w:tcBorders>
          </w:tcPr>
          <w:p w14:paraId="240CE9BB"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0.754</w:t>
            </w:r>
          </w:p>
        </w:tc>
        <w:tc>
          <w:tcPr>
            <w:tcW w:w="1872" w:type="dxa"/>
            <w:tcBorders>
              <w:top w:val="nil"/>
              <w:left w:val="nil"/>
              <w:bottom w:val="nil"/>
              <w:right w:val="nil"/>
            </w:tcBorders>
          </w:tcPr>
          <w:p w14:paraId="1E6F7950"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0.843</w:t>
            </w:r>
          </w:p>
        </w:tc>
      </w:tr>
      <w:tr w:rsidR="00F223AB" w:rsidRPr="00281079" w14:paraId="46B1443A" w14:textId="77777777">
        <w:trPr>
          <w:jc w:val="center"/>
        </w:trPr>
        <w:tc>
          <w:tcPr>
            <w:tcW w:w="4251" w:type="dxa"/>
            <w:tcBorders>
              <w:top w:val="nil"/>
              <w:left w:val="nil"/>
              <w:bottom w:val="nil"/>
              <w:right w:val="nil"/>
            </w:tcBorders>
          </w:tcPr>
          <w:p w14:paraId="1981295D"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p>
        </w:tc>
        <w:tc>
          <w:tcPr>
            <w:tcW w:w="1584" w:type="dxa"/>
            <w:tcBorders>
              <w:top w:val="nil"/>
              <w:left w:val="nil"/>
              <w:bottom w:val="nil"/>
              <w:right w:val="nil"/>
            </w:tcBorders>
          </w:tcPr>
          <w:p w14:paraId="0B1C90E2"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(0.908)</w:t>
            </w:r>
          </w:p>
        </w:tc>
        <w:tc>
          <w:tcPr>
            <w:tcW w:w="1872" w:type="dxa"/>
            <w:tcBorders>
              <w:top w:val="nil"/>
              <w:left w:val="nil"/>
              <w:bottom w:val="nil"/>
              <w:right w:val="nil"/>
            </w:tcBorders>
          </w:tcPr>
          <w:p w14:paraId="61EED523"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(1.010)</w:t>
            </w:r>
          </w:p>
        </w:tc>
        <w:tc>
          <w:tcPr>
            <w:tcW w:w="1872" w:type="dxa"/>
            <w:tcBorders>
              <w:top w:val="nil"/>
              <w:left w:val="nil"/>
              <w:bottom w:val="nil"/>
              <w:right w:val="nil"/>
            </w:tcBorders>
          </w:tcPr>
          <w:p w14:paraId="227391E8"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(0.961)</w:t>
            </w:r>
          </w:p>
        </w:tc>
      </w:tr>
      <w:tr w:rsidR="00F223AB" w:rsidRPr="00281079" w14:paraId="6BFB394F" w14:textId="77777777">
        <w:trPr>
          <w:jc w:val="center"/>
        </w:trPr>
        <w:tc>
          <w:tcPr>
            <w:tcW w:w="4251" w:type="dxa"/>
            <w:tcBorders>
              <w:top w:val="nil"/>
              <w:left w:val="nil"/>
              <w:bottom w:val="nil"/>
              <w:right w:val="nil"/>
            </w:tcBorders>
          </w:tcPr>
          <w:p w14:paraId="199341D6"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r w:rsidRPr="00F223AB">
              <w:rPr>
                <w:rFonts w:ascii="Times New Roman" w:hAnsi="Times New Roman" w:cs="Times New Roman Bold"/>
                <w:sz w:val="22"/>
                <w:szCs w:val="22"/>
              </w:rPr>
              <w:t>Ln Average income (per tax unit)</w:t>
            </w:r>
          </w:p>
        </w:tc>
        <w:tc>
          <w:tcPr>
            <w:tcW w:w="1584" w:type="dxa"/>
            <w:tcBorders>
              <w:top w:val="nil"/>
              <w:left w:val="nil"/>
              <w:bottom w:val="nil"/>
              <w:right w:val="nil"/>
            </w:tcBorders>
          </w:tcPr>
          <w:p w14:paraId="41515D46"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0.036</w:t>
            </w:r>
          </w:p>
        </w:tc>
        <w:tc>
          <w:tcPr>
            <w:tcW w:w="1872" w:type="dxa"/>
            <w:tcBorders>
              <w:top w:val="nil"/>
              <w:left w:val="nil"/>
              <w:bottom w:val="nil"/>
              <w:right w:val="nil"/>
            </w:tcBorders>
          </w:tcPr>
          <w:p w14:paraId="6974188D"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0.140</w:t>
            </w:r>
          </w:p>
        </w:tc>
        <w:tc>
          <w:tcPr>
            <w:tcW w:w="1872" w:type="dxa"/>
            <w:tcBorders>
              <w:top w:val="nil"/>
              <w:left w:val="nil"/>
              <w:bottom w:val="nil"/>
              <w:right w:val="nil"/>
            </w:tcBorders>
          </w:tcPr>
          <w:p w14:paraId="25DEB610"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0.116</w:t>
            </w:r>
          </w:p>
        </w:tc>
      </w:tr>
      <w:tr w:rsidR="00F223AB" w:rsidRPr="00281079" w14:paraId="55E9DB30" w14:textId="77777777">
        <w:trPr>
          <w:jc w:val="center"/>
        </w:trPr>
        <w:tc>
          <w:tcPr>
            <w:tcW w:w="4251" w:type="dxa"/>
            <w:tcBorders>
              <w:top w:val="nil"/>
              <w:left w:val="nil"/>
              <w:bottom w:val="nil"/>
              <w:right w:val="nil"/>
            </w:tcBorders>
          </w:tcPr>
          <w:p w14:paraId="1FD28011" w14:textId="77777777" w:rsidR="00F223AB" w:rsidRPr="00F223AB" w:rsidRDefault="00F223AB" w:rsidP="00B605C7">
            <w:pPr>
              <w:widowControl w:val="0"/>
              <w:autoSpaceDE w:val="0"/>
              <w:autoSpaceDN w:val="0"/>
              <w:adjustRightInd w:val="0"/>
              <w:jc w:val="right"/>
              <w:rPr>
                <w:rFonts w:ascii="Times New Roman" w:hAnsi="Times New Roman" w:cs="Times New Roman Bold"/>
                <w:sz w:val="22"/>
                <w:szCs w:val="22"/>
              </w:rPr>
            </w:pPr>
          </w:p>
        </w:tc>
        <w:tc>
          <w:tcPr>
            <w:tcW w:w="1584" w:type="dxa"/>
            <w:tcBorders>
              <w:top w:val="nil"/>
              <w:left w:val="nil"/>
              <w:bottom w:val="nil"/>
              <w:right w:val="nil"/>
            </w:tcBorders>
          </w:tcPr>
          <w:p w14:paraId="6987C319"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(0.788)</w:t>
            </w:r>
          </w:p>
        </w:tc>
        <w:tc>
          <w:tcPr>
            <w:tcW w:w="1872" w:type="dxa"/>
            <w:tcBorders>
              <w:top w:val="nil"/>
              <w:left w:val="nil"/>
              <w:bottom w:val="nil"/>
              <w:right w:val="nil"/>
            </w:tcBorders>
          </w:tcPr>
          <w:p w14:paraId="18547565"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(0.855)</w:t>
            </w:r>
          </w:p>
        </w:tc>
        <w:tc>
          <w:tcPr>
            <w:tcW w:w="1872" w:type="dxa"/>
            <w:tcBorders>
              <w:top w:val="nil"/>
              <w:left w:val="nil"/>
              <w:bottom w:val="nil"/>
              <w:right w:val="nil"/>
            </w:tcBorders>
          </w:tcPr>
          <w:p w14:paraId="7B2858F6" w14:textId="77777777" w:rsidR="00F223AB"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eastAsia="Times New Roman" w:hAnsi="Times New Roman" w:cs="Times New Roman"/>
                <w:sz w:val="22"/>
                <w:szCs w:val="22"/>
              </w:rPr>
              <w:t>(0.832)</w:t>
            </w:r>
          </w:p>
        </w:tc>
      </w:tr>
      <w:tr w:rsidR="00FE2D11" w:rsidRPr="00281079" w14:paraId="1E240DC3" w14:textId="77777777">
        <w:trPr>
          <w:jc w:val="center"/>
        </w:trPr>
        <w:tc>
          <w:tcPr>
            <w:tcW w:w="4251" w:type="dxa"/>
            <w:tcBorders>
              <w:top w:val="nil"/>
              <w:left w:val="nil"/>
              <w:bottom w:val="nil"/>
              <w:right w:val="nil"/>
            </w:tcBorders>
          </w:tcPr>
          <w:p w14:paraId="078AAA2A" w14:textId="77777777" w:rsidR="00FE2D11" w:rsidRPr="00F223AB" w:rsidRDefault="00FE2D11" w:rsidP="00B605C7">
            <w:pPr>
              <w:widowControl w:val="0"/>
              <w:autoSpaceDE w:val="0"/>
              <w:autoSpaceDN w:val="0"/>
              <w:adjustRightInd w:val="0"/>
              <w:jc w:val="right"/>
              <w:rPr>
                <w:rFonts w:ascii="Times New Roman" w:hAnsi="Times New Roman" w:cs="Times New Roman Bold"/>
                <w:sz w:val="22"/>
                <w:szCs w:val="22"/>
              </w:rPr>
            </w:pPr>
          </w:p>
        </w:tc>
        <w:tc>
          <w:tcPr>
            <w:tcW w:w="1584" w:type="dxa"/>
            <w:tcBorders>
              <w:top w:val="nil"/>
              <w:left w:val="nil"/>
              <w:bottom w:val="nil"/>
              <w:right w:val="nil"/>
            </w:tcBorders>
          </w:tcPr>
          <w:p w14:paraId="6DAECC0C" w14:textId="77777777" w:rsidR="00FE2D11" w:rsidRPr="00F223AB" w:rsidRDefault="00FE2D11">
            <w:pPr>
              <w:widowControl w:val="0"/>
              <w:autoSpaceDE w:val="0"/>
              <w:autoSpaceDN w:val="0"/>
              <w:adjustRightInd w:val="0"/>
              <w:jc w:val="center"/>
              <w:rPr>
                <w:rFonts w:ascii="Times New Roman" w:hAnsi="Times New Roman" w:cs="Times New Roman Bold"/>
                <w:sz w:val="22"/>
                <w:szCs w:val="22"/>
              </w:rPr>
            </w:pPr>
          </w:p>
        </w:tc>
        <w:tc>
          <w:tcPr>
            <w:tcW w:w="1872" w:type="dxa"/>
            <w:tcBorders>
              <w:top w:val="nil"/>
              <w:left w:val="nil"/>
              <w:bottom w:val="nil"/>
              <w:right w:val="nil"/>
            </w:tcBorders>
          </w:tcPr>
          <w:p w14:paraId="65D6CA70" w14:textId="77777777" w:rsidR="00FE2D11" w:rsidRPr="00F223AB" w:rsidRDefault="00FE2D11">
            <w:pPr>
              <w:widowControl w:val="0"/>
              <w:autoSpaceDE w:val="0"/>
              <w:autoSpaceDN w:val="0"/>
              <w:adjustRightInd w:val="0"/>
              <w:jc w:val="center"/>
              <w:rPr>
                <w:rFonts w:ascii="Times New Roman" w:hAnsi="Times New Roman" w:cs="Times New Roman Bold"/>
                <w:sz w:val="22"/>
                <w:szCs w:val="22"/>
              </w:rPr>
            </w:pPr>
          </w:p>
        </w:tc>
        <w:tc>
          <w:tcPr>
            <w:tcW w:w="1872" w:type="dxa"/>
            <w:tcBorders>
              <w:top w:val="nil"/>
              <w:left w:val="nil"/>
              <w:bottom w:val="nil"/>
              <w:right w:val="nil"/>
            </w:tcBorders>
          </w:tcPr>
          <w:p w14:paraId="7C21220B" w14:textId="77777777" w:rsidR="00FE2D11" w:rsidRPr="00F223AB" w:rsidRDefault="00FE2D11">
            <w:pPr>
              <w:widowControl w:val="0"/>
              <w:autoSpaceDE w:val="0"/>
              <w:autoSpaceDN w:val="0"/>
              <w:adjustRightInd w:val="0"/>
              <w:jc w:val="center"/>
              <w:rPr>
                <w:rFonts w:ascii="Times New Roman" w:hAnsi="Times New Roman" w:cs="Times New Roman Bold"/>
                <w:sz w:val="22"/>
                <w:szCs w:val="22"/>
              </w:rPr>
            </w:pPr>
          </w:p>
        </w:tc>
      </w:tr>
      <w:tr w:rsidR="00FE2D11" w:rsidRPr="00281079" w14:paraId="7ACCE648" w14:textId="77777777">
        <w:trPr>
          <w:jc w:val="center"/>
        </w:trPr>
        <w:tc>
          <w:tcPr>
            <w:tcW w:w="4251" w:type="dxa"/>
            <w:tcBorders>
              <w:top w:val="nil"/>
              <w:left w:val="nil"/>
              <w:bottom w:val="nil"/>
              <w:right w:val="nil"/>
            </w:tcBorders>
          </w:tcPr>
          <w:p w14:paraId="6830BECA" w14:textId="77777777" w:rsidR="00FE2D11" w:rsidRPr="00281079" w:rsidRDefault="00FE2D11"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Country FE</w:t>
            </w:r>
          </w:p>
        </w:tc>
        <w:tc>
          <w:tcPr>
            <w:tcW w:w="1584" w:type="dxa"/>
            <w:tcBorders>
              <w:top w:val="nil"/>
              <w:left w:val="nil"/>
              <w:bottom w:val="nil"/>
              <w:right w:val="nil"/>
            </w:tcBorders>
          </w:tcPr>
          <w:p w14:paraId="31143A21"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c>
          <w:tcPr>
            <w:tcW w:w="1872" w:type="dxa"/>
            <w:tcBorders>
              <w:top w:val="nil"/>
              <w:left w:val="nil"/>
              <w:bottom w:val="nil"/>
              <w:right w:val="nil"/>
            </w:tcBorders>
          </w:tcPr>
          <w:p w14:paraId="7006C94B"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c>
          <w:tcPr>
            <w:tcW w:w="1872" w:type="dxa"/>
            <w:tcBorders>
              <w:top w:val="nil"/>
              <w:left w:val="nil"/>
              <w:bottom w:val="nil"/>
              <w:right w:val="nil"/>
            </w:tcBorders>
          </w:tcPr>
          <w:p w14:paraId="4F65431F"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r>
      <w:tr w:rsidR="00FE2D11" w:rsidRPr="00281079" w14:paraId="36C65746" w14:textId="77777777">
        <w:trPr>
          <w:jc w:val="center"/>
        </w:trPr>
        <w:tc>
          <w:tcPr>
            <w:tcW w:w="4251" w:type="dxa"/>
            <w:tcBorders>
              <w:top w:val="nil"/>
              <w:left w:val="nil"/>
              <w:bottom w:val="nil"/>
              <w:right w:val="nil"/>
            </w:tcBorders>
          </w:tcPr>
          <w:p w14:paraId="21AB592F" w14:textId="77777777" w:rsidR="00FE2D11" w:rsidRPr="00281079" w:rsidRDefault="00FE2D11" w:rsidP="00B605C7">
            <w:pPr>
              <w:widowControl w:val="0"/>
              <w:autoSpaceDE w:val="0"/>
              <w:autoSpaceDN w:val="0"/>
              <w:adjustRightInd w:val="0"/>
              <w:jc w:val="right"/>
              <w:rPr>
                <w:rFonts w:ascii="Times New Roman" w:hAnsi="Times New Roman" w:cs="Times New Roman Bold"/>
                <w:sz w:val="22"/>
              </w:rPr>
            </w:pPr>
            <w:r w:rsidRPr="00281079">
              <w:rPr>
                <w:rFonts w:ascii="Times New Roman" w:hAnsi="Times New Roman" w:cs="Times New Roman Bold"/>
                <w:sz w:val="22"/>
              </w:rPr>
              <w:t>Year FE</w:t>
            </w:r>
          </w:p>
        </w:tc>
        <w:tc>
          <w:tcPr>
            <w:tcW w:w="1584" w:type="dxa"/>
            <w:tcBorders>
              <w:top w:val="nil"/>
              <w:left w:val="nil"/>
              <w:bottom w:val="nil"/>
              <w:right w:val="nil"/>
            </w:tcBorders>
          </w:tcPr>
          <w:p w14:paraId="458931D2"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c>
          <w:tcPr>
            <w:tcW w:w="1872" w:type="dxa"/>
            <w:tcBorders>
              <w:top w:val="nil"/>
              <w:left w:val="nil"/>
              <w:bottom w:val="nil"/>
              <w:right w:val="nil"/>
            </w:tcBorders>
          </w:tcPr>
          <w:p w14:paraId="3B4925A6"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c>
          <w:tcPr>
            <w:tcW w:w="1872" w:type="dxa"/>
            <w:tcBorders>
              <w:top w:val="nil"/>
              <w:left w:val="nil"/>
              <w:bottom w:val="nil"/>
              <w:right w:val="nil"/>
            </w:tcBorders>
          </w:tcPr>
          <w:p w14:paraId="00361B6A" w14:textId="77777777" w:rsidR="00FE2D11" w:rsidRPr="00281079" w:rsidRDefault="00FE2D11">
            <w:pPr>
              <w:widowControl w:val="0"/>
              <w:autoSpaceDE w:val="0"/>
              <w:autoSpaceDN w:val="0"/>
              <w:adjustRightInd w:val="0"/>
              <w:jc w:val="center"/>
              <w:rPr>
                <w:rFonts w:ascii="Times New Roman" w:hAnsi="Times New Roman" w:cs="Times New Roman Bold"/>
                <w:sz w:val="22"/>
              </w:rPr>
            </w:pPr>
            <w:r w:rsidRPr="00281079">
              <w:rPr>
                <w:rFonts w:ascii="Times New Roman" w:hAnsi="Times New Roman" w:cs="Times New Roman Bold"/>
                <w:sz w:val="22"/>
              </w:rPr>
              <w:t>X</w:t>
            </w:r>
          </w:p>
        </w:tc>
      </w:tr>
      <w:tr w:rsidR="00FE2D11" w:rsidRPr="00281079" w14:paraId="7927A922" w14:textId="77777777">
        <w:trPr>
          <w:jc w:val="center"/>
        </w:trPr>
        <w:tc>
          <w:tcPr>
            <w:tcW w:w="4251" w:type="dxa"/>
            <w:tcBorders>
              <w:top w:val="nil"/>
              <w:left w:val="nil"/>
              <w:bottom w:val="single" w:sz="4" w:space="0" w:color="auto"/>
              <w:right w:val="nil"/>
            </w:tcBorders>
          </w:tcPr>
          <w:p w14:paraId="720EE0E2" w14:textId="77777777" w:rsidR="00FE2D11" w:rsidRPr="00281079" w:rsidRDefault="00FE2D11">
            <w:pPr>
              <w:widowControl w:val="0"/>
              <w:autoSpaceDE w:val="0"/>
              <w:autoSpaceDN w:val="0"/>
              <w:adjustRightInd w:val="0"/>
              <w:rPr>
                <w:rFonts w:ascii="Times New Roman" w:hAnsi="Times New Roman" w:cs="Times New Roman Bold"/>
                <w:b/>
                <w:sz w:val="22"/>
              </w:rPr>
            </w:pPr>
          </w:p>
        </w:tc>
        <w:tc>
          <w:tcPr>
            <w:tcW w:w="1584" w:type="dxa"/>
            <w:tcBorders>
              <w:top w:val="nil"/>
              <w:left w:val="nil"/>
              <w:bottom w:val="single" w:sz="4" w:space="0" w:color="auto"/>
              <w:right w:val="nil"/>
            </w:tcBorders>
          </w:tcPr>
          <w:p w14:paraId="3FD63F21" w14:textId="77777777" w:rsidR="00FE2D11" w:rsidRPr="00281079" w:rsidRDefault="00FE2D11">
            <w:pPr>
              <w:widowControl w:val="0"/>
              <w:autoSpaceDE w:val="0"/>
              <w:autoSpaceDN w:val="0"/>
              <w:adjustRightInd w:val="0"/>
              <w:jc w:val="center"/>
              <w:rPr>
                <w:rFonts w:ascii="Times New Roman" w:hAnsi="Times New Roman" w:cs="Times New Roman Bold"/>
                <w:b/>
                <w:sz w:val="22"/>
              </w:rPr>
            </w:pPr>
          </w:p>
        </w:tc>
        <w:tc>
          <w:tcPr>
            <w:tcW w:w="1872" w:type="dxa"/>
            <w:tcBorders>
              <w:top w:val="nil"/>
              <w:left w:val="nil"/>
              <w:bottom w:val="single" w:sz="4" w:space="0" w:color="auto"/>
              <w:right w:val="nil"/>
            </w:tcBorders>
          </w:tcPr>
          <w:p w14:paraId="1940A6BD"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single" w:sz="4" w:space="0" w:color="auto"/>
              <w:right w:val="nil"/>
            </w:tcBorders>
          </w:tcPr>
          <w:p w14:paraId="60495AA7"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r>
      <w:tr w:rsidR="00FE2D11" w:rsidRPr="00281079" w14:paraId="174E394A" w14:textId="77777777">
        <w:trPr>
          <w:jc w:val="center"/>
        </w:trPr>
        <w:tc>
          <w:tcPr>
            <w:tcW w:w="4251" w:type="dxa"/>
            <w:tcBorders>
              <w:top w:val="single" w:sz="4" w:space="0" w:color="auto"/>
              <w:left w:val="nil"/>
              <w:bottom w:val="nil"/>
              <w:right w:val="nil"/>
            </w:tcBorders>
          </w:tcPr>
          <w:p w14:paraId="01906FD9" w14:textId="77777777" w:rsidR="00FE2D11" w:rsidRPr="00F223AB" w:rsidRDefault="00FE2D11">
            <w:pPr>
              <w:widowControl w:val="0"/>
              <w:autoSpaceDE w:val="0"/>
              <w:autoSpaceDN w:val="0"/>
              <w:adjustRightInd w:val="0"/>
              <w:rPr>
                <w:rFonts w:ascii="Times New Roman" w:hAnsi="Times New Roman" w:cs="Times New Roman Bold"/>
                <w:b/>
                <w:sz w:val="22"/>
                <w:szCs w:val="22"/>
                <w:lang w:val="en-CA"/>
              </w:rPr>
            </w:pPr>
            <w:r w:rsidRPr="00F223AB">
              <w:rPr>
                <w:rFonts w:ascii="Times New Roman" w:hAnsi="Times New Roman" w:cs="Times New Roman Bold"/>
                <w:b/>
                <w:sz w:val="22"/>
                <w:szCs w:val="22"/>
              </w:rPr>
              <w:t>Observations</w:t>
            </w:r>
          </w:p>
        </w:tc>
        <w:tc>
          <w:tcPr>
            <w:tcW w:w="1584" w:type="dxa"/>
            <w:tcBorders>
              <w:top w:val="single" w:sz="4" w:space="0" w:color="auto"/>
              <w:left w:val="nil"/>
              <w:bottom w:val="nil"/>
              <w:right w:val="nil"/>
            </w:tcBorders>
          </w:tcPr>
          <w:p w14:paraId="1D1F79ED" w14:textId="77777777" w:rsidR="00FE2D11" w:rsidRPr="00F223AB" w:rsidRDefault="00FE2D11">
            <w:pPr>
              <w:widowControl w:val="0"/>
              <w:autoSpaceDE w:val="0"/>
              <w:autoSpaceDN w:val="0"/>
              <w:adjustRightInd w:val="0"/>
              <w:jc w:val="center"/>
              <w:rPr>
                <w:rFonts w:ascii="Times New Roman" w:hAnsi="Times New Roman" w:cs="Times New Roman Bold"/>
                <w:sz w:val="22"/>
                <w:szCs w:val="22"/>
              </w:rPr>
            </w:pPr>
            <w:r w:rsidRPr="00F223AB">
              <w:rPr>
                <w:rFonts w:ascii="Times New Roman" w:hAnsi="Times New Roman" w:cs="Times New Roman Bold"/>
                <w:sz w:val="22"/>
                <w:szCs w:val="22"/>
              </w:rPr>
              <w:t>135</w:t>
            </w:r>
          </w:p>
        </w:tc>
        <w:tc>
          <w:tcPr>
            <w:tcW w:w="1872" w:type="dxa"/>
            <w:tcBorders>
              <w:top w:val="single" w:sz="4" w:space="0" w:color="auto"/>
              <w:left w:val="nil"/>
              <w:bottom w:val="nil"/>
              <w:right w:val="nil"/>
            </w:tcBorders>
          </w:tcPr>
          <w:p w14:paraId="5B954560" w14:textId="77777777" w:rsidR="00FE2D11"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hAnsi="Times New Roman" w:cs="Times New Roman Bold"/>
                <w:sz w:val="22"/>
                <w:szCs w:val="22"/>
              </w:rPr>
              <w:t>131</w:t>
            </w:r>
          </w:p>
        </w:tc>
        <w:tc>
          <w:tcPr>
            <w:tcW w:w="1872" w:type="dxa"/>
            <w:tcBorders>
              <w:top w:val="single" w:sz="4" w:space="0" w:color="auto"/>
              <w:left w:val="nil"/>
              <w:bottom w:val="nil"/>
              <w:right w:val="nil"/>
            </w:tcBorders>
          </w:tcPr>
          <w:p w14:paraId="089355C6" w14:textId="77777777" w:rsidR="00FE2D11"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hAnsi="Times New Roman" w:cs="Times New Roman Bold"/>
                <w:sz w:val="22"/>
                <w:szCs w:val="22"/>
              </w:rPr>
              <w:t>130</w:t>
            </w:r>
          </w:p>
        </w:tc>
      </w:tr>
      <w:tr w:rsidR="00FE2D11" w:rsidRPr="00281079" w14:paraId="38D7212D" w14:textId="77777777">
        <w:trPr>
          <w:jc w:val="center"/>
        </w:trPr>
        <w:tc>
          <w:tcPr>
            <w:tcW w:w="4251" w:type="dxa"/>
            <w:tcBorders>
              <w:top w:val="nil"/>
              <w:left w:val="nil"/>
              <w:bottom w:val="double" w:sz="4" w:space="0" w:color="auto"/>
              <w:right w:val="nil"/>
            </w:tcBorders>
          </w:tcPr>
          <w:p w14:paraId="2EF893BE" w14:textId="77777777" w:rsidR="00FE2D11" w:rsidRPr="00F223AB" w:rsidRDefault="00FE2D11">
            <w:pPr>
              <w:widowControl w:val="0"/>
              <w:autoSpaceDE w:val="0"/>
              <w:autoSpaceDN w:val="0"/>
              <w:adjustRightInd w:val="0"/>
              <w:rPr>
                <w:rFonts w:ascii="Times New Roman" w:hAnsi="Times New Roman" w:cs="Times New Roman Bold"/>
                <w:b/>
                <w:sz w:val="22"/>
                <w:szCs w:val="22"/>
              </w:rPr>
            </w:pPr>
            <w:r w:rsidRPr="00F223AB">
              <w:rPr>
                <w:rFonts w:ascii="Times New Roman" w:hAnsi="Times New Roman" w:cs="Times New Roman Bold"/>
                <w:b/>
                <w:sz w:val="22"/>
                <w:szCs w:val="22"/>
              </w:rPr>
              <w:t>R-squared</w:t>
            </w:r>
          </w:p>
        </w:tc>
        <w:tc>
          <w:tcPr>
            <w:tcW w:w="1584" w:type="dxa"/>
            <w:tcBorders>
              <w:top w:val="nil"/>
              <w:left w:val="nil"/>
              <w:bottom w:val="double" w:sz="4" w:space="0" w:color="auto"/>
              <w:right w:val="nil"/>
            </w:tcBorders>
          </w:tcPr>
          <w:p w14:paraId="11489AEC" w14:textId="77777777" w:rsidR="00FE2D11"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hAnsi="Times New Roman" w:cs="Times New Roman Bold"/>
                <w:sz w:val="22"/>
                <w:szCs w:val="22"/>
              </w:rPr>
              <w:t>0.916</w:t>
            </w:r>
          </w:p>
        </w:tc>
        <w:tc>
          <w:tcPr>
            <w:tcW w:w="1872" w:type="dxa"/>
            <w:tcBorders>
              <w:top w:val="nil"/>
              <w:left w:val="nil"/>
              <w:bottom w:val="double" w:sz="4" w:space="0" w:color="auto"/>
              <w:right w:val="nil"/>
            </w:tcBorders>
          </w:tcPr>
          <w:p w14:paraId="296BFA5F" w14:textId="77777777" w:rsidR="00FE2D11" w:rsidRPr="00F223AB" w:rsidRDefault="00FE2D11">
            <w:pPr>
              <w:widowControl w:val="0"/>
              <w:autoSpaceDE w:val="0"/>
              <w:autoSpaceDN w:val="0"/>
              <w:adjustRightInd w:val="0"/>
              <w:jc w:val="center"/>
              <w:rPr>
                <w:rFonts w:ascii="Times New Roman" w:hAnsi="Times New Roman" w:cs="Times New Roman Bold"/>
                <w:sz w:val="22"/>
                <w:szCs w:val="22"/>
              </w:rPr>
            </w:pPr>
            <w:r w:rsidRPr="00F223AB">
              <w:rPr>
                <w:rFonts w:ascii="Times New Roman" w:hAnsi="Times New Roman" w:cs="Times New Roman Bold"/>
                <w:sz w:val="22"/>
                <w:szCs w:val="22"/>
              </w:rPr>
              <w:t>0.9</w:t>
            </w:r>
            <w:r w:rsidR="00F223AB" w:rsidRPr="00F223AB">
              <w:rPr>
                <w:rFonts w:ascii="Times New Roman" w:hAnsi="Times New Roman" w:cs="Times New Roman Bold"/>
                <w:sz w:val="22"/>
                <w:szCs w:val="22"/>
              </w:rPr>
              <w:t>11</w:t>
            </w:r>
          </w:p>
        </w:tc>
        <w:tc>
          <w:tcPr>
            <w:tcW w:w="1872" w:type="dxa"/>
            <w:tcBorders>
              <w:top w:val="nil"/>
              <w:left w:val="nil"/>
              <w:bottom w:val="double" w:sz="4" w:space="0" w:color="auto"/>
              <w:right w:val="nil"/>
            </w:tcBorders>
          </w:tcPr>
          <w:p w14:paraId="2E70CF8D" w14:textId="77777777" w:rsidR="00FE2D11" w:rsidRPr="00F223AB" w:rsidRDefault="00F223AB">
            <w:pPr>
              <w:widowControl w:val="0"/>
              <w:autoSpaceDE w:val="0"/>
              <w:autoSpaceDN w:val="0"/>
              <w:adjustRightInd w:val="0"/>
              <w:jc w:val="center"/>
              <w:rPr>
                <w:rFonts w:ascii="Times New Roman" w:hAnsi="Times New Roman" w:cs="Times New Roman Bold"/>
                <w:sz w:val="22"/>
                <w:szCs w:val="22"/>
              </w:rPr>
            </w:pPr>
            <w:r w:rsidRPr="00F223AB">
              <w:rPr>
                <w:rFonts w:ascii="Times New Roman" w:hAnsi="Times New Roman" w:cs="Times New Roman Bold"/>
                <w:sz w:val="22"/>
                <w:szCs w:val="22"/>
              </w:rPr>
              <w:t>0.913</w:t>
            </w:r>
          </w:p>
        </w:tc>
      </w:tr>
    </w:tbl>
    <w:p w14:paraId="302083BB" w14:textId="77777777" w:rsidR="00FE2D11" w:rsidRPr="00281079" w:rsidRDefault="00FE2D11" w:rsidP="00B605C7">
      <w:pPr>
        <w:rPr>
          <w:rFonts w:ascii="Times New Roman" w:hAnsi="Times New Roman"/>
          <w:bCs/>
          <w:sz w:val="18"/>
        </w:rPr>
      </w:pPr>
      <w:r w:rsidRPr="00281079">
        <w:rPr>
          <w:rFonts w:ascii="Times New Roman" w:hAnsi="Times New Roman"/>
          <w:bCs/>
          <w:sz w:val="18"/>
        </w:rPr>
        <w:t>[a] Robust standard errors in parentheses, *** p&lt;0.01, ** p&lt;0.05, * p&lt;0.1</w:t>
      </w:r>
    </w:p>
    <w:p w14:paraId="6A6A623D" w14:textId="77777777" w:rsidR="00FE2D11" w:rsidRPr="00281079" w:rsidRDefault="00FE2D11" w:rsidP="00B605C7">
      <w:pPr>
        <w:rPr>
          <w:rFonts w:ascii="Times New Roman" w:hAnsi="Times New Roman"/>
          <w:bCs/>
          <w:sz w:val="18"/>
        </w:rPr>
      </w:pPr>
      <w:r w:rsidRPr="00281079">
        <w:rPr>
          <w:rFonts w:ascii="Times New Roman" w:hAnsi="Times New Roman"/>
          <w:bCs/>
          <w:sz w:val="18"/>
        </w:rPr>
        <w:t xml:space="preserve">[b] Income shares from </w:t>
      </w:r>
      <w:r>
        <w:rPr>
          <w:rFonts w:ascii="Times New Roman" w:hAnsi="Times New Roman"/>
          <w:bCs/>
          <w:sz w:val="18"/>
        </w:rPr>
        <w:t xml:space="preserve">the </w:t>
      </w:r>
      <w:r w:rsidRPr="00281079">
        <w:rPr>
          <w:rFonts w:ascii="Times New Roman" w:hAnsi="Times New Roman"/>
          <w:bCs/>
          <w:sz w:val="18"/>
        </w:rPr>
        <w:t xml:space="preserve">World Wealth and Income Database. GDP, Government Expenditure, Private health </w:t>
      </w:r>
      <w:r>
        <w:rPr>
          <w:rFonts w:ascii="Times New Roman" w:hAnsi="Times New Roman"/>
          <w:bCs/>
          <w:sz w:val="18"/>
        </w:rPr>
        <w:t>insurance</w:t>
      </w:r>
      <w:r w:rsidRPr="00281079">
        <w:rPr>
          <w:rFonts w:ascii="Times New Roman" w:hAnsi="Times New Roman"/>
          <w:bCs/>
          <w:sz w:val="18"/>
        </w:rPr>
        <w:t>, Populatio</w:t>
      </w:r>
      <w:r>
        <w:rPr>
          <w:rFonts w:ascii="Times New Roman" w:hAnsi="Times New Roman"/>
          <w:bCs/>
          <w:sz w:val="18"/>
        </w:rPr>
        <w:t>n and Employment Rate from the OECD</w:t>
      </w:r>
      <w:r w:rsidRPr="00281079">
        <w:rPr>
          <w:rFonts w:ascii="Times New Roman" w:hAnsi="Times New Roman"/>
          <w:bCs/>
          <w:sz w:val="18"/>
        </w:rPr>
        <w:t>.</w:t>
      </w:r>
    </w:p>
    <w:p w14:paraId="0E47BF0A" w14:textId="77777777" w:rsidR="00FE2D11" w:rsidRPr="00281079" w:rsidRDefault="00FE2D11" w:rsidP="00B605C7">
      <w:pPr>
        <w:rPr>
          <w:rFonts w:ascii="Times New Roman" w:hAnsi="Times New Roman"/>
          <w:bCs/>
          <w:sz w:val="18"/>
        </w:rPr>
      </w:pPr>
      <w:r w:rsidRPr="00281079">
        <w:rPr>
          <w:rFonts w:ascii="Times New Roman" w:hAnsi="Times New Roman"/>
          <w:bCs/>
          <w:sz w:val="18"/>
        </w:rPr>
        <w:t xml:space="preserve">[c] All values in 2010 $US </w:t>
      </w:r>
    </w:p>
    <w:p w14:paraId="7178A64A" w14:textId="77777777" w:rsidR="00FE2D11" w:rsidRPr="00281079" w:rsidRDefault="00FE2D11" w:rsidP="00B605C7">
      <w:pPr>
        <w:rPr>
          <w:rFonts w:ascii="Times New Roman" w:hAnsi="Times New Roman"/>
          <w:bCs/>
          <w:sz w:val="18"/>
        </w:rPr>
      </w:pPr>
      <w:r w:rsidRPr="00281079">
        <w:rPr>
          <w:rFonts w:ascii="Times New Roman" w:hAnsi="Times New Roman"/>
          <w:bCs/>
          <w:sz w:val="18"/>
        </w:rPr>
        <w:t xml:space="preserve">[d] Unbalanced </w:t>
      </w:r>
      <w:r>
        <w:rPr>
          <w:rFonts w:ascii="Times New Roman" w:hAnsi="Times New Roman"/>
          <w:bCs/>
          <w:sz w:val="18"/>
        </w:rPr>
        <w:t xml:space="preserve">panel, data available from 1995 </w:t>
      </w:r>
      <w:r w:rsidRPr="00281079">
        <w:rPr>
          <w:rFonts w:ascii="Times New Roman" w:hAnsi="Times New Roman"/>
          <w:bCs/>
          <w:sz w:val="18"/>
        </w:rPr>
        <w:t>to 2015</w:t>
      </w:r>
    </w:p>
    <w:p w14:paraId="3C9065E9" w14:textId="77777777" w:rsidR="00FE2D11" w:rsidRPr="00AD7656" w:rsidRDefault="00FE2D11" w:rsidP="00CC5CC1">
      <w:pPr>
        <w:widowControl w:val="0"/>
        <w:autoSpaceDE w:val="0"/>
        <w:autoSpaceDN w:val="0"/>
        <w:adjustRightInd w:val="0"/>
        <w:outlineLvl w:val="0"/>
        <w:rPr>
          <w:rFonts w:ascii="Times New Roman" w:hAnsi="Times New Roman" w:cs="Times New Roman Bold"/>
          <w:b/>
          <w:sz w:val="22"/>
        </w:rPr>
      </w:pPr>
      <w:r>
        <w:rPr>
          <w:rFonts w:ascii="Times New Roman" w:hAnsi="Times New Roman"/>
          <w:b/>
          <w:sz w:val="18"/>
        </w:rPr>
        <w:br w:type="page"/>
      </w:r>
      <w:r>
        <w:rPr>
          <w:rFonts w:ascii="Times New Roman" w:hAnsi="Times New Roman" w:cs="Times New Roman Bold"/>
          <w:b/>
          <w:sz w:val="22"/>
        </w:rPr>
        <w:lastRenderedPageBreak/>
        <w:t>Table 4</w:t>
      </w:r>
      <w:r w:rsidRPr="00AD7656">
        <w:rPr>
          <w:rFonts w:ascii="Times New Roman" w:hAnsi="Times New Roman" w:cs="Times New Roman Bold"/>
          <w:b/>
          <w:sz w:val="22"/>
        </w:rPr>
        <w:t xml:space="preserve"> : </w:t>
      </w:r>
      <w:r w:rsidRPr="001B60DA">
        <w:rPr>
          <w:rFonts w:ascii="Times New Roman" w:hAnsi="Times New Roman" w:cs="Times New Roman Bold"/>
          <w:b/>
          <w:sz w:val="22"/>
        </w:rPr>
        <w:t xml:space="preserve">Ln income share of top 1% on Ln </w:t>
      </w:r>
      <w:r>
        <w:rPr>
          <w:rFonts w:ascii="Times New Roman" w:hAnsi="Times New Roman" w:cs="Times New Roman Bold"/>
          <w:b/>
          <w:sz w:val="22"/>
        </w:rPr>
        <w:t>out-of-pocket health expenditure</w:t>
      </w:r>
      <w:r w:rsidRPr="001B60DA">
        <w:rPr>
          <w:rFonts w:ascii="Times New Roman" w:hAnsi="Times New Roman" w:cs="Times New Roman Bold"/>
          <w:b/>
          <w:sz w:val="22"/>
        </w:rPr>
        <w:t xml:space="preserve"> </w:t>
      </w:r>
    </w:p>
    <w:p w14:paraId="0AA26D65" w14:textId="77777777" w:rsidR="00FE2D11" w:rsidRPr="00281079" w:rsidRDefault="00FE2D11" w:rsidP="00B605C7">
      <w:pPr>
        <w:widowControl w:val="0"/>
        <w:autoSpaceDE w:val="0"/>
        <w:autoSpaceDN w:val="0"/>
        <w:adjustRightInd w:val="0"/>
        <w:jc w:val="center"/>
        <w:rPr>
          <w:rFonts w:ascii="Times New Roman" w:hAnsi="Times New Roman" w:cs="Times New Roman Bold"/>
          <w:sz w:val="22"/>
        </w:rPr>
      </w:pPr>
    </w:p>
    <w:tbl>
      <w:tblPr>
        <w:tblW w:w="9579" w:type="dxa"/>
        <w:jc w:val="center"/>
        <w:tblLayout w:type="fixed"/>
        <w:tblCellMar>
          <w:left w:w="75" w:type="dxa"/>
          <w:right w:w="75" w:type="dxa"/>
        </w:tblCellMar>
        <w:tblLook w:val="0000" w:firstRow="0" w:lastRow="0" w:firstColumn="0" w:lastColumn="0" w:noHBand="0" w:noVBand="0"/>
      </w:tblPr>
      <w:tblGrid>
        <w:gridCol w:w="4251"/>
        <w:gridCol w:w="1584"/>
        <w:gridCol w:w="1872"/>
        <w:gridCol w:w="1872"/>
      </w:tblGrid>
      <w:tr w:rsidR="00FE2D11" w:rsidRPr="00281079" w14:paraId="4F2D8EE8" w14:textId="77777777">
        <w:trPr>
          <w:jc w:val="center"/>
        </w:trPr>
        <w:tc>
          <w:tcPr>
            <w:tcW w:w="4251" w:type="dxa"/>
            <w:tcBorders>
              <w:top w:val="double" w:sz="4" w:space="0" w:color="auto"/>
              <w:left w:val="nil"/>
              <w:bottom w:val="nil"/>
              <w:right w:val="nil"/>
            </w:tcBorders>
          </w:tcPr>
          <w:p w14:paraId="144B75B0" w14:textId="77777777" w:rsidR="00FE2D11" w:rsidRPr="00281079" w:rsidRDefault="00FE2D11">
            <w:pPr>
              <w:widowControl w:val="0"/>
              <w:autoSpaceDE w:val="0"/>
              <w:autoSpaceDN w:val="0"/>
              <w:adjustRightInd w:val="0"/>
              <w:rPr>
                <w:rFonts w:ascii="Times New Roman" w:hAnsi="Times New Roman" w:cs="Times New Roman Bold"/>
                <w:b/>
                <w:sz w:val="22"/>
              </w:rPr>
            </w:pPr>
          </w:p>
        </w:tc>
        <w:tc>
          <w:tcPr>
            <w:tcW w:w="1584" w:type="dxa"/>
            <w:tcBorders>
              <w:top w:val="double" w:sz="4" w:space="0" w:color="auto"/>
              <w:left w:val="nil"/>
              <w:bottom w:val="nil"/>
              <w:right w:val="nil"/>
            </w:tcBorders>
          </w:tcPr>
          <w:p w14:paraId="2DEEAB0B"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(1)</w:t>
            </w:r>
          </w:p>
        </w:tc>
        <w:tc>
          <w:tcPr>
            <w:tcW w:w="1872" w:type="dxa"/>
            <w:tcBorders>
              <w:top w:val="double" w:sz="4" w:space="0" w:color="auto"/>
              <w:left w:val="nil"/>
              <w:bottom w:val="nil"/>
              <w:right w:val="nil"/>
            </w:tcBorders>
          </w:tcPr>
          <w:p w14:paraId="38249120"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(2)</w:t>
            </w:r>
          </w:p>
        </w:tc>
        <w:tc>
          <w:tcPr>
            <w:tcW w:w="1872" w:type="dxa"/>
            <w:tcBorders>
              <w:top w:val="double" w:sz="4" w:space="0" w:color="auto"/>
              <w:left w:val="nil"/>
              <w:bottom w:val="nil"/>
              <w:right w:val="nil"/>
            </w:tcBorders>
          </w:tcPr>
          <w:p w14:paraId="6DE04114"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(3)</w:t>
            </w:r>
          </w:p>
        </w:tc>
      </w:tr>
      <w:tr w:rsidR="00FE2D11" w:rsidRPr="00281079" w14:paraId="580250C5" w14:textId="77777777">
        <w:trPr>
          <w:jc w:val="center"/>
        </w:trPr>
        <w:tc>
          <w:tcPr>
            <w:tcW w:w="4251" w:type="dxa"/>
            <w:tcBorders>
              <w:top w:val="nil"/>
              <w:left w:val="nil"/>
              <w:bottom w:val="single" w:sz="6" w:space="0" w:color="auto"/>
              <w:right w:val="nil"/>
            </w:tcBorders>
          </w:tcPr>
          <w:p w14:paraId="21D030D3" w14:textId="77777777" w:rsidR="00FE2D11" w:rsidRPr="00281079" w:rsidRDefault="00FE2D11">
            <w:pPr>
              <w:widowControl w:val="0"/>
              <w:autoSpaceDE w:val="0"/>
              <w:autoSpaceDN w:val="0"/>
              <w:adjustRightInd w:val="0"/>
              <w:rPr>
                <w:rFonts w:ascii="Times New Roman" w:hAnsi="Times New Roman" w:cs="Times New Roman Bold"/>
                <w:b/>
                <w:sz w:val="22"/>
              </w:rPr>
            </w:pPr>
          </w:p>
        </w:tc>
        <w:tc>
          <w:tcPr>
            <w:tcW w:w="1584" w:type="dxa"/>
            <w:tcBorders>
              <w:top w:val="nil"/>
              <w:left w:val="nil"/>
              <w:bottom w:val="single" w:sz="6" w:space="0" w:color="auto"/>
              <w:right w:val="nil"/>
            </w:tcBorders>
          </w:tcPr>
          <w:p w14:paraId="4AEDE0A0"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Top 1% [t]</w:t>
            </w:r>
          </w:p>
        </w:tc>
        <w:tc>
          <w:tcPr>
            <w:tcW w:w="1872" w:type="dxa"/>
            <w:tcBorders>
              <w:top w:val="nil"/>
              <w:left w:val="nil"/>
              <w:bottom w:val="single" w:sz="6" w:space="0" w:color="auto"/>
              <w:right w:val="nil"/>
            </w:tcBorders>
          </w:tcPr>
          <w:p w14:paraId="22CF2907"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Top 1% [t-1]</w:t>
            </w:r>
          </w:p>
        </w:tc>
        <w:tc>
          <w:tcPr>
            <w:tcW w:w="1872" w:type="dxa"/>
            <w:tcBorders>
              <w:top w:val="nil"/>
              <w:left w:val="nil"/>
              <w:bottom w:val="single" w:sz="6" w:space="0" w:color="auto"/>
              <w:right w:val="nil"/>
            </w:tcBorders>
          </w:tcPr>
          <w:p w14:paraId="0065AF4A" w14:textId="77777777" w:rsidR="00FE2D11" w:rsidRPr="00AE6C77" w:rsidRDefault="00FE2D11">
            <w:pPr>
              <w:widowControl w:val="0"/>
              <w:autoSpaceDE w:val="0"/>
              <w:autoSpaceDN w:val="0"/>
              <w:adjustRightInd w:val="0"/>
              <w:jc w:val="center"/>
              <w:rPr>
                <w:rFonts w:ascii="Times New Roman" w:hAnsi="Times New Roman" w:cs="Times New Roman Bold"/>
                <w:sz w:val="22"/>
              </w:rPr>
            </w:pPr>
            <w:r w:rsidRPr="00AE6C77">
              <w:rPr>
                <w:rFonts w:ascii="Times New Roman" w:hAnsi="Times New Roman" w:cs="Times New Roman Bold"/>
                <w:sz w:val="22"/>
              </w:rPr>
              <w:t>Top 1% [t-2]</w:t>
            </w:r>
          </w:p>
        </w:tc>
      </w:tr>
      <w:tr w:rsidR="00FE2D11" w:rsidRPr="00281079" w14:paraId="490A9BB8" w14:textId="77777777">
        <w:trPr>
          <w:jc w:val="center"/>
        </w:trPr>
        <w:tc>
          <w:tcPr>
            <w:tcW w:w="4251" w:type="dxa"/>
            <w:tcBorders>
              <w:top w:val="nil"/>
              <w:left w:val="nil"/>
              <w:bottom w:val="nil"/>
              <w:right w:val="nil"/>
            </w:tcBorders>
          </w:tcPr>
          <w:p w14:paraId="6BE179D2" w14:textId="77777777" w:rsidR="00FE2D11" w:rsidRPr="00281079" w:rsidRDefault="00FE2D11">
            <w:pPr>
              <w:widowControl w:val="0"/>
              <w:autoSpaceDE w:val="0"/>
              <w:autoSpaceDN w:val="0"/>
              <w:adjustRightInd w:val="0"/>
              <w:rPr>
                <w:rFonts w:ascii="Times New Roman" w:hAnsi="Times New Roman" w:cs="Times New Roman Bold"/>
                <w:sz w:val="22"/>
              </w:rPr>
            </w:pPr>
          </w:p>
        </w:tc>
        <w:tc>
          <w:tcPr>
            <w:tcW w:w="1584" w:type="dxa"/>
            <w:tcBorders>
              <w:top w:val="nil"/>
              <w:left w:val="nil"/>
              <w:bottom w:val="nil"/>
              <w:right w:val="nil"/>
            </w:tcBorders>
          </w:tcPr>
          <w:p w14:paraId="440B56DD"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nil"/>
              <w:right w:val="nil"/>
            </w:tcBorders>
          </w:tcPr>
          <w:p w14:paraId="02103395"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c>
          <w:tcPr>
            <w:tcW w:w="1872" w:type="dxa"/>
            <w:tcBorders>
              <w:top w:val="nil"/>
              <w:left w:val="nil"/>
              <w:bottom w:val="nil"/>
              <w:right w:val="nil"/>
            </w:tcBorders>
          </w:tcPr>
          <w:p w14:paraId="42977FB2" w14:textId="77777777" w:rsidR="00FE2D11" w:rsidRPr="00281079" w:rsidRDefault="00FE2D11">
            <w:pPr>
              <w:widowControl w:val="0"/>
              <w:autoSpaceDE w:val="0"/>
              <w:autoSpaceDN w:val="0"/>
              <w:adjustRightInd w:val="0"/>
              <w:jc w:val="center"/>
              <w:rPr>
                <w:rFonts w:ascii="Times New Roman" w:hAnsi="Times New Roman" w:cs="Times New Roman Bold"/>
                <w:sz w:val="22"/>
              </w:rPr>
            </w:pPr>
          </w:p>
        </w:tc>
      </w:tr>
      <w:tr w:rsidR="001C426E" w:rsidRPr="000E2451" w14:paraId="30C5CCEE" w14:textId="77777777">
        <w:trPr>
          <w:jc w:val="center"/>
        </w:trPr>
        <w:tc>
          <w:tcPr>
            <w:tcW w:w="4251" w:type="dxa"/>
            <w:tcBorders>
              <w:top w:val="nil"/>
              <w:left w:val="nil"/>
              <w:bottom w:val="nil"/>
              <w:right w:val="nil"/>
            </w:tcBorders>
          </w:tcPr>
          <w:p w14:paraId="3704BA56"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Ln Top 1% income share</w:t>
            </w:r>
          </w:p>
        </w:tc>
        <w:tc>
          <w:tcPr>
            <w:tcW w:w="1584" w:type="dxa"/>
            <w:tcBorders>
              <w:top w:val="nil"/>
              <w:left w:val="nil"/>
              <w:bottom w:val="nil"/>
              <w:right w:val="nil"/>
            </w:tcBorders>
          </w:tcPr>
          <w:p w14:paraId="4B6D3C93" w14:textId="77777777" w:rsidR="001C426E" w:rsidRPr="000E2451" w:rsidRDefault="00844554">
            <w:pPr>
              <w:widowControl w:val="0"/>
              <w:autoSpaceDE w:val="0"/>
              <w:autoSpaceDN w:val="0"/>
              <w:adjustRightInd w:val="0"/>
              <w:jc w:val="center"/>
              <w:rPr>
                <w:rFonts w:ascii="Times New Roman" w:hAnsi="Times New Roman" w:cs="Times New Roman"/>
                <w:sz w:val="22"/>
                <w:szCs w:val="22"/>
              </w:rPr>
            </w:pPr>
            <w:r>
              <w:rPr>
                <w:rFonts w:ascii="Times New Roman" w:eastAsia="Times New Roman" w:hAnsi="Times New Roman" w:cs="Times New Roman"/>
                <w:sz w:val="22"/>
                <w:szCs w:val="22"/>
              </w:rPr>
              <w:t>0.194</w:t>
            </w:r>
            <w:r w:rsidR="001C426E" w:rsidRPr="000E2451">
              <w:rPr>
                <w:rFonts w:ascii="Times New Roman" w:eastAsia="Times New Roman" w:hAnsi="Times New Roman" w:cs="Times New Roman"/>
                <w:sz w:val="22"/>
                <w:szCs w:val="22"/>
              </w:rPr>
              <w:t>*</w:t>
            </w:r>
          </w:p>
        </w:tc>
        <w:tc>
          <w:tcPr>
            <w:tcW w:w="1872" w:type="dxa"/>
            <w:tcBorders>
              <w:top w:val="nil"/>
              <w:left w:val="nil"/>
              <w:bottom w:val="nil"/>
              <w:right w:val="nil"/>
            </w:tcBorders>
          </w:tcPr>
          <w:p w14:paraId="38B9AA3F"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0.148*</w:t>
            </w:r>
          </w:p>
        </w:tc>
        <w:tc>
          <w:tcPr>
            <w:tcW w:w="1872" w:type="dxa"/>
            <w:tcBorders>
              <w:top w:val="nil"/>
              <w:left w:val="nil"/>
              <w:bottom w:val="nil"/>
              <w:right w:val="nil"/>
            </w:tcBorders>
          </w:tcPr>
          <w:p w14:paraId="45C4FA5E"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0.157**</w:t>
            </w:r>
          </w:p>
        </w:tc>
      </w:tr>
      <w:tr w:rsidR="001C426E" w:rsidRPr="000E2451" w14:paraId="202E8092" w14:textId="77777777">
        <w:trPr>
          <w:jc w:val="center"/>
        </w:trPr>
        <w:tc>
          <w:tcPr>
            <w:tcW w:w="4251" w:type="dxa"/>
            <w:tcBorders>
              <w:top w:val="nil"/>
              <w:left w:val="nil"/>
              <w:bottom w:val="nil"/>
              <w:right w:val="nil"/>
            </w:tcBorders>
          </w:tcPr>
          <w:p w14:paraId="2F5385B4"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p>
        </w:tc>
        <w:tc>
          <w:tcPr>
            <w:tcW w:w="1584" w:type="dxa"/>
            <w:tcBorders>
              <w:top w:val="nil"/>
              <w:left w:val="nil"/>
              <w:bottom w:val="nil"/>
              <w:right w:val="nil"/>
            </w:tcBorders>
          </w:tcPr>
          <w:p w14:paraId="323D098E" w14:textId="77777777" w:rsidR="001C426E" w:rsidRPr="000E2451" w:rsidRDefault="00844554">
            <w:pPr>
              <w:widowControl w:val="0"/>
              <w:autoSpaceDE w:val="0"/>
              <w:autoSpaceDN w:val="0"/>
              <w:adjustRightInd w:val="0"/>
              <w:jc w:val="center"/>
              <w:rPr>
                <w:rFonts w:ascii="Times New Roman" w:hAnsi="Times New Roman" w:cs="Times New Roman"/>
                <w:sz w:val="22"/>
                <w:szCs w:val="22"/>
              </w:rPr>
            </w:pPr>
            <w:r>
              <w:rPr>
                <w:rFonts w:ascii="Times New Roman" w:eastAsia="Times New Roman" w:hAnsi="Times New Roman" w:cs="Times New Roman"/>
                <w:sz w:val="22"/>
                <w:szCs w:val="22"/>
              </w:rPr>
              <w:t>(0.10</w:t>
            </w:r>
            <w:r w:rsidR="001C426E" w:rsidRPr="000E2451">
              <w:rPr>
                <w:rFonts w:ascii="Times New Roman" w:eastAsia="Times New Roman" w:hAnsi="Times New Roman" w:cs="Times New Roman"/>
                <w:sz w:val="22"/>
                <w:szCs w:val="22"/>
              </w:rPr>
              <w:t>5)</w:t>
            </w:r>
          </w:p>
        </w:tc>
        <w:tc>
          <w:tcPr>
            <w:tcW w:w="1872" w:type="dxa"/>
            <w:tcBorders>
              <w:top w:val="nil"/>
              <w:left w:val="nil"/>
              <w:bottom w:val="nil"/>
              <w:right w:val="nil"/>
            </w:tcBorders>
          </w:tcPr>
          <w:p w14:paraId="6AA46B25"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(0.0</w:t>
            </w:r>
            <w:r w:rsidR="00C479BA">
              <w:rPr>
                <w:rFonts w:ascii="Times New Roman" w:eastAsia="Times New Roman" w:hAnsi="Times New Roman" w:cs="Times New Roman"/>
                <w:sz w:val="22"/>
                <w:szCs w:val="22"/>
              </w:rPr>
              <w:t>85</w:t>
            </w:r>
            <w:r w:rsidRPr="000E2451">
              <w:rPr>
                <w:rFonts w:ascii="Times New Roman" w:eastAsia="Times New Roman" w:hAnsi="Times New Roman" w:cs="Times New Roman"/>
                <w:sz w:val="22"/>
                <w:szCs w:val="22"/>
              </w:rPr>
              <w:t>)</w:t>
            </w:r>
          </w:p>
        </w:tc>
        <w:tc>
          <w:tcPr>
            <w:tcW w:w="1872" w:type="dxa"/>
            <w:tcBorders>
              <w:top w:val="nil"/>
              <w:left w:val="nil"/>
              <w:bottom w:val="nil"/>
              <w:right w:val="nil"/>
            </w:tcBorders>
          </w:tcPr>
          <w:p w14:paraId="40AF4D1F"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(0.0</w:t>
            </w:r>
            <w:r w:rsidR="00C479BA">
              <w:rPr>
                <w:rFonts w:ascii="Times New Roman" w:eastAsia="Times New Roman" w:hAnsi="Times New Roman" w:cs="Times New Roman"/>
                <w:sz w:val="22"/>
                <w:szCs w:val="22"/>
              </w:rPr>
              <w:t>8</w:t>
            </w:r>
            <w:r w:rsidR="00CD48D9">
              <w:rPr>
                <w:rFonts w:ascii="Times New Roman" w:eastAsia="Times New Roman" w:hAnsi="Times New Roman" w:cs="Times New Roman"/>
                <w:sz w:val="22"/>
                <w:szCs w:val="22"/>
              </w:rPr>
              <w:t>4</w:t>
            </w:r>
            <w:r w:rsidRPr="000E2451">
              <w:rPr>
                <w:rFonts w:ascii="Times New Roman" w:eastAsia="Times New Roman" w:hAnsi="Times New Roman" w:cs="Times New Roman"/>
                <w:sz w:val="22"/>
                <w:szCs w:val="22"/>
              </w:rPr>
              <w:t>)</w:t>
            </w:r>
          </w:p>
        </w:tc>
      </w:tr>
      <w:tr w:rsidR="001C426E" w:rsidRPr="000E2451" w14:paraId="7963C580" w14:textId="77777777">
        <w:trPr>
          <w:jc w:val="center"/>
        </w:trPr>
        <w:tc>
          <w:tcPr>
            <w:tcW w:w="4251" w:type="dxa"/>
            <w:tcBorders>
              <w:top w:val="nil"/>
              <w:left w:val="nil"/>
              <w:bottom w:val="nil"/>
              <w:right w:val="nil"/>
            </w:tcBorders>
          </w:tcPr>
          <w:p w14:paraId="33072081"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Ln public health expenditure</w:t>
            </w:r>
          </w:p>
        </w:tc>
        <w:tc>
          <w:tcPr>
            <w:tcW w:w="1584" w:type="dxa"/>
            <w:tcBorders>
              <w:top w:val="nil"/>
              <w:left w:val="nil"/>
              <w:bottom w:val="nil"/>
              <w:right w:val="nil"/>
            </w:tcBorders>
          </w:tcPr>
          <w:p w14:paraId="3376C8EF"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-0.126</w:t>
            </w:r>
          </w:p>
        </w:tc>
        <w:tc>
          <w:tcPr>
            <w:tcW w:w="1872" w:type="dxa"/>
            <w:tcBorders>
              <w:top w:val="nil"/>
              <w:left w:val="nil"/>
              <w:bottom w:val="nil"/>
              <w:right w:val="nil"/>
            </w:tcBorders>
          </w:tcPr>
          <w:p w14:paraId="6F074B05"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0.033</w:t>
            </w:r>
          </w:p>
        </w:tc>
        <w:tc>
          <w:tcPr>
            <w:tcW w:w="1872" w:type="dxa"/>
            <w:tcBorders>
              <w:top w:val="nil"/>
              <w:left w:val="nil"/>
              <w:bottom w:val="nil"/>
              <w:right w:val="nil"/>
            </w:tcBorders>
          </w:tcPr>
          <w:p w14:paraId="05D5E2A0"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0.116</w:t>
            </w:r>
          </w:p>
        </w:tc>
      </w:tr>
      <w:tr w:rsidR="001C426E" w:rsidRPr="000E2451" w14:paraId="65662599" w14:textId="77777777">
        <w:trPr>
          <w:jc w:val="center"/>
        </w:trPr>
        <w:tc>
          <w:tcPr>
            <w:tcW w:w="4251" w:type="dxa"/>
            <w:tcBorders>
              <w:top w:val="nil"/>
              <w:left w:val="nil"/>
              <w:bottom w:val="nil"/>
              <w:right w:val="nil"/>
            </w:tcBorders>
          </w:tcPr>
          <w:p w14:paraId="039CB43E"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p>
        </w:tc>
        <w:tc>
          <w:tcPr>
            <w:tcW w:w="1584" w:type="dxa"/>
            <w:tcBorders>
              <w:top w:val="nil"/>
              <w:left w:val="nil"/>
              <w:bottom w:val="nil"/>
              <w:right w:val="nil"/>
            </w:tcBorders>
          </w:tcPr>
          <w:p w14:paraId="2DBB6200"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(0.127)</w:t>
            </w:r>
          </w:p>
        </w:tc>
        <w:tc>
          <w:tcPr>
            <w:tcW w:w="1872" w:type="dxa"/>
            <w:tcBorders>
              <w:top w:val="nil"/>
              <w:left w:val="nil"/>
              <w:bottom w:val="nil"/>
              <w:right w:val="nil"/>
            </w:tcBorders>
          </w:tcPr>
          <w:p w14:paraId="08AB6BAD"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(0.127)</w:t>
            </w:r>
          </w:p>
        </w:tc>
        <w:tc>
          <w:tcPr>
            <w:tcW w:w="1872" w:type="dxa"/>
            <w:tcBorders>
              <w:top w:val="nil"/>
              <w:left w:val="nil"/>
              <w:bottom w:val="nil"/>
              <w:right w:val="nil"/>
            </w:tcBorders>
          </w:tcPr>
          <w:p w14:paraId="334E7EE0"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(0.121)</w:t>
            </w:r>
          </w:p>
        </w:tc>
      </w:tr>
      <w:tr w:rsidR="001C426E" w:rsidRPr="000E2451" w14:paraId="5D96464B" w14:textId="77777777">
        <w:trPr>
          <w:jc w:val="center"/>
        </w:trPr>
        <w:tc>
          <w:tcPr>
            <w:tcW w:w="4251" w:type="dxa"/>
            <w:tcBorders>
              <w:top w:val="nil"/>
              <w:left w:val="nil"/>
              <w:bottom w:val="nil"/>
              <w:right w:val="nil"/>
            </w:tcBorders>
          </w:tcPr>
          <w:p w14:paraId="1ABD50B3"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Ln GDP</w:t>
            </w:r>
          </w:p>
        </w:tc>
        <w:tc>
          <w:tcPr>
            <w:tcW w:w="1584" w:type="dxa"/>
            <w:tcBorders>
              <w:top w:val="nil"/>
              <w:left w:val="nil"/>
              <w:bottom w:val="nil"/>
              <w:right w:val="nil"/>
            </w:tcBorders>
          </w:tcPr>
          <w:p w14:paraId="6BCDAF01"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0.627**</w:t>
            </w:r>
          </w:p>
        </w:tc>
        <w:tc>
          <w:tcPr>
            <w:tcW w:w="1872" w:type="dxa"/>
            <w:tcBorders>
              <w:top w:val="nil"/>
              <w:left w:val="nil"/>
              <w:bottom w:val="nil"/>
              <w:right w:val="nil"/>
            </w:tcBorders>
          </w:tcPr>
          <w:p w14:paraId="4CBF9A3F"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0.510**</w:t>
            </w:r>
          </w:p>
        </w:tc>
        <w:tc>
          <w:tcPr>
            <w:tcW w:w="1872" w:type="dxa"/>
            <w:tcBorders>
              <w:top w:val="nil"/>
              <w:left w:val="nil"/>
              <w:bottom w:val="nil"/>
              <w:right w:val="nil"/>
            </w:tcBorders>
          </w:tcPr>
          <w:p w14:paraId="6D8D377A"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0.460*</w:t>
            </w:r>
          </w:p>
        </w:tc>
      </w:tr>
      <w:tr w:rsidR="001C426E" w:rsidRPr="000E2451" w14:paraId="3CEA8B99" w14:textId="77777777">
        <w:trPr>
          <w:jc w:val="center"/>
        </w:trPr>
        <w:tc>
          <w:tcPr>
            <w:tcW w:w="4251" w:type="dxa"/>
            <w:tcBorders>
              <w:top w:val="nil"/>
              <w:left w:val="nil"/>
              <w:bottom w:val="nil"/>
              <w:right w:val="nil"/>
            </w:tcBorders>
          </w:tcPr>
          <w:p w14:paraId="69139890"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p>
        </w:tc>
        <w:tc>
          <w:tcPr>
            <w:tcW w:w="1584" w:type="dxa"/>
            <w:tcBorders>
              <w:top w:val="nil"/>
              <w:left w:val="nil"/>
              <w:bottom w:val="nil"/>
              <w:right w:val="nil"/>
            </w:tcBorders>
          </w:tcPr>
          <w:p w14:paraId="2FD0CD0A"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(0.256)</w:t>
            </w:r>
          </w:p>
        </w:tc>
        <w:tc>
          <w:tcPr>
            <w:tcW w:w="1872" w:type="dxa"/>
            <w:tcBorders>
              <w:top w:val="nil"/>
              <w:left w:val="nil"/>
              <w:bottom w:val="nil"/>
              <w:right w:val="nil"/>
            </w:tcBorders>
          </w:tcPr>
          <w:p w14:paraId="7856D4B7"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(0.253)</w:t>
            </w:r>
          </w:p>
        </w:tc>
        <w:tc>
          <w:tcPr>
            <w:tcW w:w="1872" w:type="dxa"/>
            <w:tcBorders>
              <w:top w:val="nil"/>
              <w:left w:val="nil"/>
              <w:bottom w:val="nil"/>
              <w:right w:val="nil"/>
            </w:tcBorders>
          </w:tcPr>
          <w:p w14:paraId="362B79C0"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(0.249)</w:t>
            </w:r>
          </w:p>
        </w:tc>
      </w:tr>
      <w:tr w:rsidR="001C426E" w:rsidRPr="000E2451" w14:paraId="6D590C06" w14:textId="77777777">
        <w:trPr>
          <w:jc w:val="center"/>
        </w:trPr>
        <w:tc>
          <w:tcPr>
            <w:tcW w:w="4251" w:type="dxa"/>
            <w:tcBorders>
              <w:top w:val="nil"/>
              <w:left w:val="nil"/>
              <w:bottom w:val="nil"/>
              <w:right w:val="nil"/>
            </w:tcBorders>
          </w:tcPr>
          <w:p w14:paraId="0CFA460D"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Ln Government expenditure</w:t>
            </w:r>
          </w:p>
        </w:tc>
        <w:tc>
          <w:tcPr>
            <w:tcW w:w="1584" w:type="dxa"/>
            <w:tcBorders>
              <w:top w:val="nil"/>
              <w:left w:val="nil"/>
              <w:bottom w:val="nil"/>
              <w:right w:val="nil"/>
            </w:tcBorders>
          </w:tcPr>
          <w:p w14:paraId="785E0F8D"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0.541***</w:t>
            </w:r>
          </w:p>
        </w:tc>
        <w:tc>
          <w:tcPr>
            <w:tcW w:w="1872" w:type="dxa"/>
            <w:tcBorders>
              <w:top w:val="nil"/>
              <w:left w:val="nil"/>
              <w:bottom w:val="nil"/>
              <w:right w:val="nil"/>
            </w:tcBorders>
          </w:tcPr>
          <w:p w14:paraId="4B878238"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0.469***</w:t>
            </w:r>
          </w:p>
        </w:tc>
        <w:tc>
          <w:tcPr>
            <w:tcW w:w="1872" w:type="dxa"/>
            <w:tcBorders>
              <w:top w:val="nil"/>
              <w:left w:val="nil"/>
              <w:bottom w:val="nil"/>
              <w:right w:val="nil"/>
            </w:tcBorders>
          </w:tcPr>
          <w:p w14:paraId="289B6AB3"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0.385**</w:t>
            </w:r>
          </w:p>
        </w:tc>
      </w:tr>
      <w:tr w:rsidR="001C426E" w:rsidRPr="000E2451" w14:paraId="51C8293C" w14:textId="77777777">
        <w:trPr>
          <w:jc w:val="center"/>
        </w:trPr>
        <w:tc>
          <w:tcPr>
            <w:tcW w:w="4251" w:type="dxa"/>
            <w:tcBorders>
              <w:top w:val="nil"/>
              <w:left w:val="nil"/>
              <w:bottom w:val="nil"/>
              <w:right w:val="nil"/>
            </w:tcBorders>
          </w:tcPr>
          <w:p w14:paraId="0C2F2876"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p>
        </w:tc>
        <w:tc>
          <w:tcPr>
            <w:tcW w:w="1584" w:type="dxa"/>
            <w:tcBorders>
              <w:top w:val="nil"/>
              <w:left w:val="nil"/>
              <w:bottom w:val="nil"/>
              <w:right w:val="nil"/>
            </w:tcBorders>
          </w:tcPr>
          <w:p w14:paraId="082FE819"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(0.179)</w:t>
            </w:r>
          </w:p>
        </w:tc>
        <w:tc>
          <w:tcPr>
            <w:tcW w:w="1872" w:type="dxa"/>
            <w:tcBorders>
              <w:top w:val="nil"/>
              <w:left w:val="nil"/>
              <w:bottom w:val="nil"/>
              <w:right w:val="nil"/>
            </w:tcBorders>
          </w:tcPr>
          <w:p w14:paraId="30E7C786"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(0.174)</w:t>
            </w:r>
          </w:p>
        </w:tc>
        <w:tc>
          <w:tcPr>
            <w:tcW w:w="1872" w:type="dxa"/>
            <w:tcBorders>
              <w:top w:val="nil"/>
              <w:left w:val="nil"/>
              <w:bottom w:val="nil"/>
              <w:right w:val="nil"/>
            </w:tcBorders>
          </w:tcPr>
          <w:p w14:paraId="46DE1B3F"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(0.173)</w:t>
            </w:r>
          </w:p>
        </w:tc>
      </w:tr>
      <w:tr w:rsidR="001C426E" w:rsidRPr="000E2451" w14:paraId="479C77D5" w14:textId="77777777">
        <w:trPr>
          <w:jc w:val="center"/>
        </w:trPr>
        <w:tc>
          <w:tcPr>
            <w:tcW w:w="4251" w:type="dxa"/>
            <w:tcBorders>
              <w:top w:val="nil"/>
              <w:left w:val="nil"/>
              <w:bottom w:val="nil"/>
              <w:right w:val="nil"/>
            </w:tcBorders>
          </w:tcPr>
          <w:p w14:paraId="06E2CB7A"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Ln Population (/100k)</w:t>
            </w:r>
          </w:p>
        </w:tc>
        <w:tc>
          <w:tcPr>
            <w:tcW w:w="1584" w:type="dxa"/>
            <w:tcBorders>
              <w:top w:val="nil"/>
              <w:left w:val="nil"/>
              <w:bottom w:val="nil"/>
              <w:right w:val="nil"/>
            </w:tcBorders>
          </w:tcPr>
          <w:p w14:paraId="45A4B148"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-0.558</w:t>
            </w:r>
          </w:p>
        </w:tc>
        <w:tc>
          <w:tcPr>
            <w:tcW w:w="1872" w:type="dxa"/>
            <w:tcBorders>
              <w:top w:val="nil"/>
              <w:left w:val="nil"/>
              <w:bottom w:val="nil"/>
              <w:right w:val="nil"/>
            </w:tcBorders>
          </w:tcPr>
          <w:p w14:paraId="5A31E634"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-0.385</w:t>
            </w:r>
          </w:p>
        </w:tc>
        <w:tc>
          <w:tcPr>
            <w:tcW w:w="1872" w:type="dxa"/>
            <w:tcBorders>
              <w:top w:val="nil"/>
              <w:left w:val="nil"/>
              <w:bottom w:val="nil"/>
              <w:right w:val="nil"/>
            </w:tcBorders>
          </w:tcPr>
          <w:p w14:paraId="47594AEE"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-0.177</w:t>
            </w:r>
          </w:p>
        </w:tc>
      </w:tr>
      <w:tr w:rsidR="001C426E" w:rsidRPr="000E2451" w14:paraId="47165E66" w14:textId="77777777">
        <w:trPr>
          <w:jc w:val="center"/>
        </w:trPr>
        <w:tc>
          <w:tcPr>
            <w:tcW w:w="4251" w:type="dxa"/>
            <w:tcBorders>
              <w:top w:val="nil"/>
              <w:left w:val="nil"/>
              <w:bottom w:val="nil"/>
              <w:right w:val="nil"/>
            </w:tcBorders>
          </w:tcPr>
          <w:p w14:paraId="58AE0B62"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p>
        </w:tc>
        <w:tc>
          <w:tcPr>
            <w:tcW w:w="1584" w:type="dxa"/>
            <w:tcBorders>
              <w:top w:val="nil"/>
              <w:left w:val="nil"/>
              <w:bottom w:val="nil"/>
              <w:right w:val="nil"/>
            </w:tcBorders>
          </w:tcPr>
          <w:p w14:paraId="27F782BF"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(0.529)</w:t>
            </w:r>
          </w:p>
        </w:tc>
        <w:tc>
          <w:tcPr>
            <w:tcW w:w="1872" w:type="dxa"/>
            <w:tcBorders>
              <w:top w:val="nil"/>
              <w:left w:val="nil"/>
              <w:bottom w:val="nil"/>
              <w:right w:val="nil"/>
            </w:tcBorders>
          </w:tcPr>
          <w:p w14:paraId="5D5FB28D"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(0.494)</w:t>
            </w:r>
          </w:p>
        </w:tc>
        <w:tc>
          <w:tcPr>
            <w:tcW w:w="1872" w:type="dxa"/>
            <w:tcBorders>
              <w:top w:val="nil"/>
              <w:left w:val="nil"/>
              <w:bottom w:val="nil"/>
              <w:right w:val="nil"/>
            </w:tcBorders>
          </w:tcPr>
          <w:p w14:paraId="3B51AAE8"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(0.489)</w:t>
            </w:r>
          </w:p>
        </w:tc>
      </w:tr>
      <w:tr w:rsidR="001C426E" w:rsidRPr="000E2451" w14:paraId="4E8BB2DB" w14:textId="77777777">
        <w:trPr>
          <w:jc w:val="center"/>
        </w:trPr>
        <w:tc>
          <w:tcPr>
            <w:tcW w:w="4251" w:type="dxa"/>
            <w:tcBorders>
              <w:top w:val="nil"/>
              <w:left w:val="nil"/>
              <w:bottom w:val="nil"/>
              <w:right w:val="nil"/>
            </w:tcBorders>
          </w:tcPr>
          <w:p w14:paraId="403039E9"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Ln Population aged &gt; 65</w:t>
            </w:r>
          </w:p>
        </w:tc>
        <w:tc>
          <w:tcPr>
            <w:tcW w:w="1584" w:type="dxa"/>
            <w:tcBorders>
              <w:top w:val="nil"/>
              <w:left w:val="nil"/>
              <w:bottom w:val="nil"/>
              <w:right w:val="nil"/>
            </w:tcBorders>
          </w:tcPr>
          <w:p w14:paraId="152A64BB"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-0.011</w:t>
            </w:r>
          </w:p>
        </w:tc>
        <w:tc>
          <w:tcPr>
            <w:tcW w:w="1872" w:type="dxa"/>
            <w:tcBorders>
              <w:top w:val="nil"/>
              <w:left w:val="nil"/>
              <w:bottom w:val="nil"/>
              <w:right w:val="nil"/>
            </w:tcBorders>
          </w:tcPr>
          <w:p w14:paraId="16671F8B"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0.018</w:t>
            </w:r>
          </w:p>
        </w:tc>
        <w:tc>
          <w:tcPr>
            <w:tcW w:w="1872" w:type="dxa"/>
            <w:tcBorders>
              <w:top w:val="nil"/>
              <w:left w:val="nil"/>
              <w:bottom w:val="nil"/>
              <w:right w:val="nil"/>
            </w:tcBorders>
          </w:tcPr>
          <w:p w14:paraId="0D31E786"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0.090</w:t>
            </w:r>
          </w:p>
        </w:tc>
      </w:tr>
      <w:tr w:rsidR="001C426E" w:rsidRPr="000E2451" w14:paraId="77D9257B" w14:textId="77777777">
        <w:trPr>
          <w:jc w:val="center"/>
        </w:trPr>
        <w:tc>
          <w:tcPr>
            <w:tcW w:w="4251" w:type="dxa"/>
            <w:tcBorders>
              <w:top w:val="nil"/>
              <w:left w:val="nil"/>
              <w:bottom w:val="nil"/>
              <w:right w:val="nil"/>
            </w:tcBorders>
          </w:tcPr>
          <w:p w14:paraId="605957B8"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p>
        </w:tc>
        <w:tc>
          <w:tcPr>
            <w:tcW w:w="1584" w:type="dxa"/>
            <w:tcBorders>
              <w:top w:val="nil"/>
              <w:left w:val="nil"/>
              <w:bottom w:val="nil"/>
              <w:right w:val="nil"/>
            </w:tcBorders>
          </w:tcPr>
          <w:p w14:paraId="5E8717B7"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(0.169)</w:t>
            </w:r>
          </w:p>
        </w:tc>
        <w:tc>
          <w:tcPr>
            <w:tcW w:w="1872" w:type="dxa"/>
            <w:tcBorders>
              <w:top w:val="nil"/>
              <w:left w:val="nil"/>
              <w:bottom w:val="nil"/>
              <w:right w:val="nil"/>
            </w:tcBorders>
          </w:tcPr>
          <w:p w14:paraId="7FA5BA91"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(0.170)</w:t>
            </w:r>
          </w:p>
        </w:tc>
        <w:tc>
          <w:tcPr>
            <w:tcW w:w="1872" w:type="dxa"/>
            <w:tcBorders>
              <w:top w:val="nil"/>
              <w:left w:val="nil"/>
              <w:bottom w:val="nil"/>
              <w:right w:val="nil"/>
            </w:tcBorders>
          </w:tcPr>
          <w:p w14:paraId="13F34CE2"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(0.169)</w:t>
            </w:r>
          </w:p>
        </w:tc>
      </w:tr>
      <w:tr w:rsidR="001C426E" w:rsidRPr="000E2451" w14:paraId="58F03D9B" w14:textId="77777777">
        <w:trPr>
          <w:jc w:val="center"/>
        </w:trPr>
        <w:tc>
          <w:tcPr>
            <w:tcW w:w="4251" w:type="dxa"/>
            <w:tcBorders>
              <w:top w:val="nil"/>
              <w:left w:val="nil"/>
              <w:bottom w:val="nil"/>
              <w:right w:val="nil"/>
            </w:tcBorders>
          </w:tcPr>
          <w:p w14:paraId="607FE667"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Ln Employment rate</w:t>
            </w:r>
          </w:p>
        </w:tc>
        <w:tc>
          <w:tcPr>
            <w:tcW w:w="1584" w:type="dxa"/>
            <w:tcBorders>
              <w:top w:val="nil"/>
              <w:left w:val="nil"/>
              <w:bottom w:val="nil"/>
              <w:right w:val="nil"/>
            </w:tcBorders>
          </w:tcPr>
          <w:p w14:paraId="25B6EE0A"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-0.439**</w:t>
            </w:r>
          </w:p>
        </w:tc>
        <w:tc>
          <w:tcPr>
            <w:tcW w:w="1872" w:type="dxa"/>
            <w:tcBorders>
              <w:top w:val="nil"/>
              <w:left w:val="nil"/>
              <w:bottom w:val="nil"/>
              <w:right w:val="nil"/>
            </w:tcBorders>
          </w:tcPr>
          <w:p w14:paraId="75D6A955"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-0.487***</w:t>
            </w:r>
          </w:p>
        </w:tc>
        <w:tc>
          <w:tcPr>
            <w:tcW w:w="1872" w:type="dxa"/>
            <w:tcBorders>
              <w:top w:val="nil"/>
              <w:left w:val="nil"/>
              <w:bottom w:val="nil"/>
              <w:right w:val="nil"/>
            </w:tcBorders>
          </w:tcPr>
          <w:p w14:paraId="472B0875"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-0.473***</w:t>
            </w:r>
          </w:p>
        </w:tc>
      </w:tr>
      <w:tr w:rsidR="001C426E" w:rsidRPr="000E2451" w14:paraId="7650FA61" w14:textId="77777777">
        <w:trPr>
          <w:jc w:val="center"/>
        </w:trPr>
        <w:tc>
          <w:tcPr>
            <w:tcW w:w="4251" w:type="dxa"/>
            <w:tcBorders>
              <w:top w:val="nil"/>
              <w:left w:val="nil"/>
              <w:bottom w:val="nil"/>
              <w:right w:val="nil"/>
            </w:tcBorders>
          </w:tcPr>
          <w:p w14:paraId="137839A1"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p>
        </w:tc>
        <w:tc>
          <w:tcPr>
            <w:tcW w:w="1584" w:type="dxa"/>
            <w:tcBorders>
              <w:top w:val="nil"/>
              <w:left w:val="nil"/>
              <w:bottom w:val="nil"/>
              <w:right w:val="nil"/>
            </w:tcBorders>
          </w:tcPr>
          <w:p w14:paraId="0647928F"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(0.194)</w:t>
            </w:r>
          </w:p>
        </w:tc>
        <w:tc>
          <w:tcPr>
            <w:tcW w:w="1872" w:type="dxa"/>
            <w:tcBorders>
              <w:top w:val="nil"/>
              <w:left w:val="nil"/>
              <w:bottom w:val="nil"/>
              <w:right w:val="nil"/>
            </w:tcBorders>
          </w:tcPr>
          <w:p w14:paraId="02CE2CDA"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(0.179)</w:t>
            </w:r>
          </w:p>
        </w:tc>
        <w:tc>
          <w:tcPr>
            <w:tcW w:w="1872" w:type="dxa"/>
            <w:tcBorders>
              <w:top w:val="nil"/>
              <w:left w:val="nil"/>
              <w:bottom w:val="nil"/>
              <w:right w:val="nil"/>
            </w:tcBorders>
          </w:tcPr>
          <w:p w14:paraId="3A9B63D0"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(0.179)</w:t>
            </w:r>
          </w:p>
        </w:tc>
      </w:tr>
      <w:tr w:rsidR="001C426E" w:rsidRPr="000E2451" w14:paraId="6B651C92" w14:textId="77777777">
        <w:trPr>
          <w:jc w:val="center"/>
        </w:trPr>
        <w:tc>
          <w:tcPr>
            <w:tcW w:w="4251" w:type="dxa"/>
            <w:tcBorders>
              <w:top w:val="nil"/>
              <w:left w:val="nil"/>
              <w:bottom w:val="nil"/>
              <w:right w:val="nil"/>
            </w:tcBorders>
          </w:tcPr>
          <w:p w14:paraId="1BA24796"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Ln Average income (per tax unit)</w:t>
            </w:r>
          </w:p>
        </w:tc>
        <w:tc>
          <w:tcPr>
            <w:tcW w:w="1584" w:type="dxa"/>
            <w:tcBorders>
              <w:top w:val="nil"/>
              <w:left w:val="nil"/>
              <w:bottom w:val="nil"/>
              <w:right w:val="nil"/>
            </w:tcBorders>
          </w:tcPr>
          <w:p w14:paraId="3BA11225"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0.451***</w:t>
            </w:r>
          </w:p>
        </w:tc>
        <w:tc>
          <w:tcPr>
            <w:tcW w:w="1872" w:type="dxa"/>
            <w:tcBorders>
              <w:top w:val="nil"/>
              <w:left w:val="nil"/>
              <w:bottom w:val="nil"/>
              <w:right w:val="nil"/>
            </w:tcBorders>
          </w:tcPr>
          <w:p w14:paraId="2D41E850"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0.560***</w:t>
            </w:r>
          </w:p>
        </w:tc>
        <w:tc>
          <w:tcPr>
            <w:tcW w:w="1872" w:type="dxa"/>
            <w:tcBorders>
              <w:top w:val="nil"/>
              <w:left w:val="nil"/>
              <w:bottom w:val="nil"/>
              <w:right w:val="nil"/>
            </w:tcBorders>
          </w:tcPr>
          <w:p w14:paraId="547A1ADB"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0.553***</w:t>
            </w:r>
          </w:p>
        </w:tc>
      </w:tr>
      <w:tr w:rsidR="001C426E" w:rsidRPr="000E2451" w14:paraId="53D04468" w14:textId="77777777">
        <w:trPr>
          <w:jc w:val="center"/>
        </w:trPr>
        <w:tc>
          <w:tcPr>
            <w:tcW w:w="4251" w:type="dxa"/>
            <w:tcBorders>
              <w:top w:val="nil"/>
              <w:left w:val="nil"/>
              <w:bottom w:val="nil"/>
              <w:right w:val="nil"/>
            </w:tcBorders>
          </w:tcPr>
          <w:p w14:paraId="21060527" w14:textId="77777777" w:rsidR="001C426E" w:rsidRPr="000E2451" w:rsidRDefault="001C426E" w:rsidP="00B605C7">
            <w:pPr>
              <w:widowControl w:val="0"/>
              <w:autoSpaceDE w:val="0"/>
              <w:autoSpaceDN w:val="0"/>
              <w:adjustRightInd w:val="0"/>
              <w:jc w:val="right"/>
              <w:rPr>
                <w:rFonts w:ascii="Times New Roman" w:hAnsi="Times New Roman" w:cs="Times New Roman"/>
                <w:sz w:val="22"/>
                <w:szCs w:val="22"/>
              </w:rPr>
            </w:pPr>
          </w:p>
        </w:tc>
        <w:tc>
          <w:tcPr>
            <w:tcW w:w="1584" w:type="dxa"/>
            <w:tcBorders>
              <w:top w:val="nil"/>
              <w:left w:val="nil"/>
              <w:bottom w:val="nil"/>
              <w:right w:val="nil"/>
            </w:tcBorders>
          </w:tcPr>
          <w:p w14:paraId="7F00633C"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(0.147)</w:t>
            </w:r>
          </w:p>
        </w:tc>
        <w:tc>
          <w:tcPr>
            <w:tcW w:w="1872" w:type="dxa"/>
            <w:tcBorders>
              <w:top w:val="nil"/>
              <w:left w:val="nil"/>
              <w:bottom w:val="nil"/>
              <w:right w:val="nil"/>
            </w:tcBorders>
          </w:tcPr>
          <w:p w14:paraId="4CEBEC3B"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(0.143)</w:t>
            </w:r>
          </w:p>
        </w:tc>
        <w:tc>
          <w:tcPr>
            <w:tcW w:w="1872" w:type="dxa"/>
            <w:tcBorders>
              <w:top w:val="nil"/>
              <w:left w:val="nil"/>
              <w:bottom w:val="nil"/>
              <w:right w:val="nil"/>
            </w:tcBorders>
          </w:tcPr>
          <w:p w14:paraId="11D281F5" w14:textId="77777777" w:rsidR="001C426E" w:rsidRPr="000E2451" w:rsidRDefault="001C426E">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(0.141)</w:t>
            </w:r>
          </w:p>
        </w:tc>
      </w:tr>
      <w:tr w:rsidR="00FE2D11" w:rsidRPr="000E2451" w14:paraId="21E89E96" w14:textId="77777777">
        <w:trPr>
          <w:jc w:val="center"/>
        </w:trPr>
        <w:tc>
          <w:tcPr>
            <w:tcW w:w="4251" w:type="dxa"/>
            <w:tcBorders>
              <w:top w:val="nil"/>
              <w:left w:val="nil"/>
              <w:bottom w:val="nil"/>
              <w:right w:val="nil"/>
            </w:tcBorders>
          </w:tcPr>
          <w:p w14:paraId="77DD30A8" w14:textId="77777777" w:rsidR="00FE2D11" w:rsidRPr="000E2451" w:rsidRDefault="00FE2D11" w:rsidP="00B605C7">
            <w:pPr>
              <w:widowControl w:val="0"/>
              <w:autoSpaceDE w:val="0"/>
              <w:autoSpaceDN w:val="0"/>
              <w:adjustRightInd w:val="0"/>
              <w:jc w:val="right"/>
              <w:rPr>
                <w:rFonts w:ascii="Times New Roman" w:hAnsi="Times New Roman" w:cs="Times New Roman"/>
                <w:sz w:val="22"/>
                <w:szCs w:val="22"/>
              </w:rPr>
            </w:pPr>
          </w:p>
        </w:tc>
        <w:tc>
          <w:tcPr>
            <w:tcW w:w="1584" w:type="dxa"/>
            <w:tcBorders>
              <w:top w:val="nil"/>
              <w:left w:val="nil"/>
              <w:bottom w:val="nil"/>
              <w:right w:val="nil"/>
            </w:tcBorders>
          </w:tcPr>
          <w:p w14:paraId="7BA085ED"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p>
        </w:tc>
        <w:tc>
          <w:tcPr>
            <w:tcW w:w="1872" w:type="dxa"/>
            <w:tcBorders>
              <w:top w:val="nil"/>
              <w:left w:val="nil"/>
              <w:bottom w:val="nil"/>
              <w:right w:val="nil"/>
            </w:tcBorders>
          </w:tcPr>
          <w:p w14:paraId="583EE0B0"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p>
        </w:tc>
        <w:tc>
          <w:tcPr>
            <w:tcW w:w="1872" w:type="dxa"/>
            <w:tcBorders>
              <w:top w:val="nil"/>
              <w:left w:val="nil"/>
              <w:bottom w:val="nil"/>
              <w:right w:val="nil"/>
            </w:tcBorders>
          </w:tcPr>
          <w:p w14:paraId="7F3EA90F"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p>
        </w:tc>
      </w:tr>
      <w:tr w:rsidR="00FE2D11" w:rsidRPr="000E2451" w14:paraId="6C9F3E93" w14:textId="77777777">
        <w:trPr>
          <w:jc w:val="center"/>
        </w:trPr>
        <w:tc>
          <w:tcPr>
            <w:tcW w:w="4251" w:type="dxa"/>
            <w:tcBorders>
              <w:top w:val="nil"/>
              <w:left w:val="nil"/>
              <w:bottom w:val="nil"/>
              <w:right w:val="nil"/>
            </w:tcBorders>
          </w:tcPr>
          <w:p w14:paraId="741896F6" w14:textId="77777777" w:rsidR="00FE2D11" w:rsidRPr="000E2451" w:rsidRDefault="00FE2D11"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Country FE</w:t>
            </w:r>
          </w:p>
        </w:tc>
        <w:tc>
          <w:tcPr>
            <w:tcW w:w="1584" w:type="dxa"/>
            <w:tcBorders>
              <w:top w:val="nil"/>
              <w:left w:val="nil"/>
              <w:bottom w:val="nil"/>
              <w:right w:val="nil"/>
            </w:tcBorders>
          </w:tcPr>
          <w:p w14:paraId="6E645D97"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r w:rsidRPr="000E2451">
              <w:rPr>
                <w:rFonts w:ascii="Times New Roman" w:hAnsi="Times New Roman" w:cs="Times New Roman"/>
                <w:sz w:val="22"/>
                <w:szCs w:val="22"/>
              </w:rPr>
              <w:t>X</w:t>
            </w:r>
          </w:p>
        </w:tc>
        <w:tc>
          <w:tcPr>
            <w:tcW w:w="1872" w:type="dxa"/>
            <w:tcBorders>
              <w:top w:val="nil"/>
              <w:left w:val="nil"/>
              <w:bottom w:val="nil"/>
              <w:right w:val="nil"/>
            </w:tcBorders>
          </w:tcPr>
          <w:p w14:paraId="1B675E5F"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r w:rsidRPr="000E2451">
              <w:rPr>
                <w:rFonts w:ascii="Times New Roman" w:hAnsi="Times New Roman" w:cs="Times New Roman"/>
                <w:sz w:val="22"/>
                <w:szCs w:val="22"/>
              </w:rPr>
              <w:t>X</w:t>
            </w:r>
          </w:p>
        </w:tc>
        <w:tc>
          <w:tcPr>
            <w:tcW w:w="1872" w:type="dxa"/>
            <w:tcBorders>
              <w:top w:val="nil"/>
              <w:left w:val="nil"/>
              <w:bottom w:val="nil"/>
              <w:right w:val="nil"/>
            </w:tcBorders>
          </w:tcPr>
          <w:p w14:paraId="679C275E"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r w:rsidRPr="000E2451">
              <w:rPr>
                <w:rFonts w:ascii="Times New Roman" w:hAnsi="Times New Roman" w:cs="Times New Roman"/>
                <w:sz w:val="22"/>
                <w:szCs w:val="22"/>
              </w:rPr>
              <w:t>X</w:t>
            </w:r>
          </w:p>
        </w:tc>
      </w:tr>
      <w:tr w:rsidR="00FE2D11" w:rsidRPr="000E2451" w14:paraId="327A3211" w14:textId="77777777">
        <w:trPr>
          <w:jc w:val="center"/>
        </w:trPr>
        <w:tc>
          <w:tcPr>
            <w:tcW w:w="4251" w:type="dxa"/>
            <w:tcBorders>
              <w:top w:val="nil"/>
              <w:left w:val="nil"/>
              <w:bottom w:val="nil"/>
              <w:right w:val="nil"/>
            </w:tcBorders>
          </w:tcPr>
          <w:p w14:paraId="34309027" w14:textId="77777777" w:rsidR="00FE2D11" w:rsidRPr="000E2451" w:rsidRDefault="00FE2D11" w:rsidP="00B605C7">
            <w:pPr>
              <w:widowControl w:val="0"/>
              <w:autoSpaceDE w:val="0"/>
              <w:autoSpaceDN w:val="0"/>
              <w:adjustRightInd w:val="0"/>
              <w:jc w:val="right"/>
              <w:rPr>
                <w:rFonts w:ascii="Times New Roman" w:hAnsi="Times New Roman" w:cs="Times New Roman"/>
                <w:sz w:val="22"/>
                <w:szCs w:val="22"/>
              </w:rPr>
            </w:pPr>
            <w:r w:rsidRPr="000E2451">
              <w:rPr>
                <w:rFonts w:ascii="Times New Roman" w:hAnsi="Times New Roman" w:cs="Times New Roman"/>
                <w:sz w:val="22"/>
                <w:szCs w:val="22"/>
              </w:rPr>
              <w:t>Year FE</w:t>
            </w:r>
          </w:p>
        </w:tc>
        <w:tc>
          <w:tcPr>
            <w:tcW w:w="1584" w:type="dxa"/>
            <w:tcBorders>
              <w:top w:val="nil"/>
              <w:left w:val="nil"/>
              <w:bottom w:val="nil"/>
              <w:right w:val="nil"/>
            </w:tcBorders>
          </w:tcPr>
          <w:p w14:paraId="461700A9"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r w:rsidRPr="000E2451">
              <w:rPr>
                <w:rFonts w:ascii="Times New Roman" w:hAnsi="Times New Roman" w:cs="Times New Roman"/>
                <w:sz w:val="22"/>
                <w:szCs w:val="22"/>
              </w:rPr>
              <w:t>X</w:t>
            </w:r>
          </w:p>
        </w:tc>
        <w:tc>
          <w:tcPr>
            <w:tcW w:w="1872" w:type="dxa"/>
            <w:tcBorders>
              <w:top w:val="nil"/>
              <w:left w:val="nil"/>
              <w:bottom w:val="nil"/>
              <w:right w:val="nil"/>
            </w:tcBorders>
          </w:tcPr>
          <w:p w14:paraId="7B811AB9"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r w:rsidRPr="000E2451">
              <w:rPr>
                <w:rFonts w:ascii="Times New Roman" w:hAnsi="Times New Roman" w:cs="Times New Roman"/>
                <w:sz w:val="22"/>
                <w:szCs w:val="22"/>
              </w:rPr>
              <w:t>X</w:t>
            </w:r>
          </w:p>
        </w:tc>
        <w:tc>
          <w:tcPr>
            <w:tcW w:w="1872" w:type="dxa"/>
            <w:tcBorders>
              <w:top w:val="nil"/>
              <w:left w:val="nil"/>
              <w:bottom w:val="nil"/>
              <w:right w:val="nil"/>
            </w:tcBorders>
          </w:tcPr>
          <w:p w14:paraId="22EB286A"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r w:rsidRPr="000E2451">
              <w:rPr>
                <w:rFonts w:ascii="Times New Roman" w:hAnsi="Times New Roman" w:cs="Times New Roman"/>
                <w:sz w:val="22"/>
                <w:szCs w:val="22"/>
              </w:rPr>
              <w:t>X</w:t>
            </w:r>
          </w:p>
        </w:tc>
      </w:tr>
      <w:tr w:rsidR="00FE2D11" w:rsidRPr="000E2451" w14:paraId="6EC4D23A" w14:textId="77777777">
        <w:trPr>
          <w:jc w:val="center"/>
        </w:trPr>
        <w:tc>
          <w:tcPr>
            <w:tcW w:w="4251" w:type="dxa"/>
            <w:tcBorders>
              <w:top w:val="nil"/>
              <w:left w:val="nil"/>
              <w:bottom w:val="single" w:sz="4" w:space="0" w:color="auto"/>
              <w:right w:val="nil"/>
            </w:tcBorders>
          </w:tcPr>
          <w:p w14:paraId="14DF7B90" w14:textId="77777777" w:rsidR="00FE2D11" w:rsidRPr="000E2451" w:rsidRDefault="00FE2D11">
            <w:pPr>
              <w:widowControl w:val="0"/>
              <w:autoSpaceDE w:val="0"/>
              <w:autoSpaceDN w:val="0"/>
              <w:adjustRightInd w:val="0"/>
              <w:rPr>
                <w:rFonts w:ascii="Times New Roman" w:hAnsi="Times New Roman" w:cs="Times New Roman"/>
                <w:b/>
                <w:sz w:val="22"/>
                <w:szCs w:val="22"/>
              </w:rPr>
            </w:pPr>
          </w:p>
        </w:tc>
        <w:tc>
          <w:tcPr>
            <w:tcW w:w="1584" w:type="dxa"/>
            <w:tcBorders>
              <w:top w:val="nil"/>
              <w:left w:val="nil"/>
              <w:bottom w:val="single" w:sz="4" w:space="0" w:color="auto"/>
              <w:right w:val="nil"/>
            </w:tcBorders>
          </w:tcPr>
          <w:p w14:paraId="5C93FE6E" w14:textId="77777777" w:rsidR="00FE2D11" w:rsidRPr="000E2451" w:rsidRDefault="00FE2D11">
            <w:pPr>
              <w:widowControl w:val="0"/>
              <w:autoSpaceDE w:val="0"/>
              <w:autoSpaceDN w:val="0"/>
              <w:adjustRightInd w:val="0"/>
              <w:jc w:val="center"/>
              <w:rPr>
                <w:rFonts w:ascii="Times New Roman" w:hAnsi="Times New Roman" w:cs="Times New Roman"/>
                <w:b/>
                <w:sz w:val="22"/>
                <w:szCs w:val="22"/>
              </w:rPr>
            </w:pPr>
          </w:p>
        </w:tc>
        <w:tc>
          <w:tcPr>
            <w:tcW w:w="1872" w:type="dxa"/>
            <w:tcBorders>
              <w:top w:val="nil"/>
              <w:left w:val="nil"/>
              <w:bottom w:val="single" w:sz="4" w:space="0" w:color="auto"/>
              <w:right w:val="nil"/>
            </w:tcBorders>
          </w:tcPr>
          <w:p w14:paraId="3494A7DD"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p>
        </w:tc>
        <w:tc>
          <w:tcPr>
            <w:tcW w:w="1872" w:type="dxa"/>
            <w:tcBorders>
              <w:top w:val="nil"/>
              <w:left w:val="nil"/>
              <w:bottom w:val="single" w:sz="4" w:space="0" w:color="auto"/>
              <w:right w:val="nil"/>
            </w:tcBorders>
          </w:tcPr>
          <w:p w14:paraId="45F8A453" w14:textId="77777777" w:rsidR="00FE2D11" w:rsidRPr="000E2451" w:rsidRDefault="00FE2D11">
            <w:pPr>
              <w:widowControl w:val="0"/>
              <w:autoSpaceDE w:val="0"/>
              <w:autoSpaceDN w:val="0"/>
              <w:adjustRightInd w:val="0"/>
              <w:jc w:val="center"/>
              <w:rPr>
                <w:rFonts w:ascii="Times New Roman" w:hAnsi="Times New Roman" w:cs="Times New Roman"/>
                <w:sz w:val="22"/>
                <w:szCs w:val="22"/>
              </w:rPr>
            </w:pPr>
          </w:p>
        </w:tc>
      </w:tr>
      <w:tr w:rsidR="000E2451" w:rsidRPr="000E2451" w14:paraId="79DD490B" w14:textId="77777777" w:rsidTr="000E2451">
        <w:trPr>
          <w:trHeight w:val="215"/>
          <w:jc w:val="center"/>
        </w:trPr>
        <w:tc>
          <w:tcPr>
            <w:tcW w:w="4251" w:type="dxa"/>
            <w:tcBorders>
              <w:top w:val="single" w:sz="4" w:space="0" w:color="auto"/>
              <w:left w:val="nil"/>
              <w:bottom w:val="nil"/>
              <w:right w:val="nil"/>
            </w:tcBorders>
          </w:tcPr>
          <w:p w14:paraId="0FC1DF41" w14:textId="77777777" w:rsidR="000E2451" w:rsidRPr="000E2451" w:rsidRDefault="000E2451">
            <w:pPr>
              <w:widowControl w:val="0"/>
              <w:autoSpaceDE w:val="0"/>
              <w:autoSpaceDN w:val="0"/>
              <w:adjustRightInd w:val="0"/>
              <w:rPr>
                <w:rFonts w:ascii="Times New Roman" w:hAnsi="Times New Roman" w:cs="Times New Roman"/>
                <w:b/>
                <w:sz w:val="22"/>
                <w:szCs w:val="22"/>
              </w:rPr>
            </w:pPr>
            <w:r w:rsidRPr="000E2451">
              <w:rPr>
                <w:rFonts w:ascii="Times New Roman" w:hAnsi="Times New Roman" w:cs="Times New Roman"/>
                <w:b/>
                <w:sz w:val="22"/>
                <w:szCs w:val="22"/>
              </w:rPr>
              <w:t>Observations</w:t>
            </w:r>
          </w:p>
        </w:tc>
        <w:tc>
          <w:tcPr>
            <w:tcW w:w="1584" w:type="dxa"/>
            <w:tcBorders>
              <w:top w:val="single" w:sz="4" w:space="0" w:color="auto"/>
              <w:left w:val="nil"/>
              <w:bottom w:val="nil"/>
              <w:right w:val="nil"/>
            </w:tcBorders>
          </w:tcPr>
          <w:p w14:paraId="1B9E6E8C" w14:textId="77777777" w:rsidR="000E2451" w:rsidRPr="000E2451" w:rsidRDefault="000E2451">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265</w:t>
            </w:r>
          </w:p>
        </w:tc>
        <w:tc>
          <w:tcPr>
            <w:tcW w:w="1872" w:type="dxa"/>
            <w:tcBorders>
              <w:top w:val="single" w:sz="4" w:space="0" w:color="auto"/>
              <w:left w:val="nil"/>
              <w:bottom w:val="nil"/>
              <w:right w:val="nil"/>
            </w:tcBorders>
          </w:tcPr>
          <w:p w14:paraId="2803B199" w14:textId="77777777" w:rsidR="000E2451" w:rsidRPr="000E2451" w:rsidRDefault="000E2451">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258</w:t>
            </w:r>
          </w:p>
        </w:tc>
        <w:tc>
          <w:tcPr>
            <w:tcW w:w="1872" w:type="dxa"/>
            <w:tcBorders>
              <w:top w:val="single" w:sz="4" w:space="0" w:color="auto"/>
              <w:left w:val="nil"/>
              <w:bottom w:val="nil"/>
              <w:right w:val="nil"/>
            </w:tcBorders>
          </w:tcPr>
          <w:p w14:paraId="30C11206" w14:textId="77777777" w:rsidR="000E2451" w:rsidRPr="000E2451" w:rsidRDefault="000E2451">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255</w:t>
            </w:r>
          </w:p>
        </w:tc>
      </w:tr>
      <w:tr w:rsidR="000E2451" w:rsidRPr="000E2451" w14:paraId="1C16120E" w14:textId="77777777">
        <w:trPr>
          <w:jc w:val="center"/>
        </w:trPr>
        <w:tc>
          <w:tcPr>
            <w:tcW w:w="4251" w:type="dxa"/>
            <w:tcBorders>
              <w:top w:val="nil"/>
              <w:left w:val="nil"/>
              <w:bottom w:val="double" w:sz="4" w:space="0" w:color="auto"/>
              <w:right w:val="nil"/>
            </w:tcBorders>
          </w:tcPr>
          <w:p w14:paraId="3948152C" w14:textId="77777777" w:rsidR="000E2451" w:rsidRPr="000E2451" w:rsidRDefault="000E2451">
            <w:pPr>
              <w:widowControl w:val="0"/>
              <w:autoSpaceDE w:val="0"/>
              <w:autoSpaceDN w:val="0"/>
              <w:adjustRightInd w:val="0"/>
              <w:rPr>
                <w:rFonts w:ascii="Times New Roman" w:hAnsi="Times New Roman" w:cs="Times New Roman"/>
                <w:b/>
                <w:sz w:val="22"/>
                <w:szCs w:val="22"/>
              </w:rPr>
            </w:pPr>
            <w:r w:rsidRPr="000E2451">
              <w:rPr>
                <w:rFonts w:ascii="Times New Roman" w:hAnsi="Times New Roman" w:cs="Times New Roman"/>
                <w:b/>
                <w:sz w:val="22"/>
                <w:szCs w:val="22"/>
              </w:rPr>
              <w:t>R-squared</w:t>
            </w:r>
          </w:p>
        </w:tc>
        <w:tc>
          <w:tcPr>
            <w:tcW w:w="1584" w:type="dxa"/>
            <w:tcBorders>
              <w:top w:val="nil"/>
              <w:left w:val="nil"/>
              <w:bottom w:val="double" w:sz="4" w:space="0" w:color="auto"/>
              <w:right w:val="nil"/>
            </w:tcBorders>
          </w:tcPr>
          <w:p w14:paraId="1D60FB4C" w14:textId="77777777" w:rsidR="000E2451" w:rsidRPr="000E2451" w:rsidRDefault="000E2451">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0.998</w:t>
            </w:r>
          </w:p>
        </w:tc>
        <w:tc>
          <w:tcPr>
            <w:tcW w:w="1872" w:type="dxa"/>
            <w:tcBorders>
              <w:top w:val="nil"/>
              <w:left w:val="nil"/>
              <w:bottom w:val="double" w:sz="4" w:space="0" w:color="auto"/>
              <w:right w:val="nil"/>
            </w:tcBorders>
          </w:tcPr>
          <w:p w14:paraId="2C9562EF" w14:textId="77777777" w:rsidR="000E2451" w:rsidRPr="000E2451" w:rsidRDefault="000E2451">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0.998</w:t>
            </w:r>
          </w:p>
        </w:tc>
        <w:tc>
          <w:tcPr>
            <w:tcW w:w="1872" w:type="dxa"/>
            <w:tcBorders>
              <w:top w:val="nil"/>
              <w:left w:val="nil"/>
              <w:bottom w:val="double" w:sz="4" w:space="0" w:color="auto"/>
              <w:right w:val="nil"/>
            </w:tcBorders>
          </w:tcPr>
          <w:p w14:paraId="7A0139DF" w14:textId="77777777" w:rsidR="000E2451" w:rsidRPr="000E2451" w:rsidRDefault="000E2451">
            <w:pPr>
              <w:widowControl w:val="0"/>
              <w:autoSpaceDE w:val="0"/>
              <w:autoSpaceDN w:val="0"/>
              <w:adjustRightInd w:val="0"/>
              <w:jc w:val="center"/>
              <w:rPr>
                <w:rFonts w:ascii="Times New Roman" w:hAnsi="Times New Roman" w:cs="Times New Roman"/>
                <w:sz w:val="22"/>
                <w:szCs w:val="22"/>
              </w:rPr>
            </w:pPr>
            <w:r w:rsidRPr="000E2451">
              <w:rPr>
                <w:rFonts w:ascii="Times New Roman" w:eastAsia="Times New Roman" w:hAnsi="Times New Roman" w:cs="Times New Roman"/>
                <w:sz w:val="22"/>
                <w:szCs w:val="22"/>
              </w:rPr>
              <w:t>0.998</w:t>
            </w:r>
          </w:p>
        </w:tc>
      </w:tr>
    </w:tbl>
    <w:p w14:paraId="15BF683F" w14:textId="77777777" w:rsidR="00FE2D11" w:rsidRPr="006D4FEA" w:rsidRDefault="00FE2D11" w:rsidP="00B605C7">
      <w:pPr>
        <w:rPr>
          <w:rFonts w:ascii="Times New Roman" w:hAnsi="Times New Roman" w:cs="Times New Roman"/>
          <w:bCs/>
          <w:sz w:val="18"/>
          <w:szCs w:val="18"/>
        </w:rPr>
      </w:pPr>
      <w:r w:rsidRPr="006D4FEA">
        <w:rPr>
          <w:rFonts w:ascii="Times New Roman" w:hAnsi="Times New Roman" w:cs="Times New Roman"/>
          <w:bCs/>
          <w:sz w:val="18"/>
          <w:szCs w:val="18"/>
        </w:rPr>
        <w:t>[a] Robust standard errors in parentheses, *** p&lt;0.01, ** p&lt;0.05, * p&lt;0.1</w:t>
      </w:r>
    </w:p>
    <w:p w14:paraId="6B0F0576" w14:textId="77777777" w:rsidR="00FE2D11" w:rsidRPr="006D4FEA" w:rsidRDefault="00FE2D11" w:rsidP="00B605C7">
      <w:pPr>
        <w:rPr>
          <w:rFonts w:ascii="Times New Roman" w:hAnsi="Times New Roman" w:cs="Times New Roman"/>
          <w:bCs/>
          <w:sz w:val="18"/>
          <w:szCs w:val="18"/>
        </w:rPr>
      </w:pPr>
      <w:r w:rsidRPr="006D4FEA">
        <w:rPr>
          <w:rFonts w:ascii="Times New Roman" w:hAnsi="Times New Roman" w:cs="Times New Roman"/>
          <w:bCs/>
          <w:sz w:val="18"/>
          <w:szCs w:val="18"/>
        </w:rPr>
        <w:t xml:space="preserve">[b] Income shares from the World Wealth and Income Database. GDP, Government Expenditure, Private health expenditure, Population and Employment Rate from the OECD. Out-of-pocket health expenditure from the World Bank. </w:t>
      </w:r>
    </w:p>
    <w:p w14:paraId="3A517222" w14:textId="77777777" w:rsidR="00FE2D11" w:rsidRPr="00281079" w:rsidRDefault="00FE2D11" w:rsidP="00B605C7">
      <w:pPr>
        <w:rPr>
          <w:rFonts w:ascii="Times New Roman" w:hAnsi="Times New Roman"/>
          <w:bCs/>
          <w:sz w:val="18"/>
        </w:rPr>
      </w:pPr>
      <w:r w:rsidRPr="00281079">
        <w:rPr>
          <w:rFonts w:ascii="Times New Roman" w:hAnsi="Times New Roman"/>
          <w:bCs/>
          <w:sz w:val="18"/>
        </w:rPr>
        <w:t xml:space="preserve">[c] All values in 2010 $US </w:t>
      </w:r>
    </w:p>
    <w:p w14:paraId="61945C57" w14:textId="77777777" w:rsidR="00FE2D11" w:rsidRPr="00281079" w:rsidRDefault="00FE2D11" w:rsidP="00B605C7">
      <w:pPr>
        <w:rPr>
          <w:rFonts w:ascii="Times New Roman" w:hAnsi="Times New Roman"/>
          <w:bCs/>
          <w:sz w:val="18"/>
        </w:rPr>
      </w:pPr>
      <w:r w:rsidRPr="00281079">
        <w:rPr>
          <w:rFonts w:ascii="Times New Roman" w:hAnsi="Times New Roman"/>
          <w:bCs/>
          <w:sz w:val="18"/>
        </w:rPr>
        <w:t>[d] Unbalanced</w:t>
      </w:r>
      <w:r>
        <w:rPr>
          <w:rFonts w:ascii="Times New Roman" w:hAnsi="Times New Roman"/>
          <w:bCs/>
          <w:sz w:val="18"/>
        </w:rPr>
        <w:t xml:space="preserve"> panel, data available from 1995 to 2014</w:t>
      </w:r>
    </w:p>
    <w:p w14:paraId="13A75538" w14:textId="77777777" w:rsidR="00FE2D11" w:rsidRPr="00E3446E" w:rsidRDefault="00FE2D11" w:rsidP="00CC5CC1">
      <w:pPr>
        <w:widowControl w:val="0"/>
        <w:tabs>
          <w:tab w:val="left" w:pos="1134"/>
          <w:tab w:val="left" w:pos="7938"/>
          <w:tab w:val="left" w:pos="8222"/>
          <w:tab w:val="left" w:pos="8505"/>
        </w:tabs>
        <w:autoSpaceDE w:val="0"/>
        <w:autoSpaceDN w:val="0"/>
        <w:adjustRightInd w:val="0"/>
        <w:outlineLvl w:val="0"/>
        <w:rPr>
          <w:rFonts w:ascii="Times New Roman" w:hAnsi="Times New Roman" w:cs="Times New Roman Bold"/>
          <w:b/>
          <w:sz w:val="22"/>
          <w:lang w:val="en-US"/>
        </w:rPr>
      </w:pPr>
      <w:r w:rsidRPr="003C30E4">
        <w:rPr>
          <w:rFonts w:ascii="Times New Roman" w:hAnsi="Times New Roman"/>
          <w:b/>
          <w:sz w:val="22"/>
        </w:rPr>
        <w:br w:type="page"/>
      </w:r>
      <w:r w:rsidRPr="00E3446E">
        <w:rPr>
          <w:rFonts w:ascii="Times New Roman" w:hAnsi="Times New Roman" w:cs="Times New Roman Bold"/>
          <w:b/>
          <w:sz w:val="22"/>
          <w:lang w:val="en-US"/>
        </w:rPr>
        <w:lastRenderedPageBreak/>
        <w:t>Table 5 : Summ</w:t>
      </w:r>
      <w:r w:rsidR="00052AA1" w:rsidRPr="00E3446E">
        <w:rPr>
          <w:rFonts w:ascii="Times New Roman" w:hAnsi="Times New Roman" w:cs="Times New Roman Bold"/>
          <w:b/>
          <w:sz w:val="22"/>
          <w:lang w:val="en-US"/>
        </w:rPr>
        <w:t>ary statistics, Survey of Household Spending, Canada</w:t>
      </w:r>
    </w:p>
    <w:p w14:paraId="157CF021" w14:textId="77777777" w:rsidR="00FE2D11" w:rsidRDefault="00FE2D11" w:rsidP="00B605C7">
      <w:pPr>
        <w:widowControl w:val="0"/>
        <w:autoSpaceDE w:val="0"/>
        <w:autoSpaceDN w:val="0"/>
        <w:adjustRightInd w:val="0"/>
        <w:rPr>
          <w:rFonts w:ascii="Times New Roman" w:hAnsi="Times New Roman" w:cs="Times New Roman Bold"/>
          <w:b/>
          <w:sz w:val="22"/>
        </w:rPr>
      </w:pPr>
    </w:p>
    <w:tbl>
      <w:tblPr>
        <w:tblW w:w="9100" w:type="dxa"/>
        <w:jc w:val="center"/>
        <w:tblLayout w:type="fixed"/>
        <w:tblCellMar>
          <w:left w:w="75" w:type="dxa"/>
          <w:right w:w="75" w:type="dxa"/>
        </w:tblCellMar>
        <w:tblLook w:val="0000" w:firstRow="0" w:lastRow="0" w:firstColumn="0" w:lastColumn="0" w:noHBand="0" w:noVBand="0"/>
      </w:tblPr>
      <w:tblGrid>
        <w:gridCol w:w="4389"/>
        <w:gridCol w:w="997"/>
        <w:gridCol w:w="1410"/>
        <w:gridCol w:w="864"/>
        <w:gridCol w:w="1440"/>
      </w:tblGrid>
      <w:tr w:rsidR="00FE2D11" w:rsidRPr="008F722A" w14:paraId="2A31330A" w14:textId="77777777" w:rsidTr="005A0843">
        <w:trPr>
          <w:trHeight w:val="282"/>
          <w:jc w:val="center"/>
        </w:trPr>
        <w:tc>
          <w:tcPr>
            <w:tcW w:w="4389" w:type="dxa"/>
            <w:tcBorders>
              <w:top w:val="nil"/>
              <w:left w:val="nil"/>
              <w:bottom w:val="double" w:sz="4" w:space="0" w:color="auto"/>
              <w:right w:val="nil"/>
            </w:tcBorders>
          </w:tcPr>
          <w:p w14:paraId="7514F0F6" w14:textId="77777777" w:rsidR="00FE2D11" w:rsidRPr="00E3446E" w:rsidRDefault="00FE2D11">
            <w:pPr>
              <w:widowControl w:val="0"/>
              <w:autoSpaceDE w:val="0"/>
              <w:autoSpaceDN w:val="0"/>
              <w:adjustRightInd w:val="0"/>
              <w:rPr>
                <w:rFonts w:ascii="Times New Roman" w:hAnsi="Times New Roman" w:cs="Times New Roman Bold"/>
                <w:sz w:val="22"/>
                <w:lang w:val="en-US"/>
              </w:rPr>
            </w:pPr>
          </w:p>
        </w:tc>
        <w:tc>
          <w:tcPr>
            <w:tcW w:w="997" w:type="dxa"/>
            <w:tcBorders>
              <w:top w:val="nil"/>
              <w:left w:val="nil"/>
              <w:bottom w:val="double" w:sz="4" w:space="0" w:color="auto"/>
              <w:right w:val="nil"/>
            </w:tcBorders>
          </w:tcPr>
          <w:p w14:paraId="3F6CF871"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proofErr w:type="spellStart"/>
            <w:r w:rsidRPr="008F722A">
              <w:rPr>
                <w:rFonts w:ascii="Times New Roman" w:hAnsi="Times New Roman" w:cs="Times New Roman Bold"/>
                <w:sz w:val="22"/>
                <w:lang w:val="fr-FR"/>
              </w:rPr>
              <w:t>Mean</w:t>
            </w:r>
            <w:proofErr w:type="spellEnd"/>
          </w:p>
        </w:tc>
        <w:tc>
          <w:tcPr>
            <w:tcW w:w="1410" w:type="dxa"/>
            <w:tcBorders>
              <w:top w:val="nil"/>
              <w:left w:val="nil"/>
              <w:bottom w:val="double" w:sz="4" w:space="0" w:color="auto"/>
              <w:right w:val="nil"/>
            </w:tcBorders>
          </w:tcPr>
          <w:p w14:paraId="5283D041"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 xml:space="preserve">Stand. </w:t>
            </w:r>
            <w:proofErr w:type="spellStart"/>
            <w:r w:rsidRPr="008F722A">
              <w:rPr>
                <w:rFonts w:ascii="Times New Roman" w:hAnsi="Times New Roman" w:cs="Times New Roman Bold"/>
                <w:sz w:val="22"/>
                <w:lang w:val="fr-FR"/>
              </w:rPr>
              <w:t>dev</w:t>
            </w:r>
            <w:proofErr w:type="spellEnd"/>
            <w:r w:rsidRPr="008F722A">
              <w:rPr>
                <w:rFonts w:ascii="Times New Roman" w:hAnsi="Times New Roman" w:cs="Times New Roman Bold"/>
                <w:sz w:val="22"/>
                <w:lang w:val="fr-FR"/>
              </w:rPr>
              <w:t>.</w:t>
            </w:r>
          </w:p>
        </w:tc>
        <w:tc>
          <w:tcPr>
            <w:tcW w:w="864" w:type="dxa"/>
            <w:tcBorders>
              <w:top w:val="nil"/>
              <w:left w:val="nil"/>
              <w:bottom w:val="double" w:sz="4" w:space="0" w:color="auto"/>
              <w:right w:val="nil"/>
            </w:tcBorders>
          </w:tcPr>
          <w:p w14:paraId="25D93936"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Min</w:t>
            </w:r>
          </w:p>
        </w:tc>
        <w:tc>
          <w:tcPr>
            <w:tcW w:w="1440" w:type="dxa"/>
            <w:tcBorders>
              <w:top w:val="nil"/>
              <w:left w:val="nil"/>
              <w:bottom w:val="double" w:sz="4" w:space="0" w:color="auto"/>
              <w:right w:val="nil"/>
            </w:tcBorders>
          </w:tcPr>
          <w:p w14:paraId="1974A02A"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Max</w:t>
            </w:r>
          </w:p>
        </w:tc>
      </w:tr>
      <w:tr w:rsidR="00FE2D11" w:rsidRPr="008F722A" w14:paraId="463B3276" w14:textId="77777777">
        <w:trPr>
          <w:jc w:val="center"/>
        </w:trPr>
        <w:tc>
          <w:tcPr>
            <w:tcW w:w="4389" w:type="dxa"/>
            <w:tcBorders>
              <w:top w:val="double" w:sz="4" w:space="0" w:color="auto"/>
              <w:left w:val="nil"/>
              <w:bottom w:val="nil"/>
              <w:right w:val="nil"/>
            </w:tcBorders>
          </w:tcPr>
          <w:p w14:paraId="3C7FE0EC" w14:textId="77777777" w:rsidR="00FE2D11" w:rsidRPr="008F722A" w:rsidRDefault="00FE2D11">
            <w:pPr>
              <w:widowControl w:val="0"/>
              <w:autoSpaceDE w:val="0"/>
              <w:autoSpaceDN w:val="0"/>
              <w:adjustRightInd w:val="0"/>
              <w:rPr>
                <w:rFonts w:ascii="Times New Roman" w:hAnsi="Times New Roman" w:cs="Times New Roman Bold"/>
                <w:b/>
                <w:sz w:val="22"/>
                <w:lang w:val="fr-FR"/>
              </w:rPr>
            </w:pPr>
            <w:proofErr w:type="spellStart"/>
            <w:r w:rsidRPr="008F722A">
              <w:rPr>
                <w:rFonts w:ascii="Times New Roman" w:hAnsi="Times New Roman" w:cs="Times New Roman Bold"/>
                <w:b/>
                <w:sz w:val="22"/>
                <w:lang w:val="fr-FR"/>
              </w:rPr>
              <w:t>Household</w:t>
            </w:r>
            <w:proofErr w:type="spellEnd"/>
            <w:r w:rsidRPr="008F722A">
              <w:rPr>
                <w:rFonts w:ascii="Times New Roman" w:hAnsi="Times New Roman" w:cs="Times New Roman Bold"/>
                <w:b/>
                <w:sz w:val="22"/>
                <w:lang w:val="fr-FR"/>
              </w:rPr>
              <w:t xml:space="preserve"> </w:t>
            </w:r>
            <w:proofErr w:type="spellStart"/>
            <w:r w:rsidRPr="008F722A">
              <w:rPr>
                <w:rFonts w:ascii="Times New Roman" w:hAnsi="Times New Roman" w:cs="Times New Roman Bold"/>
                <w:b/>
                <w:sz w:val="22"/>
                <w:lang w:val="fr-FR"/>
              </w:rPr>
              <w:t>characteristics</w:t>
            </w:r>
            <w:proofErr w:type="spellEnd"/>
          </w:p>
        </w:tc>
        <w:tc>
          <w:tcPr>
            <w:tcW w:w="997" w:type="dxa"/>
            <w:tcBorders>
              <w:top w:val="double" w:sz="4" w:space="0" w:color="auto"/>
              <w:left w:val="nil"/>
              <w:bottom w:val="nil"/>
              <w:right w:val="nil"/>
            </w:tcBorders>
          </w:tcPr>
          <w:p w14:paraId="10E492DB"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p>
        </w:tc>
        <w:tc>
          <w:tcPr>
            <w:tcW w:w="1410" w:type="dxa"/>
            <w:tcBorders>
              <w:top w:val="double" w:sz="4" w:space="0" w:color="auto"/>
              <w:left w:val="nil"/>
              <w:bottom w:val="nil"/>
              <w:right w:val="nil"/>
            </w:tcBorders>
          </w:tcPr>
          <w:p w14:paraId="2BE29C39"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p>
        </w:tc>
        <w:tc>
          <w:tcPr>
            <w:tcW w:w="864" w:type="dxa"/>
            <w:tcBorders>
              <w:top w:val="double" w:sz="4" w:space="0" w:color="auto"/>
              <w:left w:val="nil"/>
              <w:bottom w:val="nil"/>
              <w:right w:val="nil"/>
            </w:tcBorders>
          </w:tcPr>
          <w:p w14:paraId="2F90072E"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p>
        </w:tc>
        <w:tc>
          <w:tcPr>
            <w:tcW w:w="1440" w:type="dxa"/>
            <w:tcBorders>
              <w:top w:val="double" w:sz="4" w:space="0" w:color="auto"/>
              <w:left w:val="nil"/>
              <w:bottom w:val="nil"/>
              <w:right w:val="nil"/>
            </w:tcBorders>
          </w:tcPr>
          <w:p w14:paraId="43704CB2"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p>
        </w:tc>
      </w:tr>
      <w:tr w:rsidR="00FE2D11" w:rsidRPr="008F722A" w14:paraId="34EB17D2" w14:textId="77777777">
        <w:trPr>
          <w:jc w:val="center"/>
        </w:trPr>
        <w:tc>
          <w:tcPr>
            <w:tcW w:w="4389" w:type="dxa"/>
            <w:tcBorders>
              <w:top w:val="nil"/>
              <w:left w:val="nil"/>
              <w:bottom w:val="nil"/>
              <w:right w:val="nil"/>
            </w:tcBorders>
          </w:tcPr>
          <w:p w14:paraId="680BC4FD"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sidRPr="008F722A">
              <w:rPr>
                <w:rFonts w:ascii="Times New Roman" w:hAnsi="Times New Roman" w:cs="Times New Roman Bold"/>
                <w:sz w:val="22"/>
                <w:lang w:val="fr-FR"/>
              </w:rPr>
              <w:t>Household</w:t>
            </w:r>
            <w:proofErr w:type="spellEnd"/>
            <w:r w:rsidRPr="008F722A">
              <w:rPr>
                <w:rFonts w:ascii="Times New Roman" w:hAnsi="Times New Roman" w:cs="Times New Roman Bold"/>
                <w:sz w:val="22"/>
                <w:lang w:val="fr-FR"/>
              </w:rPr>
              <w:t xml:space="preserve"> size </w:t>
            </w:r>
          </w:p>
        </w:tc>
        <w:tc>
          <w:tcPr>
            <w:tcW w:w="997" w:type="dxa"/>
            <w:tcBorders>
              <w:top w:val="nil"/>
              <w:left w:val="nil"/>
              <w:bottom w:val="nil"/>
              <w:right w:val="nil"/>
            </w:tcBorders>
          </w:tcPr>
          <w:p w14:paraId="2690FBDF"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2.539</w:t>
            </w:r>
          </w:p>
        </w:tc>
        <w:tc>
          <w:tcPr>
            <w:tcW w:w="1410" w:type="dxa"/>
            <w:tcBorders>
              <w:top w:val="nil"/>
              <w:left w:val="nil"/>
              <w:bottom w:val="nil"/>
              <w:right w:val="nil"/>
            </w:tcBorders>
          </w:tcPr>
          <w:p w14:paraId="231B6B50"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1.385</w:t>
            </w:r>
          </w:p>
        </w:tc>
        <w:tc>
          <w:tcPr>
            <w:tcW w:w="864" w:type="dxa"/>
            <w:tcBorders>
              <w:top w:val="nil"/>
              <w:left w:val="nil"/>
              <w:bottom w:val="nil"/>
              <w:right w:val="nil"/>
            </w:tcBorders>
          </w:tcPr>
          <w:p w14:paraId="6DF0929C"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p>
        </w:tc>
        <w:tc>
          <w:tcPr>
            <w:tcW w:w="1440" w:type="dxa"/>
            <w:tcBorders>
              <w:top w:val="nil"/>
              <w:left w:val="nil"/>
              <w:bottom w:val="nil"/>
              <w:right w:val="nil"/>
            </w:tcBorders>
          </w:tcPr>
          <w:p w14:paraId="41354D81"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6</w:t>
            </w:r>
          </w:p>
        </w:tc>
      </w:tr>
      <w:tr w:rsidR="00FE2D11" w:rsidRPr="008F722A" w14:paraId="0A610815" w14:textId="77777777">
        <w:trPr>
          <w:jc w:val="center"/>
        </w:trPr>
        <w:tc>
          <w:tcPr>
            <w:tcW w:w="4389" w:type="dxa"/>
            <w:tcBorders>
              <w:top w:val="nil"/>
              <w:left w:val="nil"/>
              <w:bottom w:val="nil"/>
              <w:right w:val="nil"/>
            </w:tcBorders>
          </w:tcPr>
          <w:p w14:paraId="39FD917B"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sidRPr="008F722A">
              <w:rPr>
                <w:rFonts w:ascii="Times New Roman" w:hAnsi="Times New Roman" w:cs="Times New Roman Bold"/>
                <w:sz w:val="22"/>
                <w:lang w:val="fr-FR"/>
              </w:rPr>
              <w:t>Number</w:t>
            </w:r>
            <w:proofErr w:type="spellEnd"/>
            <w:r w:rsidRPr="008F722A">
              <w:rPr>
                <w:rFonts w:ascii="Times New Roman" w:hAnsi="Times New Roman" w:cs="Times New Roman Bold"/>
                <w:sz w:val="22"/>
                <w:lang w:val="fr-FR"/>
              </w:rPr>
              <w:t xml:space="preserve"> of seniors 65+</w:t>
            </w:r>
          </w:p>
        </w:tc>
        <w:tc>
          <w:tcPr>
            <w:tcW w:w="997" w:type="dxa"/>
            <w:tcBorders>
              <w:top w:val="nil"/>
              <w:left w:val="nil"/>
              <w:bottom w:val="nil"/>
              <w:right w:val="nil"/>
            </w:tcBorders>
          </w:tcPr>
          <w:p w14:paraId="4FC2EC61"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0.317</w:t>
            </w:r>
          </w:p>
        </w:tc>
        <w:tc>
          <w:tcPr>
            <w:tcW w:w="1410" w:type="dxa"/>
            <w:tcBorders>
              <w:top w:val="nil"/>
              <w:left w:val="nil"/>
              <w:bottom w:val="nil"/>
              <w:right w:val="nil"/>
            </w:tcBorders>
          </w:tcPr>
          <w:p w14:paraId="03F33722"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0.615</w:t>
            </w:r>
          </w:p>
        </w:tc>
        <w:tc>
          <w:tcPr>
            <w:tcW w:w="864" w:type="dxa"/>
            <w:tcBorders>
              <w:top w:val="nil"/>
              <w:left w:val="nil"/>
              <w:bottom w:val="nil"/>
              <w:right w:val="nil"/>
            </w:tcBorders>
          </w:tcPr>
          <w:p w14:paraId="2496CA6D"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47E07E7B"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4</w:t>
            </w:r>
          </w:p>
        </w:tc>
      </w:tr>
      <w:tr w:rsidR="00FE2D11" w:rsidRPr="008F722A" w14:paraId="05BFDD0E" w14:textId="77777777">
        <w:trPr>
          <w:jc w:val="center"/>
        </w:trPr>
        <w:tc>
          <w:tcPr>
            <w:tcW w:w="4389" w:type="dxa"/>
            <w:tcBorders>
              <w:top w:val="nil"/>
              <w:left w:val="nil"/>
              <w:bottom w:val="nil"/>
              <w:right w:val="nil"/>
            </w:tcBorders>
          </w:tcPr>
          <w:p w14:paraId="477FC779"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sidRPr="008F722A">
              <w:rPr>
                <w:rFonts w:ascii="Times New Roman" w:hAnsi="Times New Roman" w:cs="Times New Roman Bold"/>
                <w:sz w:val="22"/>
                <w:lang w:val="fr-FR"/>
              </w:rPr>
              <w:t>Married</w:t>
            </w:r>
            <w:proofErr w:type="spellEnd"/>
            <w:r w:rsidRPr="008F722A">
              <w:rPr>
                <w:rFonts w:ascii="Times New Roman" w:hAnsi="Times New Roman" w:cs="Times New Roman Bold"/>
                <w:sz w:val="22"/>
                <w:lang w:val="fr-FR"/>
              </w:rPr>
              <w:t xml:space="preserve"> couple</w:t>
            </w:r>
          </w:p>
        </w:tc>
        <w:tc>
          <w:tcPr>
            <w:tcW w:w="997" w:type="dxa"/>
            <w:tcBorders>
              <w:top w:val="nil"/>
              <w:left w:val="nil"/>
              <w:bottom w:val="nil"/>
              <w:right w:val="nil"/>
            </w:tcBorders>
          </w:tcPr>
          <w:p w14:paraId="0C144F7E"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0.610</w:t>
            </w:r>
          </w:p>
        </w:tc>
        <w:tc>
          <w:tcPr>
            <w:tcW w:w="1410" w:type="dxa"/>
            <w:tcBorders>
              <w:top w:val="nil"/>
              <w:left w:val="nil"/>
              <w:bottom w:val="nil"/>
              <w:right w:val="nil"/>
            </w:tcBorders>
          </w:tcPr>
          <w:p w14:paraId="023A42C9"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0.488</w:t>
            </w:r>
          </w:p>
        </w:tc>
        <w:tc>
          <w:tcPr>
            <w:tcW w:w="864" w:type="dxa"/>
            <w:tcBorders>
              <w:top w:val="nil"/>
              <w:left w:val="nil"/>
              <w:bottom w:val="nil"/>
              <w:right w:val="nil"/>
            </w:tcBorders>
          </w:tcPr>
          <w:p w14:paraId="1020BA5E"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529A551B"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p>
        </w:tc>
      </w:tr>
      <w:tr w:rsidR="00FE2D11" w:rsidRPr="008F722A" w14:paraId="4A6EBCB7" w14:textId="77777777">
        <w:trPr>
          <w:jc w:val="center"/>
        </w:trPr>
        <w:tc>
          <w:tcPr>
            <w:tcW w:w="4389" w:type="dxa"/>
            <w:tcBorders>
              <w:top w:val="nil"/>
              <w:left w:val="nil"/>
              <w:bottom w:val="nil"/>
              <w:right w:val="nil"/>
            </w:tcBorders>
          </w:tcPr>
          <w:p w14:paraId="2C90194F" w14:textId="77777777" w:rsidR="00FE2D11" w:rsidRPr="008921B0" w:rsidRDefault="00FE2D11"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 xml:space="preserve">At least one child (&lt;18 </w:t>
            </w:r>
            <w:proofErr w:type="spellStart"/>
            <w:r w:rsidRPr="008921B0">
              <w:rPr>
                <w:rFonts w:ascii="Times New Roman" w:hAnsi="Times New Roman" w:cs="Times New Roman Bold"/>
                <w:sz w:val="22"/>
                <w:lang w:val="en-US"/>
              </w:rPr>
              <w:t>yrs</w:t>
            </w:r>
            <w:proofErr w:type="spellEnd"/>
            <w:r w:rsidRPr="008921B0">
              <w:rPr>
                <w:rFonts w:ascii="Times New Roman" w:hAnsi="Times New Roman" w:cs="Times New Roman Bold"/>
                <w:sz w:val="22"/>
                <w:lang w:val="en-US"/>
              </w:rPr>
              <w:t>) at home</w:t>
            </w:r>
          </w:p>
        </w:tc>
        <w:tc>
          <w:tcPr>
            <w:tcW w:w="997" w:type="dxa"/>
            <w:tcBorders>
              <w:top w:val="nil"/>
              <w:left w:val="nil"/>
              <w:bottom w:val="nil"/>
              <w:right w:val="nil"/>
            </w:tcBorders>
          </w:tcPr>
          <w:p w14:paraId="2F27C085"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0.292</w:t>
            </w:r>
          </w:p>
        </w:tc>
        <w:tc>
          <w:tcPr>
            <w:tcW w:w="1410" w:type="dxa"/>
            <w:tcBorders>
              <w:top w:val="nil"/>
              <w:left w:val="nil"/>
              <w:bottom w:val="nil"/>
              <w:right w:val="nil"/>
            </w:tcBorders>
          </w:tcPr>
          <w:p w14:paraId="23117979"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0.455</w:t>
            </w:r>
          </w:p>
        </w:tc>
        <w:tc>
          <w:tcPr>
            <w:tcW w:w="864" w:type="dxa"/>
            <w:tcBorders>
              <w:top w:val="nil"/>
              <w:left w:val="nil"/>
              <w:bottom w:val="nil"/>
              <w:right w:val="nil"/>
            </w:tcBorders>
          </w:tcPr>
          <w:p w14:paraId="706DD18C"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400CE9B6"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p>
        </w:tc>
      </w:tr>
      <w:tr w:rsidR="00FE2D11" w:rsidRPr="008F722A" w14:paraId="1D09C32F" w14:textId="77777777">
        <w:trPr>
          <w:jc w:val="center"/>
        </w:trPr>
        <w:tc>
          <w:tcPr>
            <w:tcW w:w="4389" w:type="dxa"/>
            <w:tcBorders>
              <w:top w:val="nil"/>
              <w:left w:val="nil"/>
              <w:bottom w:val="nil"/>
              <w:right w:val="nil"/>
            </w:tcBorders>
          </w:tcPr>
          <w:p w14:paraId="154A8AE8"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Pr>
                <w:rFonts w:ascii="Times New Roman" w:hAnsi="Times New Roman" w:cs="Times New Roman Bold"/>
                <w:sz w:val="22"/>
                <w:lang w:val="fr-FR"/>
              </w:rPr>
              <w:t>Y</w:t>
            </w:r>
            <w:r w:rsidRPr="008F722A">
              <w:rPr>
                <w:rFonts w:ascii="Times New Roman" w:hAnsi="Times New Roman" w:cs="Times New Roman Bold"/>
                <w:sz w:val="22"/>
                <w:lang w:val="fr-FR"/>
              </w:rPr>
              <w:t>oungest</w:t>
            </w:r>
            <w:proofErr w:type="spellEnd"/>
            <w:r w:rsidRPr="008F722A">
              <w:rPr>
                <w:rFonts w:ascii="Times New Roman" w:hAnsi="Times New Roman" w:cs="Times New Roman Bold"/>
                <w:sz w:val="22"/>
                <w:lang w:val="fr-FR"/>
              </w:rPr>
              <w:t xml:space="preserve"> </w:t>
            </w:r>
            <w:proofErr w:type="spellStart"/>
            <w:r w:rsidRPr="008F722A">
              <w:rPr>
                <w:rFonts w:ascii="Times New Roman" w:hAnsi="Times New Roman" w:cs="Times New Roman Bold"/>
                <w:sz w:val="22"/>
                <w:lang w:val="fr-FR"/>
              </w:rPr>
              <w:t>child</w:t>
            </w:r>
            <w:proofErr w:type="spellEnd"/>
            <w:r w:rsidRPr="008F722A">
              <w:rPr>
                <w:rFonts w:ascii="Times New Roman" w:hAnsi="Times New Roman" w:cs="Times New Roman Bold"/>
                <w:sz w:val="22"/>
                <w:lang w:val="fr-FR"/>
              </w:rPr>
              <w:t xml:space="preserve"> 0-5 </w:t>
            </w:r>
            <w:proofErr w:type="spellStart"/>
            <w:r w:rsidRPr="008F722A">
              <w:rPr>
                <w:rFonts w:ascii="Times New Roman" w:hAnsi="Times New Roman" w:cs="Times New Roman Bold"/>
                <w:sz w:val="22"/>
                <w:lang w:val="fr-FR"/>
              </w:rPr>
              <w:t>yrs</w:t>
            </w:r>
            <w:proofErr w:type="spellEnd"/>
          </w:p>
        </w:tc>
        <w:tc>
          <w:tcPr>
            <w:tcW w:w="997" w:type="dxa"/>
            <w:tcBorders>
              <w:top w:val="nil"/>
              <w:left w:val="nil"/>
              <w:bottom w:val="nil"/>
              <w:right w:val="nil"/>
            </w:tcBorders>
          </w:tcPr>
          <w:p w14:paraId="67BF9243"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0.117</w:t>
            </w:r>
          </w:p>
        </w:tc>
        <w:tc>
          <w:tcPr>
            <w:tcW w:w="1410" w:type="dxa"/>
            <w:tcBorders>
              <w:top w:val="nil"/>
              <w:left w:val="nil"/>
              <w:bottom w:val="nil"/>
              <w:right w:val="nil"/>
            </w:tcBorders>
          </w:tcPr>
          <w:p w14:paraId="3B5B0615"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0.322</w:t>
            </w:r>
          </w:p>
        </w:tc>
        <w:tc>
          <w:tcPr>
            <w:tcW w:w="864" w:type="dxa"/>
            <w:tcBorders>
              <w:top w:val="nil"/>
              <w:left w:val="nil"/>
              <w:bottom w:val="nil"/>
              <w:right w:val="nil"/>
            </w:tcBorders>
          </w:tcPr>
          <w:p w14:paraId="2E052321"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1621781E"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p>
        </w:tc>
      </w:tr>
      <w:tr w:rsidR="00FE2D11" w:rsidRPr="008F722A" w14:paraId="724DBCCA" w14:textId="77777777">
        <w:trPr>
          <w:jc w:val="center"/>
        </w:trPr>
        <w:tc>
          <w:tcPr>
            <w:tcW w:w="4389" w:type="dxa"/>
            <w:tcBorders>
              <w:top w:val="nil"/>
              <w:left w:val="nil"/>
              <w:bottom w:val="nil"/>
              <w:right w:val="nil"/>
            </w:tcBorders>
          </w:tcPr>
          <w:p w14:paraId="1A91A2F7"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r>
              <w:rPr>
                <w:rFonts w:ascii="Times New Roman" w:hAnsi="Times New Roman" w:cs="Times New Roman Bold"/>
                <w:sz w:val="22"/>
                <w:lang w:val="fr-FR"/>
              </w:rPr>
              <w:t>T</w:t>
            </w:r>
            <w:r w:rsidRPr="008F722A">
              <w:rPr>
                <w:rFonts w:ascii="Times New Roman" w:hAnsi="Times New Roman" w:cs="Times New Roman Bold"/>
                <w:sz w:val="22"/>
                <w:lang w:val="fr-FR"/>
              </w:rPr>
              <w:t xml:space="preserve">otal </w:t>
            </w:r>
            <w:proofErr w:type="spellStart"/>
            <w:r w:rsidRPr="008F722A">
              <w:rPr>
                <w:rFonts w:ascii="Times New Roman" w:hAnsi="Times New Roman" w:cs="Times New Roman Bold"/>
                <w:sz w:val="22"/>
                <w:lang w:val="fr-FR"/>
              </w:rPr>
              <w:t>income</w:t>
            </w:r>
            <w:proofErr w:type="spellEnd"/>
          </w:p>
        </w:tc>
        <w:tc>
          <w:tcPr>
            <w:tcW w:w="997" w:type="dxa"/>
            <w:tcBorders>
              <w:top w:val="nil"/>
              <w:left w:val="nil"/>
              <w:bottom w:val="nil"/>
              <w:right w:val="nil"/>
            </w:tcBorders>
          </w:tcPr>
          <w:p w14:paraId="60259CBE"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6</w:t>
            </w:r>
            <w:r w:rsidR="00577F77">
              <w:rPr>
                <w:rFonts w:ascii="Times New Roman" w:hAnsi="Times New Roman" w:cs="Times New Roman Bold"/>
                <w:sz w:val="22"/>
                <w:lang w:val="fr-FR"/>
              </w:rPr>
              <w:t>0,820</w:t>
            </w:r>
          </w:p>
        </w:tc>
        <w:tc>
          <w:tcPr>
            <w:tcW w:w="1410" w:type="dxa"/>
            <w:tcBorders>
              <w:top w:val="nil"/>
              <w:left w:val="nil"/>
              <w:bottom w:val="nil"/>
              <w:right w:val="nil"/>
            </w:tcBorders>
          </w:tcPr>
          <w:p w14:paraId="1DFB1C03" w14:textId="77777777" w:rsidR="00FE2D11" w:rsidRPr="008F722A" w:rsidRDefault="00577F77">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59,197</w:t>
            </w:r>
          </w:p>
        </w:tc>
        <w:tc>
          <w:tcPr>
            <w:tcW w:w="864" w:type="dxa"/>
            <w:tcBorders>
              <w:top w:val="nil"/>
              <w:left w:val="nil"/>
              <w:bottom w:val="nil"/>
              <w:right w:val="nil"/>
            </w:tcBorders>
          </w:tcPr>
          <w:p w14:paraId="456E63A6"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36F1B8DD"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 xml:space="preserve"> 4,</w:t>
            </w:r>
            <w:r w:rsidR="00577F77">
              <w:rPr>
                <w:rFonts w:ascii="Times New Roman" w:hAnsi="Times New Roman" w:cs="Times New Roman Bold"/>
                <w:sz w:val="22"/>
                <w:lang w:val="fr-FR"/>
              </w:rPr>
              <w:t>927,880</w:t>
            </w:r>
          </w:p>
        </w:tc>
      </w:tr>
      <w:tr w:rsidR="00FE2D11" w:rsidRPr="008F722A" w14:paraId="243CB386" w14:textId="77777777">
        <w:trPr>
          <w:jc w:val="center"/>
        </w:trPr>
        <w:tc>
          <w:tcPr>
            <w:tcW w:w="4389" w:type="dxa"/>
            <w:tcBorders>
              <w:top w:val="nil"/>
              <w:left w:val="nil"/>
              <w:bottom w:val="nil"/>
              <w:right w:val="nil"/>
            </w:tcBorders>
          </w:tcPr>
          <w:p w14:paraId="2B508EAA"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r>
              <w:rPr>
                <w:rFonts w:ascii="Times New Roman" w:hAnsi="Times New Roman" w:cs="Times New Roman Bold"/>
                <w:sz w:val="22"/>
                <w:lang w:val="fr-FR"/>
              </w:rPr>
              <w:t>T</w:t>
            </w:r>
            <w:r w:rsidRPr="008F722A">
              <w:rPr>
                <w:rFonts w:ascii="Times New Roman" w:hAnsi="Times New Roman" w:cs="Times New Roman Bold"/>
                <w:sz w:val="22"/>
                <w:lang w:val="fr-FR"/>
              </w:rPr>
              <w:t xml:space="preserve">otal </w:t>
            </w:r>
            <w:proofErr w:type="spellStart"/>
            <w:r w:rsidRPr="008F722A">
              <w:rPr>
                <w:rFonts w:ascii="Times New Roman" w:hAnsi="Times New Roman" w:cs="Times New Roman Bold"/>
                <w:sz w:val="22"/>
                <w:lang w:val="fr-FR"/>
              </w:rPr>
              <w:t>consumption</w:t>
            </w:r>
            <w:proofErr w:type="spellEnd"/>
            <w:r w:rsidRPr="008F722A">
              <w:rPr>
                <w:rFonts w:ascii="Times New Roman" w:hAnsi="Times New Roman" w:cs="Times New Roman Bold"/>
                <w:sz w:val="22"/>
                <w:lang w:val="fr-FR"/>
              </w:rPr>
              <w:t xml:space="preserve"> </w:t>
            </w:r>
            <w:proofErr w:type="spellStart"/>
            <w:r w:rsidRPr="008F722A">
              <w:rPr>
                <w:rFonts w:ascii="Times New Roman" w:hAnsi="Times New Roman" w:cs="Times New Roman Bold"/>
                <w:sz w:val="22"/>
                <w:lang w:val="fr-FR"/>
              </w:rPr>
              <w:t>expenditure</w:t>
            </w:r>
            <w:proofErr w:type="spellEnd"/>
          </w:p>
        </w:tc>
        <w:tc>
          <w:tcPr>
            <w:tcW w:w="997" w:type="dxa"/>
            <w:tcBorders>
              <w:top w:val="nil"/>
              <w:left w:val="nil"/>
              <w:bottom w:val="nil"/>
              <w:right w:val="nil"/>
            </w:tcBorders>
          </w:tcPr>
          <w:p w14:paraId="4C7DDE35"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4</w:t>
            </w:r>
            <w:r w:rsidR="00577F77">
              <w:rPr>
                <w:rFonts w:ascii="Times New Roman" w:hAnsi="Times New Roman" w:cs="Times New Roman Bold"/>
                <w:sz w:val="22"/>
                <w:lang w:val="fr-FR"/>
              </w:rPr>
              <w:t>2,248</w:t>
            </w:r>
          </w:p>
        </w:tc>
        <w:tc>
          <w:tcPr>
            <w:tcW w:w="1410" w:type="dxa"/>
            <w:tcBorders>
              <w:top w:val="nil"/>
              <w:left w:val="nil"/>
              <w:bottom w:val="nil"/>
              <w:right w:val="nil"/>
            </w:tcBorders>
          </w:tcPr>
          <w:p w14:paraId="13C277EA" w14:textId="77777777" w:rsidR="00FE2D11" w:rsidRPr="008F722A" w:rsidRDefault="00577F77">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27,819</w:t>
            </w:r>
          </w:p>
        </w:tc>
        <w:tc>
          <w:tcPr>
            <w:tcW w:w="864" w:type="dxa"/>
            <w:tcBorders>
              <w:top w:val="nil"/>
              <w:left w:val="nil"/>
              <w:bottom w:val="nil"/>
              <w:right w:val="nil"/>
            </w:tcBorders>
          </w:tcPr>
          <w:p w14:paraId="267F0BA0" w14:textId="77777777" w:rsidR="00FE2D11" w:rsidRPr="008F722A" w:rsidRDefault="00577F77">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67</w:t>
            </w:r>
          </w:p>
        </w:tc>
        <w:tc>
          <w:tcPr>
            <w:tcW w:w="1440" w:type="dxa"/>
            <w:tcBorders>
              <w:top w:val="nil"/>
              <w:left w:val="nil"/>
              <w:bottom w:val="nil"/>
              <w:right w:val="nil"/>
            </w:tcBorders>
          </w:tcPr>
          <w:p w14:paraId="72EDB4C4" w14:textId="77777777" w:rsidR="00FE2D11" w:rsidRPr="008F722A" w:rsidRDefault="00577F77">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987,763</w:t>
            </w:r>
          </w:p>
        </w:tc>
      </w:tr>
      <w:tr w:rsidR="00FE2D11" w:rsidRPr="008F722A" w14:paraId="54C5BF90" w14:textId="77777777">
        <w:trPr>
          <w:jc w:val="center"/>
        </w:trPr>
        <w:tc>
          <w:tcPr>
            <w:tcW w:w="4389" w:type="dxa"/>
            <w:tcBorders>
              <w:top w:val="nil"/>
              <w:left w:val="nil"/>
              <w:bottom w:val="nil"/>
              <w:right w:val="nil"/>
            </w:tcBorders>
          </w:tcPr>
          <w:p w14:paraId="47BFD9F2" w14:textId="77777777" w:rsidR="00FE2D11" w:rsidRPr="008F722A" w:rsidRDefault="00FE2D11" w:rsidP="00B605C7">
            <w:pPr>
              <w:widowControl w:val="0"/>
              <w:autoSpaceDE w:val="0"/>
              <w:autoSpaceDN w:val="0"/>
              <w:adjustRightInd w:val="0"/>
              <w:rPr>
                <w:rFonts w:ascii="Times New Roman" w:hAnsi="Times New Roman" w:cs="Times New Roman Bold"/>
                <w:b/>
                <w:sz w:val="22"/>
                <w:lang w:val="fr-FR"/>
              </w:rPr>
            </w:pPr>
            <w:proofErr w:type="spellStart"/>
            <w:r w:rsidRPr="008F722A">
              <w:rPr>
                <w:rFonts w:ascii="Times New Roman" w:hAnsi="Times New Roman" w:cs="Times New Roman Bold"/>
                <w:b/>
                <w:sz w:val="22"/>
                <w:lang w:val="fr-FR"/>
              </w:rPr>
              <w:t>Health</w:t>
            </w:r>
            <w:proofErr w:type="spellEnd"/>
            <w:r w:rsidRPr="008F722A">
              <w:rPr>
                <w:rFonts w:ascii="Times New Roman" w:hAnsi="Times New Roman" w:cs="Times New Roman Bold"/>
                <w:b/>
                <w:sz w:val="22"/>
                <w:lang w:val="fr-FR"/>
              </w:rPr>
              <w:t xml:space="preserve"> </w:t>
            </w:r>
            <w:proofErr w:type="spellStart"/>
            <w:r w:rsidRPr="008F722A">
              <w:rPr>
                <w:rFonts w:ascii="Times New Roman" w:hAnsi="Times New Roman" w:cs="Times New Roman Bold"/>
                <w:b/>
                <w:sz w:val="22"/>
                <w:lang w:val="fr-FR"/>
              </w:rPr>
              <w:t>expenditure</w:t>
            </w:r>
            <w:proofErr w:type="spellEnd"/>
          </w:p>
        </w:tc>
        <w:tc>
          <w:tcPr>
            <w:tcW w:w="997" w:type="dxa"/>
            <w:tcBorders>
              <w:top w:val="nil"/>
              <w:left w:val="nil"/>
              <w:bottom w:val="nil"/>
              <w:right w:val="nil"/>
            </w:tcBorders>
          </w:tcPr>
          <w:p w14:paraId="2618F095"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p>
        </w:tc>
        <w:tc>
          <w:tcPr>
            <w:tcW w:w="1410" w:type="dxa"/>
            <w:tcBorders>
              <w:top w:val="nil"/>
              <w:left w:val="nil"/>
              <w:bottom w:val="nil"/>
              <w:right w:val="nil"/>
            </w:tcBorders>
          </w:tcPr>
          <w:p w14:paraId="25D24B8A"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p>
        </w:tc>
        <w:tc>
          <w:tcPr>
            <w:tcW w:w="864" w:type="dxa"/>
            <w:tcBorders>
              <w:top w:val="nil"/>
              <w:left w:val="nil"/>
              <w:bottom w:val="nil"/>
              <w:right w:val="nil"/>
            </w:tcBorders>
          </w:tcPr>
          <w:p w14:paraId="0FA8A495"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p>
        </w:tc>
        <w:tc>
          <w:tcPr>
            <w:tcW w:w="1440" w:type="dxa"/>
            <w:tcBorders>
              <w:top w:val="nil"/>
              <w:left w:val="nil"/>
              <w:bottom w:val="nil"/>
              <w:right w:val="nil"/>
            </w:tcBorders>
          </w:tcPr>
          <w:p w14:paraId="53BEAB7D"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p>
        </w:tc>
      </w:tr>
      <w:tr w:rsidR="00FE2D11" w:rsidRPr="008F722A" w14:paraId="5418B9A2" w14:textId="77777777">
        <w:trPr>
          <w:jc w:val="center"/>
        </w:trPr>
        <w:tc>
          <w:tcPr>
            <w:tcW w:w="4389" w:type="dxa"/>
            <w:tcBorders>
              <w:top w:val="nil"/>
              <w:left w:val="nil"/>
              <w:bottom w:val="nil"/>
              <w:right w:val="nil"/>
            </w:tcBorders>
          </w:tcPr>
          <w:p w14:paraId="4152D965"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r>
              <w:rPr>
                <w:rFonts w:ascii="Times New Roman" w:hAnsi="Times New Roman" w:cs="Times New Roman Bold"/>
                <w:sz w:val="22"/>
                <w:lang w:val="fr-FR"/>
              </w:rPr>
              <w:t xml:space="preserve">Total </w:t>
            </w:r>
            <w:proofErr w:type="spellStart"/>
            <w:r>
              <w:rPr>
                <w:rFonts w:ascii="Times New Roman" w:hAnsi="Times New Roman" w:cs="Times New Roman Bold"/>
                <w:sz w:val="22"/>
                <w:lang w:val="fr-FR"/>
              </w:rPr>
              <w:t>h</w:t>
            </w:r>
            <w:r w:rsidRPr="008F722A">
              <w:rPr>
                <w:rFonts w:ascii="Times New Roman" w:hAnsi="Times New Roman" w:cs="Times New Roman Bold"/>
                <w:sz w:val="22"/>
                <w:lang w:val="fr-FR"/>
              </w:rPr>
              <w:t>ealth</w:t>
            </w:r>
            <w:proofErr w:type="spellEnd"/>
            <w:r w:rsidRPr="008F722A">
              <w:rPr>
                <w:rFonts w:ascii="Times New Roman" w:hAnsi="Times New Roman" w:cs="Times New Roman Bold"/>
                <w:sz w:val="22"/>
                <w:lang w:val="fr-FR"/>
              </w:rPr>
              <w:t xml:space="preserve"> care</w:t>
            </w:r>
          </w:p>
        </w:tc>
        <w:tc>
          <w:tcPr>
            <w:tcW w:w="997" w:type="dxa"/>
            <w:tcBorders>
              <w:top w:val="nil"/>
              <w:left w:val="nil"/>
              <w:bottom w:val="nil"/>
              <w:right w:val="nil"/>
            </w:tcBorders>
          </w:tcPr>
          <w:p w14:paraId="226AC89E"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C64E23">
              <w:rPr>
                <w:rFonts w:ascii="Times New Roman" w:hAnsi="Times New Roman" w:cs="Times New Roman Bold"/>
                <w:sz w:val="22"/>
                <w:lang w:val="fr-FR"/>
              </w:rPr>
              <w:t>545</w:t>
            </w:r>
          </w:p>
        </w:tc>
        <w:tc>
          <w:tcPr>
            <w:tcW w:w="1410" w:type="dxa"/>
            <w:tcBorders>
              <w:top w:val="nil"/>
              <w:left w:val="nil"/>
              <w:bottom w:val="nil"/>
              <w:right w:val="nil"/>
            </w:tcBorders>
          </w:tcPr>
          <w:p w14:paraId="759F0F77" w14:textId="77777777" w:rsidR="00FE2D11" w:rsidRPr="008F722A" w:rsidRDefault="00C64E23">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1,951</w:t>
            </w:r>
          </w:p>
        </w:tc>
        <w:tc>
          <w:tcPr>
            <w:tcW w:w="864" w:type="dxa"/>
            <w:tcBorders>
              <w:top w:val="nil"/>
              <w:left w:val="nil"/>
              <w:bottom w:val="nil"/>
              <w:right w:val="nil"/>
            </w:tcBorders>
          </w:tcPr>
          <w:p w14:paraId="72213FAA"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00944B48"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C64E23">
              <w:rPr>
                <w:rFonts w:ascii="Times New Roman" w:hAnsi="Times New Roman" w:cs="Times New Roman Bold"/>
                <w:sz w:val="22"/>
                <w:lang w:val="fr-FR"/>
              </w:rPr>
              <w:t>47</w:t>
            </w:r>
            <w:r w:rsidRPr="008F722A">
              <w:rPr>
                <w:rFonts w:ascii="Times New Roman" w:hAnsi="Times New Roman" w:cs="Times New Roman Bold"/>
                <w:sz w:val="22"/>
                <w:lang w:val="fr-FR"/>
              </w:rPr>
              <w:t>,</w:t>
            </w:r>
            <w:r w:rsidR="00C64E23">
              <w:rPr>
                <w:rFonts w:ascii="Times New Roman" w:hAnsi="Times New Roman" w:cs="Times New Roman Bold"/>
                <w:sz w:val="22"/>
                <w:lang w:val="fr-FR"/>
              </w:rPr>
              <w:t>765</w:t>
            </w:r>
          </w:p>
        </w:tc>
      </w:tr>
      <w:tr w:rsidR="00FE2D11" w:rsidRPr="008F722A" w14:paraId="4E8DC558" w14:textId="77777777">
        <w:trPr>
          <w:jc w:val="center"/>
        </w:trPr>
        <w:tc>
          <w:tcPr>
            <w:tcW w:w="4389" w:type="dxa"/>
            <w:tcBorders>
              <w:top w:val="nil"/>
              <w:left w:val="nil"/>
              <w:bottom w:val="nil"/>
              <w:right w:val="nil"/>
            </w:tcBorders>
          </w:tcPr>
          <w:p w14:paraId="539669B2"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r w:rsidRPr="008F722A">
              <w:rPr>
                <w:rFonts w:ascii="Times New Roman" w:hAnsi="Times New Roman" w:cs="Times New Roman Bold"/>
                <w:sz w:val="22"/>
                <w:lang w:val="fr-FR"/>
              </w:rPr>
              <w:t xml:space="preserve">Direct </w:t>
            </w:r>
            <w:proofErr w:type="spellStart"/>
            <w:r w:rsidRPr="008F722A">
              <w:rPr>
                <w:rFonts w:ascii="Times New Roman" w:hAnsi="Times New Roman" w:cs="Times New Roman Bold"/>
                <w:sz w:val="22"/>
                <w:lang w:val="fr-FR"/>
              </w:rPr>
              <w:t>health</w:t>
            </w:r>
            <w:proofErr w:type="spellEnd"/>
            <w:r w:rsidRPr="008F722A">
              <w:rPr>
                <w:rFonts w:ascii="Times New Roman" w:hAnsi="Times New Roman" w:cs="Times New Roman Bold"/>
                <w:sz w:val="22"/>
                <w:lang w:val="fr-FR"/>
              </w:rPr>
              <w:t xml:space="preserve"> care </w:t>
            </w:r>
            <w:proofErr w:type="spellStart"/>
            <w:r w:rsidRPr="008F722A">
              <w:rPr>
                <w:rFonts w:ascii="Times New Roman" w:hAnsi="Times New Roman" w:cs="Times New Roman Bold"/>
                <w:sz w:val="22"/>
                <w:lang w:val="fr-FR"/>
              </w:rPr>
              <w:t>costs</w:t>
            </w:r>
            <w:proofErr w:type="spellEnd"/>
            <w:r w:rsidRPr="008F722A">
              <w:rPr>
                <w:rFonts w:ascii="Times New Roman" w:hAnsi="Times New Roman" w:cs="Times New Roman Bold"/>
                <w:sz w:val="22"/>
                <w:lang w:val="fr-FR"/>
              </w:rPr>
              <w:t xml:space="preserve"> </w:t>
            </w:r>
          </w:p>
        </w:tc>
        <w:tc>
          <w:tcPr>
            <w:tcW w:w="997" w:type="dxa"/>
            <w:tcBorders>
              <w:top w:val="nil"/>
              <w:left w:val="nil"/>
              <w:bottom w:val="nil"/>
              <w:right w:val="nil"/>
            </w:tcBorders>
          </w:tcPr>
          <w:p w14:paraId="4C61C1E8"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C64E23">
              <w:rPr>
                <w:rFonts w:ascii="Times New Roman" w:hAnsi="Times New Roman" w:cs="Times New Roman Bold"/>
                <w:sz w:val="22"/>
                <w:lang w:val="fr-FR"/>
              </w:rPr>
              <w:t>051</w:t>
            </w:r>
          </w:p>
        </w:tc>
        <w:tc>
          <w:tcPr>
            <w:tcW w:w="1410" w:type="dxa"/>
            <w:tcBorders>
              <w:top w:val="nil"/>
              <w:left w:val="nil"/>
              <w:bottom w:val="nil"/>
              <w:right w:val="nil"/>
            </w:tcBorders>
          </w:tcPr>
          <w:p w14:paraId="5D58BEDD"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C64E23">
              <w:rPr>
                <w:rFonts w:ascii="Times New Roman" w:hAnsi="Times New Roman" w:cs="Times New Roman Bold"/>
                <w:sz w:val="22"/>
                <w:lang w:val="fr-FR"/>
              </w:rPr>
              <w:t>649</w:t>
            </w:r>
          </w:p>
        </w:tc>
        <w:tc>
          <w:tcPr>
            <w:tcW w:w="864" w:type="dxa"/>
            <w:tcBorders>
              <w:top w:val="nil"/>
              <w:left w:val="nil"/>
              <w:bottom w:val="nil"/>
              <w:right w:val="nil"/>
            </w:tcBorders>
          </w:tcPr>
          <w:p w14:paraId="309F1F78"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638709BF"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C64E23">
              <w:rPr>
                <w:rFonts w:ascii="Times New Roman" w:hAnsi="Times New Roman" w:cs="Times New Roman Bold"/>
                <w:sz w:val="22"/>
                <w:lang w:val="fr-FR"/>
              </w:rPr>
              <w:t>47</w:t>
            </w:r>
            <w:r w:rsidRPr="008F722A">
              <w:rPr>
                <w:rFonts w:ascii="Times New Roman" w:hAnsi="Times New Roman" w:cs="Times New Roman Bold"/>
                <w:sz w:val="22"/>
                <w:lang w:val="fr-FR"/>
              </w:rPr>
              <w:t>,</w:t>
            </w:r>
            <w:r w:rsidR="00C64E23">
              <w:rPr>
                <w:rFonts w:ascii="Times New Roman" w:hAnsi="Times New Roman" w:cs="Times New Roman Bold"/>
                <w:sz w:val="22"/>
                <w:lang w:val="fr-FR"/>
              </w:rPr>
              <w:t>765</w:t>
            </w:r>
          </w:p>
        </w:tc>
      </w:tr>
      <w:tr w:rsidR="00FE2D11" w:rsidRPr="008F722A" w14:paraId="3B0F0A95" w14:textId="77777777">
        <w:trPr>
          <w:jc w:val="center"/>
        </w:trPr>
        <w:tc>
          <w:tcPr>
            <w:tcW w:w="4389" w:type="dxa"/>
            <w:tcBorders>
              <w:top w:val="nil"/>
              <w:left w:val="nil"/>
              <w:bottom w:val="nil"/>
              <w:right w:val="nil"/>
            </w:tcBorders>
          </w:tcPr>
          <w:p w14:paraId="2FD89C75"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sidRPr="008F722A">
              <w:rPr>
                <w:rFonts w:ascii="Times New Roman" w:hAnsi="Times New Roman" w:cs="Times New Roman Bold"/>
                <w:sz w:val="22"/>
                <w:lang w:val="fr-FR"/>
              </w:rPr>
              <w:t>Health</w:t>
            </w:r>
            <w:proofErr w:type="spellEnd"/>
            <w:r w:rsidRPr="008F722A">
              <w:rPr>
                <w:rFonts w:ascii="Times New Roman" w:hAnsi="Times New Roman" w:cs="Times New Roman Bold"/>
                <w:sz w:val="22"/>
                <w:lang w:val="fr-FR"/>
              </w:rPr>
              <w:t xml:space="preserve"> care supplies</w:t>
            </w:r>
          </w:p>
        </w:tc>
        <w:tc>
          <w:tcPr>
            <w:tcW w:w="997" w:type="dxa"/>
            <w:tcBorders>
              <w:top w:val="nil"/>
              <w:left w:val="nil"/>
              <w:bottom w:val="nil"/>
              <w:right w:val="nil"/>
            </w:tcBorders>
          </w:tcPr>
          <w:p w14:paraId="23F70607"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3</w:t>
            </w:r>
            <w:r w:rsidR="00C64E23">
              <w:rPr>
                <w:rFonts w:ascii="Times New Roman" w:hAnsi="Times New Roman" w:cs="Times New Roman Bold"/>
                <w:sz w:val="22"/>
                <w:lang w:val="fr-FR"/>
              </w:rPr>
              <w:t>5.21</w:t>
            </w:r>
          </w:p>
        </w:tc>
        <w:tc>
          <w:tcPr>
            <w:tcW w:w="1410" w:type="dxa"/>
            <w:tcBorders>
              <w:top w:val="nil"/>
              <w:left w:val="nil"/>
              <w:bottom w:val="nil"/>
              <w:right w:val="nil"/>
            </w:tcBorders>
          </w:tcPr>
          <w:p w14:paraId="56AF05FF"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2</w:t>
            </w:r>
            <w:r w:rsidR="00C64E23">
              <w:rPr>
                <w:rFonts w:ascii="Times New Roman" w:hAnsi="Times New Roman" w:cs="Times New Roman Bold"/>
                <w:sz w:val="22"/>
                <w:lang w:val="fr-FR"/>
              </w:rPr>
              <w:t>23.39</w:t>
            </w:r>
          </w:p>
        </w:tc>
        <w:tc>
          <w:tcPr>
            <w:tcW w:w="864" w:type="dxa"/>
            <w:tcBorders>
              <w:top w:val="nil"/>
              <w:left w:val="nil"/>
              <w:bottom w:val="nil"/>
              <w:right w:val="nil"/>
            </w:tcBorders>
          </w:tcPr>
          <w:p w14:paraId="1385DE1B"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11A67CD1"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2</w:t>
            </w:r>
            <w:r w:rsidR="00C64E23">
              <w:rPr>
                <w:rFonts w:ascii="Times New Roman" w:hAnsi="Times New Roman" w:cs="Times New Roman Bold"/>
                <w:sz w:val="22"/>
                <w:lang w:val="fr-FR"/>
              </w:rPr>
              <w:t>3,271</w:t>
            </w:r>
          </w:p>
        </w:tc>
      </w:tr>
      <w:tr w:rsidR="00FE2D11" w:rsidRPr="008F722A" w14:paraId="0C921D41" w14:textId="77777777">
        <w:trPr>
          <w:jc w:val="center"/>
        </w:trPr>
        <w:tc>
          <w:tcPr>
            <w:tcW w:w="4389" w:type="dxa"/>
            <w:tcBorders>
              <w:top w:val="nil"/>
              <w:left w:val="nil"/>
              <w:bottom w:val="nil"/>
              <w:right w:val="nil"/>
            </w:tcBorders>
          </w:tcPr>
          <w:p w14:paraId="4B15D9DC"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r w:rsidRPr="008F722A">
              <w:rPr>
                <w:rFonts w:ascii="Times New Roman" w:hAnsi="Times New Roman" w:cs="Times New Roman Bold"/>
                <w:sz w:val="22"/>
                <w:lang w:val="fr-FR"/>
              </w:rPr>
              <w:t xml:space="preserve">Prescription </w:t>
            </w:r>
            <w:proofErr w:type="spellStart"/>
            <w:r w:rsidRPr="008F722A">
              <w:rPr>
                <w:rFonts w:ascii="Times New Roman" w:hAnsi="Times New Roman" w:cs="Times New Roman Bold"/>
                <w:sz w:val="22"/>
                <w:lang w:val="fr-FR"/>
              </w:rPr>
              <w:t>drugs</w:t>
            </w:r>
            <w:proofErr w:type="spellEnd"/>
          </w:p>
        </w:tc>
        <w:tc>
          <w:tcPr>
            <w:tcW w:w="997" w:type="dxa"/>
            <w:tcBorders>
              <w:top w:val="nil"/>
              <w:left w:val="nil"/>
              <w:bottom w:val="nil"/>
              <w:right w:val="nil"/>
            </w:tcBorders>
          </w:tcPr>
          <w:p w14:paraId="20539DB2" w14:textId="77777777" w:rsidR="00FE2D11" w:rsidRPr="008F722A" w:rsidRDefault="00C1750B">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250.97</w:t>
            </w:r>
          </w:p>
        </w:tc>
        <w:tc>
          <w:tcPr>
            <w:tcW w:w="1410" w:type="dxa"/>
            <w:tcBorders>
              <w:top w:val="nil"/>
              <w:left w:val="nil"/>
              <w:bottom w:val="nil"/>
              <w:right w:val="nil"/>
            </w:tcBorders>
          </w:tcPr>
          <w:p w14:paraId="42D58829" w14:textId="77777777" w:rsidR="00FE2D11" w:rsidRPr="008F722A" w:rsidRDefault="00C1750B">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559.06</w:t>
            </w:r>
          </w:p>
        </w:tc>
        <w:tc>
          <w:tcPr>
            <w:tcW w:w="864" w:type="dxa"/>
            <w:tcBorders>
              <w:top w:val="nil"/>
              <w:left w:val="nil"/>
              <w:bottom w:val="nil"/>
              <w:right w:val="nil"/>
            </w:tcBorders>
          </w:tcPr>
          <w:p w14:paraId="14D56636"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59BEECDF"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28,879</w:t>
            </w:r>
          </w:p>
        </w:tc>
      </w:tr>
      <w:tr w:rsidR="00FE2D11" w:rsidRPr="008F722A" w14:paraId="67C677D0" w14:textId="77777777">
        <w:trPr>
          <w:jc w:val="center"/>
        </w:trPr>
        <w:tc>
          <w:tcPr>
            <w:tcW w:w="4389" w:type="dxa"/>
            <w:tcBorders>
              <w:top w:val="nil"/>
              <w:left w:val="nil"/>
              <w:bottom w:val="nil"/>
              <w:right w:val="nil"/>
            </w:tcBorders>
          </w:tcPr>
          <w:p w14:paraId="5C78EBDA" w14:textId="77777777" w:rsidR="00FE2D11" w:rsidRPr="008921B0" w:rsidRDefault="00FE2D11"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Other medicines and pharmaceutical products</w:t>
            </w:r>
          </w:p>
        </w:tc>
        <w:tc>
          <w:tcPr>
            <w:tcW w:w="997" w:type="dxa"/>
            <w:tcBorders>
              <w:top w:val="nil"/>
              <w:left w:val="nil"/>
              <w:bottom w:val="nil"/>
              <w:right w:val="nil"/>
            </w:tcBorders>
          </w:tcPr>
          <w:p w14:paraId="25FCEE9A" w14:textId="77777777" w:rsidR="00FE2D11" w:rsidRPr="008F722A" w:rsidRDefault="006C695A">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150.97</w:t>
            </w:r>
          </w:p>
        </w:tc>
        <w:tc>
          <w:tcPr>
            <w:tcW w:w="1410" w:type="dxa"/>
            <w:tcBorders>
              <w:top w:val="nil"/>
              <w:left w:val="nil"/>
              <w:bottom w:val="nil"/>
              <w:right w:val="nil"/>
            </w:tcBorders>
          </w:tcPr>
          <w:p w14:paraId="735A4CB4" w14:textId="77777777" w:rsidR="00FE2D11" w:rsidRPr="008F722A" w:rsidRDefault="006C695A">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323.17</w:t>
            </w:r>
          </w:p>
        </w:tc>
        <w:tc>
          <w:tcPr>
            <w:tcW w:w="864" w:type="dxa"/>
            <w:tcBorders>
              <w:top w:val="nil"/>
              <w:left w:val="nil"/>
              <w:bottom w:val="nil"/>
              <w:right w:val="nil"/>
            </w:tcBorders>
          </w:tcPr>
          <w:p w14:paraId="6A3D8F86"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56B7E484"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4</w:t>
            </w:r>
            <w:r w:rsidR="00FC1194">
              <w:rPr>
                <w:rFonts w:ascii="Times New Roman" w:hAnsi="Times New Roman" w:cs="Times New Roman Bold"/>
                <w:sz w:val="22"/>
                <w:lang w:val="fr-FR"/>
              </w:rPr>
              <w:t>9,112</w:t>
            </w:r>
          </w:p>
        </w:tc>
      </w:tr>
      <w:tr w:rsidR="00FE2D11" w:rsidRPr="008F722A" w14:paraId="7F90BD3D" w14:textId="77777777">
        <w:trPr>
          <w:jc w:val="center"/>
        </w:trPr>
        <w:tc>
          <w:tcPr>
            <w:tcW w:w="4389" w:type="dxa"/>
            <w:tcBorders>
              <w:top w:val="nil"/>
              <w:left w:val="nil"/>
              <w:bottom w:val="nil"/>
              <w:right w:val="nil"/>
            </w:tcBorders>
          </w:tcPr>
          <w:p w14:paraId="43EF5AED"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Pr>
                <w:rFonts w:ascii="Times New Roman" w:hAnsi="Times New Roman" w:cs="Times New Roman Bold"/>
                <w:sz w:val="22"/>
                <w:lang w:val="fr-FR"/>
              </w:rPr>
              <w:t>Physician</w:t>
            </w:r>
            <w:proofErr w:type="spellEnd"/>
            <w:r w:rsidRPr="008F722A">
              <w:rPr>
                <w:rFonts w:ascii="Times New Roman" w:hAnsi="Times New Roman" w:cs="Times New Roman Bold"/>
                <w:sz w:val="22"/>
                <w:lang w:val="fr-FR"/>
              </w:rPr>
              <w:t xml:space="preserve"> care</w:t>
            </w:r>
          </w:p>
        </w:tc>
        <w:tc>
          <w:tcPr>
            <w:tcW w:w="997" w:type="dxa"/>
            <w:tcBorders>
              <w:top w:val="nil"/>
              <w:left w:val="nil"/>
              <w:bottom w:val="nil"/>
              <w:right w:val="nil"/>
            </w:tcBorders>
          </w:tcPr>
          <w:p w14:paraId="5080134F"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6C695A">
              <w:rPr>
                <w:rFonts w:ascii="Times New Roman" w:hAnsi="Times New Roman" w:cs="Times New Roman Bold"/>
                <w:sz w:val="22"/>
                <w:lang w:val="fr-FR"/>
              </w:rPr>
              <w:t>8.22</w:t>
            </w:r>
          </w:p>
        </w:tc>
        <w:tc>
          <w:tcPr>
            <w:tcW w:w="1410" w:type="dxa"/>
            <w:tcBorders>
              <w:top w:val="nil"/>
              <w:left w:val="nil"/>
              <w:bottom w:val="nil"/>
              <w:right w:val="nil"/>
            </w:tcBorders>
          </w:tcPr>
          <w:p w14:paraId="5C71960A" w14:textId="77777777" w:rsidR="00FE2D11" w:rsidRPr="008F722A" w:rsidRDefault="006C695A">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298.98</w:t>
            </w:r>
          </w:p>
        </w:tc>
        <w:tc>
          <w:tcPr>
            <w:tcW w:w="864" w:type="dxa"/>
            <w:tcBorders>
              <w:top w:val="nil"/>
              <w:left w:val="nil"/>
              <w:bottom w:val="nil"/>
              <w:right w:val="nil"/>
            </w:tcBorders>
          </w:tcPr>
          <w:p w14:paraId="0C95DD65"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6C5B2469"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61,000</w:t>
            </w:r>
          </w:p>
        </w:tc>
      </w:tr>
      <w:tr w:rsidR="00FE2D11" w:rsidRPr="008F722A" w14:paraId="64BE7132" w14:textId="77777777">
        <w:trPr>
          <w:jc w:val="center"/>
        </w:trPr>
        <w:tc>
          <w:tcPr>
            <w:tcW w:w="4389" w:type="dxa"/>
            <w:tcBorders>
              <w:top w:val="nil"/>
              <w:left w:val="nil"/>
              <w:bottom w:val="nil"/>
              <w:right w:val="nil"/>
            </w:tcBorders>
          </w:tcPr>
          <w:p w14:paraId="6EB8B8FB" w14:textId="77777777" w:rsidR="00FE2D11" w:rsidRPr="008921B0" w:rsidRDefault="00FE2D11"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Eye-care goods and services</w:t>
            </w:r>
          </w:p>
        </w:tc>
        <w:tc>
          <w:tcPr>
            <w:tcW w:w="997" w:type="dxa"/>
            <w:tcBorders>
              <w:top w:val="nil"/>
              <w:left w:val="nil"/>
              <w:bottom w:val="nil"/>
              <w:right w:val="nil"/>
            </w:tcBorders>
          </w:tcPr>
          <w:p w14:paraId="3F9D5DB5"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6C695A">
              <w:rPr>
                <w:rFonts w:ascii="Times New Roman" w:hAnsi="Times New Roman" w:cs="Times New Roman Bold"/>
                <w:sz w:val="22"/>
                <w:lang w:val="fr-FR"/>
              </w:rPr>
              <w:t>74.25</w:t>
            </w:r>
          </w:p>
        </w:tc>
        <w:tc>
          <w:tcPr>
            <w:tcW w:w="1410" w:type="dxa"/>
            <w:tcBorders>
              <w:top w:val="nil"/>
              <w:left w:val="nil"/>
              <w:bottom w:val="nil"/>
              <w:right w:val="nil"/>
            </w:tcBorders>
          </w:tcPr>
          <w:p w14:paraId="1320D195"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3</w:t>
            </w:r>
            <w:r w:rsidR="006C695A">
              <w:rPr>
                <w:rFonts w:ascii="Times New Roman" w:hAnsi="Times New Roman" w:cs="Times New Roman Bold"/>
                <w:sz w:val="22"/>
                <w:lang w:val="fr-FR"/>
              </w:rPr>
              <w:t>52.18</w:t>
            </w:r>
          </w:p>
        </w:tc>
        <w:tc>
          <w:tcPr>
            <w:tcW w:w="864" w:type="dxa"/>
            <w:tcBorders>
              <w:top w:val="nil"/>
              <w:left w:val="nil"/>
              <w:bottom w:val="nil"/>
              <w:right w:val="nil"/>
            </w:tcBorders>
          </w:tcPr>
          <w:p w14:paraId="6D14F906"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58A24859"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FC1194">
              <w:rPr>
                <w:rFonts w:ascii="Times New Roman" w:hAnsi="Times New Roman" w:cs="Times New Roman Bold"/>
                <w:sz w:val="22"/>
                <w:lang w:val="fr-FR"/>
              </w:rPr>
              <w:t>2,051</w:t>
            </w:r>
          </w:p>
        </w:tc>
      </w:tr>
      <w:tr w:rsidR="00FE2D11" w:rsidRPr="008F722A" w14:paraId="0F8ED23A" w14:textId="77777777">
        <w:trPr>
          <w:jc w:val="center"/>
        </w:trPr>
        <w:tc>
          <w:tcPr>
            <w:tcW w:w="4389" w:type="dxa"/>
            <w:tcBorders>
              <w:top w:val="nil"/>
              <w:left w:val="nil"/>
              <w:bottom w:val="nil"/>
              <w:right w:val="nil"/>
            </w:tcBorders>
          </w:tcPr>
          <w:p w14:paraId="79097675"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r>
              <w:rPr>
                <w:rFonts w:ascii="Times New Roman" w:hAnsi="Times New Roman" w:cs="Times New Roman Bold"/>
                <w:sz w:val="22"/>
                <w:lang w:val="fr-FR"/>
              </w:rPr>
              <w:t>Dental care</w:t>
            </w:r>
          </w:p>
        </w:tc>
        <w:tc>
          <w:tcPr>
            <w:tcW w:w="997" w:type="dxa"/>
            <w:tcBorders>
              <w:top w:val="nil"/>
              <w:left w:val="nil"/>
              <w:bottom w:val="nil"/>
              <w:right w:val="nil"/>
            </w:tcBorders>
          </w:tcPr>
          <w:p w14:paraId="7B126AE6"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293.57</w:t>
            </w:r>
          </w:p>
        </w:tc>
        <w:tc>
          <w:tcPr>
            <w:tcW w:w="1410" w:type="dxa"/>
            <w:tcBorders>
              <w:top w:val="nil"/>
              <w:left w:val="nil"/>
              <w:bottom w:val="nil"/>
              <w:right w:val="nil"/>
            </w:tcBorders>
          </w:tcPr>
          <w:p w14:paraId="0C9BF843" w14:textId="77777777" w:rsidR="00FE2D11" w:rsidRPr="008F722A" w:rsidRDefault="00FC1194" w:rsidP="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814.38</w:t>
            </w:r>
          </w:p>
        </w:tc>
        <w:tc>
          <w:tcPr>
            <w:tcW w:w="864" w:type="dxa"/>
            <w:tcBorders>
              <w:top w:val="nil"/>
              <w:left w:val="nil"/>
              <w:bottom w:val="nil"/>
              <w:right w:val="nil"/>
            </w:tcBorders>
          </w:tcPr>
          <w:p w14:paraId="568FDBCF"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67F07A40"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44,580</w:t>
            </w:r>
          </w:p>
        </w:tc>
      </w:tr>
      <w:tr w:rsidR="00FE2D11" w:rsidRPr="008F722A" w14:paraId="6E2C1EC8" w14:textId="77777777">
        <w:trPr>
          <w:jc w:val="center"/>
        </w:trPr>
        <w:tc>
          <w:tcPr>
            <w:tcW w:w="4389" w:type="dxa"/>
            <w:tcBorders>
              <w:top w:val="nil"/>
              <w:left w:val="nil"/>
              <w:bottom w:val="nil"/>
              <w:right w:val="nil"/>
            </w:tcBorders>
          </w:tcPr>
          <w:p w14:paraId="7523C0E7" w14:textId="77777777" w:rsidR="00FE2D11" w:rsidRPr="008F722A" w:rsidRDefault="004304E2" w:rsidP="00B605C7">
            <w:pPr>
              <w:widowControl w:val="0"/>
              <w:autoSpaceDE w:val="0"/>
              <w:autoSpaceDN w:val="0"/>
              <w:adjustRightInd w:val="0"/>
              <w:jc w:val="right"/>
              <w:rPr>
                <w:rFonts w:ascii="Times New Roman" w:hAnsi="Times New Roman" w:cs="Times New Roman Bold"/>
                <w:sz w:val="22"/>
                <w:lang w:val="fr-FR"/>
              </w:rPr>
            </w:pPr>
            <w:proofErr w:type="spellStart"/>
            <w:r>
              <w:rPr>
                <w:rFonts w:ascii="Times New Roman" w:hAnsi="Times New Roman" w:cs="Times New Roman Bold"/>
                <w:sz w:val="22"/>
                <w:lang w:val="fr-FR"/>
              </w:rPr>
              <w:t>Hospitals</w:t>
            </w:r>
            <w:proofErr w:type="spellEnd"/>
          </w:p>
        </w:tc>
        <w:tc>
          <w:tcPr>
            <w:tcW w:w="997" w:type="dxa"/>
            <w:tcBorders>
              <w:top w:val="nil"/>
              <w:left w:val="nil"/>
              <w:bottom w:val="nil"/>
              <w:right w:val="nil"/>
            </w:tcBorders>
          </w:tcPr>
          <w:p w14:paraId="77AC42D8"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18.06</w:t>
            </w:r>
          </w:p>
        </w:tc>
        <w:tc>
          <w:tcPr>
            <w:tcW w:w="1410" w:type="dxa"/>
            <w:tcBorders>
              <w:top w:val="nil"/>
              <w:left w:val="nil"/>
              <w:bottom w:val="nil"/>
              <w:right w:val="nil"/>
            </w:tcBorders>
          </w:tcPr>
          <w:p w14:paraId="268D4C16" w14:textId="77777777" w:rsidR="00FE2D11" w:rsidRPr="008F722A" w:rsidRDefault="00FC1194" w:rsidP="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448.00</w:t>
            </w:r>
          </w:p>
        </w:tc>
        <w:tc>
          <w:tcPr>
            <w:tcW w:w="864" w:type="dxa"/>
            <w:tcBorders>
              <w:top w:val="nil"/>
              <w:left w:val="nil"/>
              <w:bottom w:val="nil"/>
              <w:right w:val="nil"/>
            </w:tcBorders>
          </w:tcPr>
          <w:p w14:paraId="15ACA5F6"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1B678A2A"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61,947</w:t>
            </w:r>
          </w:p>
        </w:tc>
      </w:tr>
      <w:tr w:rsidR="00FE2D11" w:rsidRPr="008F722A" w14:paraId="1A4E5676" w14:textId="77777777">
        <w:trPr>
          <w:jc w:val="center"/>
        </w:trPr>
        <w:tc>
          <w:tcPr>
            <w:tcW w:w="4389" w:type="dxa"/>
            <w:tcBorders>
              <w:top w:val="nil"/>
              <w:left w:val="nil"/>
              <w:bottom w:val="nil"/>
              <w:right w:val="nil"/>
            </w:tcBorders>
          </w:tcPr>
          <w:p w14:paraId="2DA5E155" w14:textId="77777777" w:rsidR="00FE2D11" w:rsidRPr="008921B0" w:rsidRDefault="00FE2D11"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Non physician health practitioner services</w:t>
            </w:r>
          </w:p>
        </w:tc>
        <w:tc>
          <w:tcPr>
            <w:tcW w:w="997" w:type="dxa"/>
            <w:tcBorders>
              <w:top w:val="nil"/>
              <w:left w:val="nil"/>
              <w:bottom w:val="nil"/>
              <w:right w:val="nil"/>
            </w:tcBorders>
          </w:tcPr>
          <w:p w14:paraId="4FC24B53"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85.49</w:t>
            </w:r>
          </w:p>
        </w:tc>
        <w:tc>
          <w:tcPr>
            <w:tcW w:w="1410" w:type="dxa"/>
            <w:tcBorders>
              <w:top w:val="nil"/>
              <w:left w:val="nil"/>
              <w:bottom w:val="nil"/>
              <w:right w:val="nil"/>
            </w:tcBorders>
          </w:tcPr>
          <w:p w14:paraId="6BD099FF"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696.39</w:t>
            </w:r>
          </w:p>
        </w:tc>
        <w:tc>
          <w:tcPr>
            <w:tcW w:w="864" w:type="dxa"/>
            <w:tcBorders>
              <w:top w:val="nil"/>
              <w:left w:val="nil"/>
              <w:bottom w:val="nil"/>
              <w:right w:val="nil"/>
            </w:tcBorders>
          </w:tcPr>
          <w:p w14:paraId="3CB0CC97"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65A5878F"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FC1194">
              <w:rPr>
                <w:rFonts w:ascii="Times New Roman" w:hAnsi="Times New Roman" w:cs="Times New Roman Bold"/>
                <w:sz w:val="22"/>
                <w:lang w:val="fr-FR"/>
              </w:rPr>
              <w:t>47,239</w:t>
            </w:r>
          </w:p>
        </w:tc>
      </w:tr>
      <w:tr w:rsidR="00FE2D11" w:rsidRPr="008F722A" w14:paraId="6AA8058A" w14:textId="77777777">
        <w:trPr>
          <w:jc w:val="center"/>
        </w:trPr>
        <w:tc>
          <w:tcPr>
            <w:tcW w:w="4389" w:type="dxa"/>
            <w:tcBorders>
              <w:top w:val="nil"/>
              <w:left w:val="nil"/>
              <w:bottom w:val="nil"/>
              <w:right w:val="nil"/>
            </w:tcBorders>
          </w:tcPr>
          <w:p w14:paraId="4A57BAB8"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sidRPr="008F722A">
              <w:rPr>
                <w:rFonts w:ascii="Times New Roman" w:hAnsi="Times New Roman" w:cs="Times New Roman Bold"/>
                <w:sz w:val="22"/>
                <w:lang w:val="fr-FR"/>
              </w:rPr>
              <w:t>Other</w:t>
            </w:r>
            <w:proofErr w:type="spellEnd"/>
            <w:r w:rsidRPr="008F722A">
              <w:rPr>
                <w:rFonts w:ascii="Times New Roman" w:hAnsi="Times New Roman" w:cs="Times New Roman Bold"/>
                <w:sz w:val="22"/>
                <w:lang w:val="fr-FR"/>
              </w:rPr>
              <w:t xml:space="preserve"> </w:t>
            </w:r>
            <w:proofErr w:type="spellStart"/>
            <w:r w:rsidRPr="008F722A">
              <w:rPr>
                <w:rFonts w:ascii="Times New Roman" w:hAnsi="Times New Roman" w:cs="Times New Roman Bold"/>
                <w:sz w:val="22"/>
                <w:lang w:val="fr-FR"/>
              </w:rPr>
              <w:t>medical</w:t>
            </w:r>
            <w:proofErr w:type="spellEnd"/>
            <w:r w:rsidRPr="008F722A">
              <w:rPr>
                <w:rFonts w:ascii="Times New Roman" w:hAnsi="Times New Roman" w:cs="Times New Roman Bold"/>
                <w:sz w:val="22"/>
                <w:lang w:val="fr-FR"/>
              </w:rPr>
              <w:t xml:space="preserve"> services</w:t>
            </w:r>
          </w:p>
        </w:tc>
        <w:tc>
          <w:tcPr>
            <w:tcW w:w="997" w:type="dxa"/>
            <w:tcBorders>
              <w:top w:val="nil"/>
              <w:left w:val="nil"/>
              <w:bottom w:val="nil"/>
              <w:right w:val="nil"/>
            </w:tcBorders>
          </w:tcPr>
          <w:p w14:paraId="22A2F41F"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2</w:t>
            </w:r>
            <w:r w:rsidR="00C1750B">
              <w:rPr>
                <w:rFonts w:ascii="Times New Roman" w:hAnsi="Times New Roman" w:cs="Times New Roman Bold"/>
                <w:sz w:val="22"/>
                <w:lang w:val="fr-FR"/>
              </w:rPr>
              <w:t>4.64</w:t>
            </w:r>
          </w:p>
        </w:tc>
        <w:tc>
          <w:tcPr>
            <w:tcW w:w="1410" w:type="dxa"/>
            <w:tcBorders>
              <w:top w:val="nil"/>
              <w:left w:val="nil"/>
              <w:bottom w:val="nil"/>
              <w:right w:val="nil"/>
            </w:tcBorders>
          </w:tcPr>
          <w:p w14:paraId="607C037B"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2</w:t>
            </w:r>
            <w:r w:rsidR="00C1750B">
              <w:rPr>
                <w:rFonts w:ascii="Times New Roman" w:hAnsi="Times New Roman" w:cs="Times New Roman Bold"/>
                <w:sz w:val="22"/>
                <w:lang w:val="fr-FR"/>
              </w:rPr>
              <w:t>88.65</w:t>
            </w:r>
          </w:p>
        </w:tc>
        <w:tc>
          <w:tcPr>
            <w:tcW w:w="864" w:type="dxa"/>
            <w:tcBorders>
              <w:top w:val="nil"/>
              <w:left w:val="nil"/>
              <w:bottom w:val="nil"/>
              <w:right w:val="nil"/>
            </w:tcBorders>
          </w:tcPr>
          <w:p w14:paraId="109E64B2"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2789C06E"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32,293</w:t>
            </w:r>
          </w:p>
        </w:tc>
      </w:tr>
      <w:tr w:rsidR="00FE2D11" w:rsidRPr="008F722A" w14:paraId="712441A3" w14:textId="77777777">
        <w:trPr>
          <w:jc w:val="center"/>
        </w:trPr>
        <w:tc>
          <w:tcPr>
            <w:tcW w:w="4389" w:type="dxa"/>
            <w:tcBorders>
              <w:top w:val="nil"/>
              <w:left w:val="nil"/>
              <w:bottom w:val="nil"/>
              <w:right w:val="nil"/>
            </w:tcBorders>
          </w:tcPr>
          <w:p w14:paraId="4AE96735" w14:textId="77777777" w:rsidR="00FE2D11" w:rsidRPr="008921B0" w:rsidRDefault="00FE2D11"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Public hospital, medical and drug plans</w:t>
            </w:r>
          </w:p>
        </w:tc>
        <w:tc>
          <w:tcPr>
            <w:tcW w:w="997" w:type="dxa"/>
            <w:tcBorders>
              <w:top w:val="nil"/>
              <w:left w:val="nil"/>
              <w:bottom w:val="nil"/>
              <w:right w:val="nil"/>
            </w:tcBorders>
          </w:tcPr>
          <w:p w14:paraId="7729418E"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1</w:t>
            </w:r>
            <w:r w:rsidR="00FC1194">
              <w:rPr>
                <w:rFonts w:ascii="Times New Roman" w:hAnsi="Times New Roman" w:cs="Times New Roman Bold"/>
                <w:sz w:val="22"/>
                <w:lang w:val="fr-FR"/>
              </w:rPr>
              <w:t>56.30</w:t>
            </w:r>
          </w:p>
        </w:tc>
        <w:tc>
          <w:tcPr>
            <w:tcW w:w="1410" w:type="dxa"/>
            <w:tcBorders>
              <w:top w:val="nil"/>
              <w:left w:val="nil"/>
              <w:bottom w:val="nil"/>
              <w:right w:val="nil"/>
            </w:tcBorders>
          </w:tcPr>
          <w:p w14:paraId="04C4D49C" w14:textId="77777777" w:rsidR="00FE2D11" w:rsidRPr="008F722A" w:rsidRDefault="00FC1194" w:rsidP="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365.54</w:t>
            </w:r>
          </w:p>
        </w:tc>
        <w:tc>
          <w:tcPr>
            <w:tcW w:w="864" w:type="dxa"/>
            <w:tcBorders>
              <w:top w:val="nil"/>
              <w:left w:val="nil"/>
              <w:bottom w:val="nil"/>
              <w:right w:val="nil"/>
            </w:tcBorders>
          </w:tcPr>
          <w:p w14:paraId="0E1D0711"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nil"/>
              <w:right w:val="nil"/>
            </w:tcBorders>
          </w:tcPr>
          <w:p w14:paraId="0AA4D8F7"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2</w:t>
            </w:r>
            <w:r w:rsidR="00FC1194">
              <w:rPr>
                <w:rFonts w:ascii="Times New Roman" w:hAnsi="Times New Roman" w:cs="Times New Roman Bold"/>
                <w:sz w:val="22"/>
                <w:lang w:val="fr-FR"/>
              </w:rPr>
              <w:t>1,147</w:t>
            </w:r>
          </w:p>
        </w:tc>
      </w:tr>
      <w:tr w:rsidR="00FE2D11" w:rsidRPr="008F722A" w14:paraId="27305A6B" w14:textId="77777777">
        <w:trPr>
          <w:jc w:val="center"/>
        </w:trPr>
        <w:tc>
          <w:tcPr>
            <w:tcW w:w="4389" w:type="dxa"/>
            <w:tcBorders>
              <w:top w:val="nil"/>
              <w:left w:val="nil"/>
              <w:bottom w:val="single" w:sz="4" w:space="0" w:color="auto"/>
              <w:right w:val="nil"/>
            </w:tcBorders>
          </w:tcPr>
          <w:p w14:paraId="16F6F61D" w14:textId="77777777" w:rsidR="00FE2D11" w:rsidRPr="008F722A"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sidRPr="008F722A">
              <w:rPr>
                <w:rFonts w:ascii="Times New Roman" w:hAnsi="Times New Roman" w:cs="Times New Roman Bold"/>
                <w:sz w:val="22"/>
                <w:lang w:val="fr-FR"/>
              </w:rPr>
              <w:t>Private</w:t>
            </w:r>
            <w:proofErr w:type="spellEnd"/>
            <w:r w:rsidRPr="008F722A">
              <w:rPr>
                <w:rFonts w:ascii="Times New Roman" w:hAnsi="Times New Roman" w:cs="Times New Roman Bold"/>
                <w:sz w:val="22"/>
                <w:lang w:val="fr-FR"/>
              </w:rPr>
              <w:t xml:space="preserve"> </w:t>
            </w:r>
            <w:proofErr w:type="spellStart"/>
            <w:r w:rsidRPr="008F722A">
              <w:rPr>
                <w:rFonts w:ascii="Times New Roman" w:hAnsi="Times New Roman" w:cs="Times New Roman Bold"/>
                <w:sz w:val="22"/>
                <w:lang w:val="fr-FR"/>
              </w:rPr>
              <w:t>health</w:t>
            </w:r>
            <w:proofErr w:type="spellEnd"/>
            <w:r w:rsidRPr="008F722A">
              <w:rPr>
                <w:rFonts w:ascii="Times New Roman" w:hAnsi="Times New Roman" w:cs="Times New Roman Bold"/>
                <w:sz w:val="22"/>
                <w:lang w:val="fr-FR"/>
              </w:rPr>
              <w:t xml:space="preserve"> </w:t>
            </w:r>
            <w:proofErr w:type="spellStart"/>
            <w:r w:rsidRPr="008F722A">
              <w:rPr>
                <w:rFonts w:ascii="Times New Roman" w:hAnsi="Times New Roman" w:cs="Times New Roman Bold"/>
                <w:sz w:val="22"/>
                <w:lang w:val="fr-FR"/>
              </w:rPr>
              <w:t>insurance</w:t>
            </w:r>
            <w:proofErr w:type="spellEnd"/>
            <w:r w:rsidRPr="008F722A">
              <w:rPr>
                <w:rFonts w:ascii="Times New Roman" w:hAnsi="Times New Roman" w:cs="Times New Roman Bold"/>
                <w:sz w:val="22"/>
                <w:lang w:val="fr-FR"/>
              </w:rPr>
              <w:t xml:space="preserve"> plans</w:t>
            </w:r>
          </w:p>
        </w:tc>
        <w:tc>
          <w:tcPr>
            <w:tcW w:w="997" w:type="dxa"/>
            <w:tcBorders>
              <w:top w:val="nil"/>
              <w:left w:val="nil"/>
              <w:bottom w:val="single" w:sz="4" w:space="0" w:color="auto"/>
              <w:right w:val="nil"/>
            </w:tcBorders>
          </w:tcPr>
          <w:p w14:paraId="1B4C7F98"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337.28</w:t>
            </w:r>
          </w:p>
        </w:tc>
        <w:tc>
          <w:tcPr>
            <w:tcW w:w="1410" w:type="dxa"/>
            <w:tcBorders>
              <w:top w:val="nil"/>
              <w:left w:val="nil"/>
              <w:bottom w:val="single" w:sz="4" w:space="0" w:color="auto"/>
              <w:right w:val="nil"/>
            </w:tcBorders>
          </w:tcPr>
          <w:p w14:paraId="60C7A184"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728.47</w:t>
            </w:r>
          </w:p>
        </w:tc>
        <w:tc>
          <w:tcPr>
            <w:tcW w:w="864" w:type="dxa"/>
            <w:tcBorders>
              <w:top w:val="nil"/>
              <w:left w:val="nil"/>
              <w:bottom w:val="single" w:sz="4" w:space="0" w:color="auto"/>
              <w:right w:val="nil"/>
            </w:tcBorders>
          </w:tcPr>
          <w:p w14:paraId="658C20BD" w14:textId="77777777" w:rsidR="00FE2D11" w:rsidRPr="008F722A" w:rsidRDefault="00FE2D11">
            <w:pPr>
              <w:widowControl w:val="0"/>
              <w:autoSpaceDE w:val="0"/>
              <w:autoSpaceDN w:val="0"/>
              <w:adjustRightInd w:val="0"/>
              <w:jc w:val="center"/>
              <w:rPr>
                <w:rFonts w:ascii="Times New Roman" w:hAnsi="Times New Roman" w:cs="Times New Roman Bold"/>
                <w:sz w:val="22"/>
                <w:lang w:val="fr-FR"/>
              </w:rPr>
            </w:pPr>
            <w:r w:rsidRPr="008F722A">
              <w:rPr>
                <w:rFonts w:ascii="Times New Roman" w:hAnsi="Times New Roman" w:cs="Times New Roman Bold"/>
                <w:sz w:val="22"/>
                <w:lang w:val="fr-FR"/>
              </w:rPr>
              <w:t>0</w:t>
            </w:r>
          </w:p>
        </w:tc>
        <w:tc>
          <w:tcPr>
            <w:tcW w:w="1440" w:type="dxa"/>
            <w:tcBorders>
              <w:top w:val="nil"/>
              <w:left w:val="nil"/>
              <w:bottom w:val="single" w:sz="4" w:space="0" w:color="auto"/>
              <w:right w:val="nil"/>
            </w:tcBorders>
          </w:tcPr>
          <w:p w14:paraId="4BD0E00E" w14:textId="77777777" w:rsidR="00FE2D11" w:rsidRPr="008F722A" w:rsidRDefault="00FC1194">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27,497</w:t>
            </w:r>
          </w:p>
        </w:tc>
      </w:tr>
      <w:tr w:rsidR="00FE2D11" w:rsidRPr="008F722A" w14:paraId="1A0E5682" w14:textId="77777777">
        <w:trPr>
          <w:jc w:val="center"/>
        </w:trPr>
        <w:tc>
          <w:tcPr>
            <w:tcW w:w="4389" w:type="dxa"/>
            <w:tcBorders>
              <w:top w:val="single" w:sz="4" w:space="0" w:color="auto"/>
              <w:left w:val="nil"/>
              <w:bottom w:val="nil"/>
              <w:right w:val="nil"/>
            </w:tcBorders>
          </w:tcPr>
          <w:p w14:paraId="050992D7" w14:textId="77777777" w:rsidR="00FE2D11" w:rsidRPr="008F722A" w:rsidRDefault="00FE2D11" w:rsidP="00B605C7">
            <w:pPr>
              <w:widowControl w:val="0"/>
              <w:autoSpaceDE w:val="0"/>
              <w:autoSpaceDN w:val="0"/>
              <w:adjustRightInd w:val="0"/>
              <w:jc w:val="right"/>
              <w:rPr>
                <w:rFonts w:ascii="Times New Roman" w:hAnsi="Times New Roman" w:cs="Times New Roman Bold"/>
                <w:b/>
                <w:sz w:val="22"/>
                <w:lang w:val="fr-FR"/>
              </w:rPr>
            </w:pPr>
            <w:r w:rsidRPr="008F722A">
              <w:rPr>
                <w:rFonts w:ascii="Times New Roman" w:hAnsi="Times New Roman" w:cs="Times New Roman Bold"/>
                <w:b/>
                <w:sz w:val="22"/>
                <w:lang w:val="fr-FR"/>
              </w:rPr>
              <w:t>Observations (</w:t>
            </w:r>
            <w:proofErr w:type="spellStart"/>
            <w:r w:rsidRPr="008F722A">
              <w:rPr>
                <w:rFonts w:ascii="Times New Roman" w:hAnsi="Times New Roman" w:cs="Times New Roman Bold"/>
                <w:b/>
                <w:sz w:val="22"/>
                <w:lang w:val="fr-FR"/>
              </w:rPr>
              <w:t>weighted</w:t>
            </w:r>
            <w:proofErr w:type="spellEnd"/>
            <w:r w:rsidRPr="008F722A">
              <w:rPr>
                <w:rFonts w:ascii="Times New Roman" w:hAnsi="Times New Roman" w:cs="Times New Roman Bold"/>
                <w:b/>
                <w:sz w:val="22"/>
                <w:lang w:val="fr-FR"/>
              </w:rPr>
              <w:t>)</w:t>
            </w:r>
          </w:p>
        </w:tc>
        <w:tc>
          <w:tcPr>
            <w:tcW w:w="4711" w:type="dxa"/>
            <w:gridSpan w:val="4"/>
            <w:tcBorders>
              <w:top w:val="single" w:sz="4" w:space="0" w:color="auto"/>
              <w:left w:val="nil"/>
              <w:right w:val="nil"/>
            </w:tcBorders>
            <w:shd w:val="clear" w:color="auto" w:fill="auto"/>
          </w:tcPr>
          <w:p w14:paraId="5B52FF05" w14:textId="77777777" w:rsidR="00FE2D11" w:rsidRPr="008F722A" w:rsidRDefault="00FE2D11" w:rsidP="00B605C7">
            <w:pPr>
              <w:widowControl w:val="0"/>
              <w:autoSpaceDE w:val="0"/>
              <w:autoSpaceDN w:val="0"/>
              <w:adjustRightInd w:val="0"/>
              <w:rPr>
                <w:rFonts w:ascii="Times New Roman" w:hAnsi="Times New Roman" w:cs="Times New Roman Bold"/>
                <w:sz w:val="22"/>
                <w:lang w:val="fr-FR"/>
              </w:rPr>
            </w:pPr>
            <w:r w:rsidRPr="008F722A">
              <w:rPr>
                <w:rFonts w:ascii="Times New Roman" w:hAnsi="Times New Roman" w:cs="Times New Roman Bold"/>
                <w:sz w:val="22"/>
                <w:lang w:val="fr-FR"/>
              </w:rPr>
              <w:t>158,573,745</w:t>
            </w:r>
          </w:p>
        </w:tc>
      </w:tr>
      <w:tr w:rsidR="00FE2D11" w:rsidRPr="008F722A" w14:paraId="4827C0D6" w14:textId="77777777">
        <w:trPr>
          <w:jc w:val="center"/>
        </w:trPr>
        <w:tc>
          <w:tcPr>
            <w:tcW w:w="4389" w:type="dxa"/>
            <w:tcBorders>
              <w:top w:val="nil"/>
              <w:left w:val="nil"/>
              <w:bottom w:val="double" w:sz="4" w:space="0" w:color="auto"/>
              <w:right w:val="nil"/>
            </w:tcBorders>
          </w:tcPr>
          <w:p w14:paraId="33197E16" w14:textId="77777777" w:rsidR="00FE2D11" w:rsidRPr="008F722A" w:rsidRDefault="00FE2D11" w:rsidP="00B605C7">
            <w:pPr>
              <w:widowControl w:val="0"/>
              <w:autoSpaceDE w:val="0"/>
              <w:autoSpaceDN w:val="0"/>
              <w:adjustRightInd w:val="0"/>
              <w:jc w:val="right"/>
              <w:rPr>
                <w:rFonts w:ascii="Times New Roman" w:hAnsi="Times New Roman" w:cs="Times New Roman Bold"/>
                <w:b/>
                <w:sz w:val="22"/>
                <w:lang w:val="fr-FR"/>
              </w:rPr>
            </w:pPr>
            <w:r w:rsidRPr="008F722A">
              <w:rPr>
                <w:rFonts w:ascii="Times New Roman" w:hAnsi="Times New Roman" w:cs="Times New Roman Bold"/>
                <w:b/>
                <w:sz w:val="22"/>
                <w:lang w:val="fr-FR"/>
              </w:rPr>
              <w:t>Observations (</w:t>
            </w:r>
            <w:proofErr w:type="spellStart"/>
            <w:r w:rsidRPr="008F722A">
              <w:rPr>
                <w:rFonts w:ascii="Times New Roman" w:hAnsi="Times New Roman" w:cs="Times New Roman Bold"/>
                <w:b/>
                <w:sz w:val="22"/>
                <w:lang w:val="fr-FR"/>
              </w:rPr>
              <w:t>unweighted</w:t>
            </w:r>
            <w:proofErr w:type="spellEnd"/>
            <w:r w:rsidRPr="008F722A">
              <w:rPr>
                <w:rFonts w:ascii="Times New Roman" w:hAnsi="Times New Roman" w:cs="Times New Roman Bold"/>
                <w:b/>
                <w:sz w:val="22"/>
                <w:lang w:val="fr-FR"/>
              </w:rPr>
              <w:t>)</w:t>
            </w:r>
          </w:p>
        </w:tc>
        <w:tc>
          <w:tcPr>
            <w:tcW w:w="4711" w:type="dxa"/>
            <w:gridSpan w:val="4"/>
            <w:tcBorders>
              <w:left w:val="nil"/>
              <w:bottom w:val="double" w:sz="4" w:space="0" w:color="auto"/>
              <w:right w:val="nil"/>
            </w:tcBorders>
            <w:shd w:val="clear" w:color="auto" w:fill="auto"/>
          </w:tcPr>
          <w:p w14:paraId="7406E90E" w14:textId="77777777" w:rsidR="00FE2D11" w:rsidRPr="008F722A" w:rsidRDefault="00FE2D11" w:rsidP="00B605C7">
            <w:pPr>
              <w:widowControl w:val="0"/>
              <w:autoSpaceDE w:val="0"/>
              <w:autoSpaceDN w:val="0"/>
              <w:adjustRightInd w:val="0"/>
              <w:rPr>
                <w:rFonts w:ascii="Times New Roman" w:hAnsi="Times New Roman" w:cs="Times New Roman Bold"/>
                <w:sz w:val="22"/>
                <w:lang w:val="fr-FR"/>
              </w:rPr>
            </w:pPr>
            <w:r w:rsidRPr="008F722A">
              <w:rPr>
                <w:rFonts w:ascii="Times New Roman" w:hAnsi="Times New Roman" w:cs="Times New Roman Bold"/>
                <w:sz w:val="22"/>
                <w:lang w:val="fr-FR"/>
              </w:rPr>
              <w:t>186,577</w:t>
            </w:r>
          </w:p>
        </w:tc>
      </w:tr>
    </w:tbl>
    <w:p w14:paraId="381DAA3C" w14:textId="77777777" w:rsidR="00FE2D11" w:rsidRDefault="00FE2D11" w:rsidP="00B605C7">
      <w:pPr>
        <w:widowControl w:val="0"/>
        <w:autoSpaceDE w:val="0"/>
        <w:autoSpaceDN w:val="0"/>
        <w:adjustRightInd w:val="0"/>
        <w:rPr>
          <w:rFonts w:ascii="Times New Roman" w:hAnsi="Times New Roman" w:cs="Times New Roman Bold"/>
          <w:b/>
          <w:sz w:val="22"/>
          <w:lang w:val="fr-FR"/>
        </w:rPr>
      </w:pPr>
    </w:p>
    <w:p w14:paraId="65188720" w14:textId="77777777" w:rsidR="00FE2D11" w:rsidRDefault="00FE2D11" w:rsidP="00B605C7">
      <w:pPr>
        <w:widowControl w:val="0"/>
        <w:autoSpaceDE w:val="0"/>
        <w:autoSpaceDN w:val="0"/>
        <w:adjustRightInd w:val="0"/>
        <w:rPr>
          <w:rFonts w:ascii="Times New Roman" w:hAnsi="Times New Roman" w:cs="Times New Roman Bold"/>
          <w:b/>
          <w:sz w:val="22"/>
          <w:lang w:val="fr-FR"/>
        </w:rPr>
      </w:pPr>
    </w:p>
    <w:p w14:paraId="7904D3D4" w14:textId="77777777" w:rsidR="00FE2D11" w:rsidRDefault="00FE2D11" w:rsidP="00B605C7">
      <w:pPr>
        <w:widowControl w:val="0"/>
        <w:autoSpaceDE w:val="0"/>
        <w:autoSpaceDN w:val="0"/>
        <w:adjustRightInd w:val="0"/>
        <w:rPr>
          <w:rFonts w:ascii="Times New Roman" w:hAnsi="Times New Roman" w:cs="Times New Roman Bold"/>
          <w:b/>
          <w:sz w:val="22"/>
          <w:lang w:val="fr-FR"/>
        </w:rPr>
      </w:pPr>
    </w:p>
    <w:p w14:paraId="493F59DC" w14:textId="77777777" w:rsidR="00FE2D11" w:rsidRPr="008921B0" w:rsidRDefault="00FE2D11" w:rsidP="00CC5CC1">
      <w:pPr>
        <w:widowControl w:val="0"/>
        <w:autoSpaceDE w:val="0"/>
        <w:autoSpaceDN w:val="0"/>
        <w:adjustRightInd w:val="0"/>
        <w:outlineLvl w:val="0"/>
        <w:rPr>
          <w:rFonts w:ascii="Times New Roman" w:hAnsi="Times New Roman" w:cs="Times New Roman Bold"/>
          <w:b/>
          <w:sz w:val="22"/>
          <w:lang w:val="en-US"/>
        </w:rPr>
      </w:pPr>
      <w:r w:rsidRPr="008921B0">
        <w:rPr>
          <w:rFonts w:ascii="Times New Roman" w:hAnsi="Times New Roman" w:cs="Times New Roman Bold"/>
          <w:b/>
          <w:sz w:val="22"/>
          <w:lang w:val="en-US"/>
        </w:rPr>
        <w:br w:type="page"/>
      </w:r>
      <w:r w:rsidRPr="008921B0">
        <w:rPr>
          <w:rFonts w:ascii="Times New Roman" w:hAnsi="Times New Roman" w:cs="Times New Roman Bold"/>
          <w:b/>
          <w:sz w:val="22"/>
          <w:lang w:val="en-US"/>
        </w:rPr>
        <w:lastRenderedPageBreak/>
        <w:t xml:space="preserve">Table 6 : Summary statistics by income </w:t>
      </w:r>
      <w:proofErr w:type="spellStart"/>
      <w:r w:rsidRPr="008921B0">
        <w:rPr>
          <w:rFonts w:ascii="Times New Roman" w:hAnsi="Times New Roman" w:cs="Times New Roman Bold"/>
          <w:b/>
          <w:sz w:val="22"/>
          <w:lang w:val="en-US"/>
        </w:rPr>
        <w:t>fractile</w:t>
      </w:r>
      <w:proofErr w:type="spellEnd"/>
      <w:r w:rsidRPr="008921B0">
        <w:rPr>
          <w:rFonts w:ascii="Times New Roman" w:hAnsi="Times New Roman" w:cs="Times New Roman Bold"/>
          <w:b/>
          <w:sz w:val="22"/>
          <w:lang w:val="en-US"/>
        </w:rPr>
        <w:t xml:space="preserve">, </w:t>
      </w:r>
      <w:r w:rsidR="00052AA1" w:rsidRPr="00E3446E">
        <w:rPr>
          <w:rFonts w:ascii="Times New Roman" w:hAnsi="Times New Roman" w:cs="Times New Roman Bold"/>
          <w:b/>
          <w:sz w:val="22"/>
          <w:lang w:val="en-US"/>
        </w:rPr>
        <w:t>Survey of Household Spending, Canada</w:t>
      </w:r>
    </w:p>
    <w:p w14:paraId="1E6731DA" w14:textId="77777777" w:rsidR="00FE2D11" w:rsidRPr="008921B0" w:rsidRDefault="00FE2D11" w:rsidP="00B605C7">
      <w:pPr>
        <w:widowControl w:val="0"/>
        <w:autoSpaceDE w:val="0"/>
        <w:autoSpaceDN w:val="0"/>
        <w:adjustRightInd w:val="0"/>
        <w:rPr>
          <w:rFonts w:ascii="Times New Roman" w:hAnsi="Times New Roman" w:cs="Times New Roman Bold"/>
          <w:b/>
          <w:sz w:val="22"/>
          <w:lang w:val="en-US"/>
        </w:rPr>
      </w:pPr>
    </w:p>
    <w:p w14:paraId="77F0455E" w14:textId="77777777" w:rsidR="00FE2D11" w:rsidRPr="008921B0" w:rsidRDefault="00FE2D11" w:rsidP="00B605C7">
      <w:pPr>
        <w:widowControl w:val="0"/>
        <w:autoSpaceDE w:val="0"/>
        <w:autoSpaceDN w:val="0"/>
        <w:adjustRightInd w:val="0"/>
        <w:rPr>
          <w:rFonts w:ascii="Times New Roman" w:hAnsi="Times New Roman" w:cs="Times New Roman Bold"/>
          <w:b/>
          <w:sz w:val="22"/>
          <w:lang w:val="en-US"/>
        </w:rPr>
      </w:pPr>
    </w:p>
    <w:tbl>
      <w:tblPr>
        <w:tblW w:w="11016" w:type="dxa"/>
        <w:jc w:val="center"/>
        <w:tblLayout w:type="fixed"/>
        <w:tblCellMar>
          <w:left w:w="75" w:type="dxa"/>
          <w:right w:w="75" w:type="dxa"/>
        </w:tblCellMar>
        <w:tblLook w:val="0000" w:firstRow="0" w:lastRow="0" w:firstColumn="0" w:lastColumn="0" w:noHBand="0" w:noVBand="0"/>
      </w:tblPr>
      <w:tblGrid>
        <w:gridCol w:w="5283"/>
        <w:gridCol w:w="1146"/>
        <w:gridCol w:w="1147"/>
        <w:gridCol w:w="1146"/>
        <w:gridCol w:w="1147"/>
        <w:gridCol w:w="1147"/>
      </w:tblGrid>
      <w:tr w:rsidR="00FE2D11" w14:paraId="48F5C67B" w14:textId="77777777">
        <w:trPr>
          <w:jc w:val="center"/>
        </w:trPr>
        <w:tc>
          <w:tcPr>
            <w:tcW w:w="5283" w:type="dxa"/>
            <w:tcBorders>
              <w:top w:val="nil"/>
              <w:left w:val="nil"/>
              <w:bottom w:val="double" w:sz="4" w:space="0" w:color="auto"/>
              <w:right w:val="nil"/>
            </w:tcBorders>
          </w:tcPr>
          <w:p w14:paraId="57A22ACC" w14:textId="77777777" w:rsidR="00FE2D11" w:rsidRPr="008921B0" w:rsidRDefault="00FE2D11" w:rsidP="00B605C7">
            <w:pPr>
              <w:tabs>
                <w:tab w:val="left" w:pos="5560"/>
              </w:tabs>
              <w:rPr>
                <w:rFonts w:ascii="Times New Roman" w:hAnsi="Times New Roman" w:cs="Times New Roman Bold"/>
                <w:sz w:val="22"/>
                <w:lang w:val="en-US"/>
              </w:rPr>
            </w:pPr>
            <w:r w:rsidRPr="008921B0">
              <w:rPr>
                <w:rFonts w:ascii="Times New Roman" w:hAnsi="Times New Roman" w:cs="Times New Roman Bold"/>
                <w:sz w:val="22"/>
                <w:lang w:val="en-US"/>
              </w:rPr>
              <w:t xml:space="preserve"> </w:t>
            </w:r>
          </w:p>
        </w:tc>
        <w:tc>
          <w:tcPr>
            <w:tcW w:w="1146" w:type="dxa"/>
            <w:tcBorders>
              <w:top w:val="nil"/>
              <w:left w:val="nil"/>
              <w:bottom w:val="double" w:sz="4" w:space="0" w:color="auto"/>
              <w:right w:val="nil"/>
            </w:tcBorders>
          </w:tcPr>
          <w:p w14:paraId="0350B37F"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roofErr w:type="spellStart"/>
            <w:r w:rsidRPr="00DF708F">
              <w:rPr>
                <w:rFonts w:ascii="Times New Roman" w:hAnsi="Times New Roman" w:cs="Times New Roman Bold"/>
                <w:sz w:val="22"/>
                <w:lang w:val="fr-FR"/>
              </w:rPr>
              <w:t>Bottom</w:t>
            </w:r>
            <w:proofErr w:type="spellEnd"/>
            <w:r w:rsidRPr="00DF708F">
              <w:rPr>
                <w:rFonts w:ascii="Times New Roman" w:hAnsi="Times New Roman" w:cs="Times New Roman Bold"/>
                <w:sz w:val="22"/>
                <w:lang w:val="fr-FR"/>
              </w:rPr>
              <w:t xml:space="preserve"> 20%</w:t>
            </w:r>
          </w:p>
        </w:tc>
        <w:tc>
          <w:tcPr>
            <w:tcW w:w="1147" w:type="dxa"/>
            <w:tcBorders>
              <w:top w:val="nil"/>
              <w:left w:val="nil"/>
              <w:bottom w:val="double" w:sz="4" w:space="0" w:color="auto"/>
              <w:right w:val="nil"/>
            </w:tcBorders>
          </w:tcPr>
          <w:p w14:paraId="4A02CB61"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roofErr w:type="spellStart"/>
            <w:r w:rsidRPr="00DF708F">
              <w:rPr>
                <w:rFonts w:ascii="Times New Roman" w:hAnsi="Times New Roman" w:cs="Times New Roman Bold"/>
                <w:sz w:val="22"/>
                <w:lang w:val="fr-FR"/>
              </w:rPr>
              <w:t>21st</w:t>
            </w:r>
            <w:proofErr w:type="spellEnd"/>
            <w:r w:rsidRPr="00DF708F">
              <w:rPr>
                <w:rFonts w:ascii="Times New Roman" w:hAnsi="Times New Roman" w:cs="Times New Roman Bold"/>
                <w:sz w:val="22"/>
                <w:lang w:val="fr-FR"/>
              </w:rPr>
              <w:t xml:space="preserve"> to </w:t>
            </w:r>
            <w:proofErr w:type="spellStart"/>
            <w:r w:rsidRPr="00DF708F">
              <w:rPr>
                <w:rFonts w:ascii="Times New Roman" w:hAnsi="Times New Roman" w:cs="Times New Roman Bold"/>
                <w:sz w:val="22"/>
                <w:lang w:val="fr-FR"/>
              </w:rPr>
              <w:t>50th</w:t>
            </w:r>
            <w:proofErr w:type="spellEnd"/>
            <w:r w:rsidRPr="00DF708F">
              <w:rPr>
                <w:rFonts w:ascii="Times New Roman" w:hAnsi="Times New Roman" w:cs="Times New Roman Bold"/>
                <w:sz w:val="22"/>
                <w:lang w:val="fr-FR"/>
              </w:rPr>
              <w:t xml:space="preserve"> </w:t>
            </w:r>
            <w:proofErr w:type="spellStart"/>
            <w:r w:rsidRPr="00DF708F">
              <w:rPr>
                <w:rFonts w:ascii="Times New Roman" w:hAnsi="Times New Roman" w:cs="Times New Roman Bold"/>
                <w:sz w:val="22"/>
                <w:lang w:val="fr-FR"/>
              </w:rPr>
              <w:t>pctile</w:t>
            </w:r>
            <w:proofErr w:type="spellEnd"/>
          </w:p>
        </w:tc>
        <w:tc>
          <w:tcPr>
            <w:tcW w:w="1146" w:type="dxa"/>
            <w:tcBorders>
              <w:top w:val="nil"/>
              <w:left w:val="nil"/>
              <w:bottom w:val="double" w:sz="4" w:space="0" w:color="auto"/>
              <w:right w:val="nil"/>
            </w:tcBorders>
          </w:tcPr>
          <w:p w14:paraId="68412393"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roofErr w:type="spellStart"/>
            <w:r w:rsidRPr="00DF708F">
              <w:rPr>
                <w:rFonts w:ascii="Times New Roman" w:hAnsi="Times New Roman" w:cs="Times New Roman Bold"/>
                <w:sz w:val="22"/>
                <w:lang w:val="fr-FR"/>
              </w:rPr>
              <w:t>51st</w:t>
            </w:r>
            <w:proofErr w:type="spellEnd"/>
            <w:r w:rsidRPr="00DF708F">
              <w:rPr>
                <w:rFonts w:ascii="Times New Roman" w:hAnsi="Times New Roman" w:cs="Times New Roman Bold"/>
                <w:sz w:val="22"/>
                <w:lang w:val="fr-FR"/>
              </w:rPr>
              <w:t xml:space="preserve"> to </w:t>
            </w:r>
            <w:proofErr w:type="spellStart"/>
            <w:r w:rsidRPr="00DF708F">
              <w:rPr>
                <w:rFonts w:ascii="Times New Roman" w:hAnsi="Times New Roman" w:cs="Times New Roman Bold"/>
                <w:sz w:val="22"/>
                <w:lang w:val="fr-FR"/>
              </w:rPr>
              <w:t>90th</w:t>
            </w:r>
            <w:proofErr w:type="spellEnd"/>
            <w:r w:rsidRPr="00DF708F">
              <w:rPr>
                <w:rFonts w:ascii="Times New Roman" w:hAnsi="Times New Roman" w:cs="Times New Roman Bold"/>
                <w:sz w:val="22"/>
                <w:lang w:val="fr-FR"/>
              </w:rPr>
              <w:t xml:space="preserve"> </w:t>
            </w:r>
            <w:proofErr w:type="spellStart"/>
            <w:r w:rsidRPr="00DF708F">
              <w:rPr>
                <w:rFonts w:ascii="Times New Roman" w:hAnsi="Times New Roman" w:cs="Times New Roman Bold"/>
                <w:sz w:val="22"/>
                <w:lang w:val="fr-FR"/>
              </w:rPr>
              <w:t>pctile</w:t>
            </w:r>
            <w:proofErr w:type="spellEnd"/>
          </w:p>
        </w:tc>
        <w:tc>
          <w:tcPr>
            <w:tcW w:w="1147" w:type="dxa"/>
            <w:tcBorders>
              <w:top w:val="nil"/>
              <w:left w:val="nil"/>
              <w:bottom w:val="double" w:sz="4" w:space="0" w:color="auto"/>
              <w:right w:val="nil"/>
            </w:tcBorders>
          </w:tcPr>
          <w:p w14:paraId="25FEBF5B"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Top 10%</w:t>
            </w:r>
          </w:p>
        </w:tc>
        <w:tc>
          <w:tcPr>
            <w:tcW w:w="1147" w:type="dxa"/>
            <w:tcBorders>
              <w:top w:val="nil"/>
              <w:left w:val="nil"/>
              <w:bottom w:val="double" w:sz="4" w:space="0" w:color="auto"/>
              <w:right w:val="nil"/>
            </w:tcBorders>
          </w:tcPr>
          <w:p w14:paraId="38FFD0B0"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Top 1</w:t>
            </w:r>
            <w:r w:rsidRPr="00DF708F">
              <w:rPr>
                <w:rFonts w:ascii="Times New Roman" w:hAnsi="Times New Roman" w:cs="Times New Roman Bold"/>
                <w:sz w:val="22"/>
                <w:lang w:val="fr-FR"/>
              </w:rPr>
              <w:t>%</w:t>
            </w:r>
          </w:p>
        </w:tc>
      </w:tr>
      <w:tr w:rsidR="00FE2D11" w14:paraId="0B2C6B1E" w14:textId="77777777">
        <w:trPr>
          <w:jc w:val="center"/>
        </w:trPr>
        <w:tc>
          <w:tcPr>
            <w:tcW w:w="5283" w:type="dxa"/>
            <w:tcBorders>
              <w:top w:val="double" w:sz="4" w:space="0" w:color="auto"/>
              <w:left w:val="nil"/>
              <w:bottom w:val="nil"/>
              <w:right w:val="nil"/>
            </w:tcBorders>
          </w:tcPr>
          <w:p w14:paraId="17CC2EA8" w14:textId="77777777" w:rsidR="00FE2D11" w:rsidRPr="00DF708F" w:rsidRDefault="00FE2D11">
            <w:pPr>
              <w:widowControl w:val="0"/>
              <w:autoSpaceDE w:val="0"/>
              <w:autoSpaceDN w:val="0"/>
              <w:adjustRightInd w:val="0"/>
              <w:rPr>
                <w:rFonts w:ascii="Times New Roman" w:hAnsi="Times New Roman" w:cs="Times New Roman Bold"/>
                <w:b/>
                <w:sz w:val="22"/>
                <w:lang w:val="fr-FR"/>
              </w:rPr>
            </w:pPr>
            <w:proofErr w:type="spellStart"/>
            <w:r>
              <w:rPr>
                <w:rFonts w:ascii="Times New Roman" w:hAnsi="Times New Roman" w:cs="Times New Roman Bold"/>
                <w:b/>
                <w:sz w:val="22"/>
                <w:lang w:val="fr-FR"/>
              </w:rPr>
              <w:t>Household</w:t>
            </w:r>
            <w:proofErr w:type="spellEnd"/>
            <w:r>
              <w:rPr>
                <w:rFonts w:ascii="Times New Roman" w:hAnsi="Times New Roman" w:cs="Times New Roman Bold"/>
                <w:b/>
                <w:sz w:val="22"/>
                <w:lang w:val="fr-FR"/>
              </w:rPr>
              <w:t xml:space="preserve"> </w:t>
            </w:r>
            <w:proofErr w:type="spellStart"/>
            <w:r>
              <w:rPr>
                <w:rFonts w:ascii="Times New Roman" w:hAnsi="Times New Roman" w:cs="Times New Roman Bold"/>
                <w:b/>
                <w:sz w:val="22"/>
                <w:lang w:val="fr-FR"/>
              </w:rPr>
              <w:t>characteristics</w:t>
            </w:r>
            <w:proofErr w:type="spellEnd"/>
          </w:p>
        </w:tc>
        <w:tc>
          <w:tcPr>
            <w:tcW w:w="1146" w:type="dxa"/>
            <w:tcBorders>
              <w:top w:val="double" w:sz="4" w:space="0" w:color="auto"/>
              <w:left w:val="nil"/>
              <w:bottom w:val="nil"/>
              <w:right w:val="nil"/>
            </w:tcBorders>
          </w:tcPr>
          <w:p w14:paraId="0F26B1EF"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c>
          <w:tcPr>
            <w:tcW w:w="1147" w:type="dxa"/>
            <w:tcBorders>
              <w:top w:val="double" w:sz="4" w:space="0" w:color="auto"/>
              <w:left w:val="nil"/>
              <w:bottom w:val="nil"/>
              <w:right w:val="nil"/>
            </w:tcBorders>
          </w:tcPr>
          <w:p w14:paraId="5A84DB90"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c>
          <w:tcPr>
            <w:tcW w:w="1146" w:type="dxa"/>
            <w:tcBorders>
              <w:top w:val="double" w:sz="4" w:space="0" w:color="auto"/>
              <w:left w:val="nil"/>
              <w:bottom w:val="nil"/>
              <w:right w:val="nil"/>
            </w:tcBorders>
          </w:tcPr>
          <w:p w14:paraId="35E816EE"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c>
          <w:tcPr>
            <w:tcW w:w="1147" w:type="dxa"/>
            <w:tcBorders>
              <w:top w:val="double" w:sz="4" w:space="0" w:color="auto"/>
              <w:left w:val="nil"/>
              <w:bottom w:val="nil"/>
              <w:right w:val="nil"/>
            </w:tcBorders>
          </w:tcPr>
          <w:p w14:paraId="23C4665B"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c>
          <w:tcPr>
            <w:tcW w:w="1147" w:type="dxa"/>
            <w:tcBorders>
              <w:top w:val="double" w:sz="4" w:space="0" w:color="auto"/>
              <w:left w:val="nil"/>
              <w:bottom w:val="nil"/>
              <w:right w:val="nil"/>
            </w:tcBorders>
          </w:tcPr>
          <w:p w14:paraId="409765E2"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r>
      <w:tr w:rsidR="00FE2D11" w14:paraId="0B3DBEF3" w14:textId="77777777">
        <w:trPr>
          <w:jc w:val="center"/>
        </w:trPr>
        <w:tc>
          <w:tcPr>
            <w:tcW w:w="5283" w:type="dxa"/>
            <w:tcBorders>
              <w:top w:val="nil"/>
              <w:left w:val="nil"/>
              <w:bottom w:val="nil"/>
              <w:right w:val="nil"/>
            </w:tcBorders>
          </w:tcPr>
          <w:p w14:paraId="42161379" w14:textId="77777777" w:rsidR="00FE2D11" w:rsidRPr="00DF708F"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sidRPr="00DF708F">
              <w:rPr>
                <w:rFonts w:ascii="Times New Roman" w:hAnsi="Times New Roman" w:cs="Times New Roman Bold"/>
                <w:sz w:val="22"/>
                <w:lang w:val="fr-FR"/>
              </w:rPr>
              <w:t>Household</w:t>
            </w:r>
            <w:proofErr w:type="spellEnd"/>
            <w:r w:rsidRPr="00DF708F">
              <w:rPr>
                <w:rFonts w:ascii="Times New Roman" w:hAnsi="Times New Roman" w:cs="Times New Roman Bold"/>
                <w:sz w:val="22"/>
                <w:lang w:val="fr-FR"/>
              </w:rPr>
              <w:t xml:space="preserve"> size </w:t>
            </w:r>
          </w:p>
        </w:tc>
        <w:tc>
          <w:tcPr>
            <w:tcW w:w="1146" w:type="dxa"/>
            <w:tcBorders>
              <w:top w:val="nil"/>
              <w:left w:val="nil"/>
              <w:bottom w:val="nil"/>
              <w:right w:val="nil"/>
            </w:tcBorders>
          </w:tcPr>
          <w:p w14:paraId="63F5DDED"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1.530</w:t>
            </w:r>
          </w:p>
        </w:tc>
        <w:tc>
          <w:tcPr>
            <w:tcW w:w="1147" w:type="dxa"/>
            <w:tcBorders>
              <w:top w:val="nil"/>
              <w:left w:val="nil"/>
              <w:bottom w:val="nil"/>
              <w:right w:val="nil"/>
            </w:tcBorders>
          </w:tcPr>
          <w:p w14:paraId="6A4FA62F"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2.252</w:t>
            </w:r>
          </w:p>
        </w:tc>
        <w:tc>
          <w:tcPr>
            <w:tcW w:w="1146" w:type="dxa"/>
            <w:tcBorders>
              <w:top w:val="nil"/>
              <w:left w:val="nil"/>
              <w:bottom w:val="nil"/>
              <w:right w:val="nil"/>
            </w:tcBorders>
          </w:tcPr>
          <w:p w14:paraId="0CA75828"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3.041</w:t>
            </w:r>
          </w:p>
        </w:tc>
        <w:tc>
          <w:tcPr>
            <w:tcW w:w="1147" w:type="dxa"/>
            <w:tcBorders>
              <w:top w:val="nil"/>
              <w:left w:val="nil"/>
              <w:bottom w:val="nil"/>
              <w:right w:val="nil"/>
            </w:tcBorders>
          </w:tcPr>
          <w:p w14:paraId="0AEDAC69"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520E4D">
              <w:rPr>
                <w:rFonts w:ascii="Times New Roman" w:hAnsi="Times New Roman" w:cs="Times New Roman Bold"/>
                <w:sz w:val="22"/>
                <w:lang w:val="fr-FR"/>
              </w:rPr>
              <w:t>3.530</w:t>
            </w:r>
          </w:p>
        </w:tc>
        <w:tc>
          <w:tcPr>
            <w:tcW w:w="1147" w:type="dxa"/>
            <w:tcBorders>
              <w:top w:val="nil"/>
              <w:left w:val="nil"/>
              <w:bottom w:val="nil"/>
              <w:right w:val="nil"/>
            </w:tcBorders>
          </w:tcPr>
          <w:p w14:paraId="5AFBDC42"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3.437</w:t>
            </w:r>
          </w:p>
        </w:tc>
      </w:tr>
      <w:tr w:rsidR="00FE2D11" w14:paraId="64C3B745" w14:textId="77777777">
        <w:trPr>
          <w:jc w:val="center"/>
        </w:trPr>
        <w:tc>
          <w:tcPr>
            <w:tcW w:w="5283" w:type="dxa"/>
            <w:tcBorders>
              <w:top w:val="nil"/>
              <w:left w:val="nil"/>
              <w:bottom w:val="nil"/>
              <w:right w:val="nil"/>
            </w:tcBorders>
          </w:tcPr>
          <w:p w14:paraId="5AD32420" w14:textId="77777777" w:rsidR="00FE2D11" w:rsidRPr="00DF708F"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sidRPr="00DF708F">
              <w:rPr>
                <w:rFonts w:ascii="Times New Roman" w:hAnsi="Times New Roman" w:cs="Times New Roman Bold"/>
                <w:sz w:val="22"/>
                <w:lang w:val="fr-FR"/>
              </w:rPr>
              <w:t>Number</w:t>
            </w:r>
            <w:proofErr w:type="spellEnd"/>
            <w:r w:rsidRPr="00DF708F">
              <w:rPr>
                <w:rFonts w:ascii="Times New Roman" w:hAnsi="Times New Roman" w:cs="Times New Roman Bold"/>
                <w:sz w:val="22"/>
                <w:lang w:val="fr-FR"/>
              </w:rPr>
              <w:t xml:space="preserve"> of seniors 65+</w:t>
            </w:r>
          </w:p>
        </w:tc>
        <w:tc>
          <w:tcPr>
            <w:tcW w:w="1146" w:type="dxa"/>
            <w:tcBorders>
              <w:top w:val="nil"/>
              <w:left w:val="nil"/>
              <w:bottom w:val="nil"/>
              <w:right w:val="nil"/>
            </w:tcBorders>
          </w:tcPr>
          <w:p w14:paraId="711DD423"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0.455</w:t>
            </w:r>
          </w:p>
        </w:tc>
        <w:tc>
          <w:tcPr>
            <w:tcW w:w="1147" w:type="dxa"/>
            <w:tcBorders>
              <w:top w:val="nil"/>
              <w:left w:val="nil"/>
              <w:bottom w:val="nil"/>
              <w:right w:val="nil"/>
            </w:tcBorders>
          </w:tcPr>
          <w:p w14:paraId="20602DDD"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0.457</w:t>
            </w:r>
          </w:p>
        </w:tc>
        <w:tc>
          <w:tcPr>
            <w:tcW w:w="1146" w:type="dxa"/>
            <w:tcBorders>
              <w:top w:val="nil"/>
              <w:left w:val="nil"/>
              <w:bottom w:val="nil"/>
              <w:right w:val="nil"/>
            </w:tcBorders>
          </w:tcPr>
          <w:p w14:paraId="24CC4789"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0.185</w:t>
            </w:r>
          </w:p>
        </w:tc>
        <w:tc>
          <w:tcPr>
            <w:tcW w:w="1147" w:type="dxa"/>
            <w:tcBorders>
              <w:top w:val="nil"/>
              <w:left w:val="nil"/>
              <w:bottom w:val="nil"/>
              <w:right w:val="nil"/>
            </w:tcBorders>
          </w:tcPr>
          <w:p w14:paraId="4BE11ADA"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0.132</w:t>
            </w:r>
          </w:p>
        </w:tc>
        <w:tc>
          <w:tcPr>
            <w:tcW w:w="1147" w:type="dxa"/>
            <w:tcBorders>
              <w:top w:val="nil"/>
              <w:left w:val="nil"/>
              <w:bottom w:val="nil"/>
              <w:right w:val="nil"/>
            </w:tcBorders>
          </w:tcPr>
          <w:p w14:paraId="15CFECFF"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0.147</w:t>
            </w:r>
          </w:p>
        </w:tc>
      </w:tr>
      <w:tr w:rsidR="00FE2D11" w14:paraId="56C5702D" w14:textId="77777777">
        <w:trPr>
          <w:jc w:val="center"/>
        </w:trPr>
        <w:tc>
          <w:tcPr>
            <w:tcW w:w="5283" w:type="dxa"/>
            <w:tcBorders>
              <w:top w:val="nil"/>
              <w:left w:val="nil"/>
              <w:bottom w:val="nil"/>
              <w:right w:val="nil"/>
            </w:tcBorders>
          </w:tcPr>
          <w:p w14:paraId="435ABA97" w14:textId="77777777" w:rsidR="00FE2D11" w:rsidRPr="00DF708F" w:rsidRDefault="00FE2D11" w:rsidP="00B605C7">
            <w:pPr>
              <w:widowControl w:val="0"/>
              <w:autoSpaceDE w:val="0"/>
              <w:autoSpaceDN w:val="0"/>
              <w:adjustRightInd w:val="0"/>
              <w:jc w:val="right"/>
              <w:rPr>
                <w:rFonts w:ascii="Times New Roman" w:hAnsi="Times New Roman" w:cs="Times New Roman Bold"/>
                <w:sz w:val="22"/>
                <w:lang w:val="fr-FR"/>
              </w:rPr>
            </w:pPr>
            <w:proofErr w:type="spellStart"/>
            <w:r w:rsidRPr="00DF708F">
              <w:rPr>
                <w:rFonts w:ascii="Times New Roman" w:hAnsi="Times New Roman" w:cs="Times New Roman Bold"/>
                <w:sz w:val="22"/>
                <w:lang w:val="fr-FR"/>
              </w:rPr>
              <w:t>Married</w:t>
            </w:r>
            <w:proofErr w:type="spellEnd"/>
            <w:r w:rsidRPr="00DF708F">
              <w:rPr>
                <w:rFonts w:ascii="Times New Roman" w:hAnsi="Times New Roman" w:cs="Times New Roman Bold"/>
                <w:sz w:val="22"/>
                <w:lang w:val="fr-FR"/>
              </w:rPr>
              <w:t xml:space="preserve"> couple</w:t>
            </w:r>
          </w:p>
        </w:tc>
        <w:tc>
          <w:tcPr>
            <w:tcW w:w="1146" w:type="dxa"/>
            <w:tcBorders>
              <w:top w:val="nil"/>
              <w:left w:val="nil"/>
              <w:bottom w:val="nil"/>
              <w:right w:val="nil"/>
            </w:tcBorders>
          </w:tcPr>
          <w:p w14:paraId="0AB51B9C"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0.212</w:t>
            </w:r>
          </w:p>
        </w:tc>
        <w:tc>
          <w:tcPr>
            <w:tcW w:w="1147" w:type="dxa"/>
            <w:tcBorders>
              <w:top w:val="nil"/>
              <w:left w:val="nil"/>
              <w:bottom w:val="nil"/>
              <w:right w:val="nil"/>
            </w:tcBorders>
          </w:tcPr>
          <w:p w14:paraId="60F0E099"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0.543</w:t>
            </w:r>
          </w:p>
        </w:tc>
        <w:tc>
          <w:tcPr>
            <w:tcW w:w="1146" w:type="dxa"/>
            <w:tcBorders>
              <w:top w:val="nil"/>
              <w:left w:val="nil"/>
              <w:bottom w:val="nil"/>
              <w:right w:val="nil"/>
            </w:tcBorders>
          </w:tcPr>
          <w:p w14:paraId="13E53EE0"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0.794</w:t>
            </w:r>
          </w:p>
        </w:tc>
        <w:tc>
          <w:tcPr>
            <w:tcW w:w="1147" w:type="dxa"/>
            <w:tcBorders>
              <w:top w:val="nil"/>
              <w:left w:val="nil"/>
              <w:bottom w:val="nil"/>
              <w:right w:val="nil"/>
            </w:tcBorders>
          </w:tcPr>
          <w:p w14:paraId="5CA9E36D" w14:textId="77777777" w:rsidR="00FE2D11" w:rsidRPr="00520E4D" w:rsidRDefault="00FE2D11">
            <w:pPr>
              <w:widowControl w:val="0"/>
              <w:autoSpaceDE w:val="0"/>
              <w:autoSpaceDN w:val="0"/>
              <w:adjustRightInd w:val="0"/>
              <w:jc w:val="center"/>
              <w:rPr>
                <w:rFonts w:ascii="Times New Roman" w:hAnsi="Times New Roman" w:cs="Times New Roman Bold"/>
                <w:sz w:val="22"/>
                <w:lang w:val="fr-FR"/>
              </w:rPr>
            </w:pPr>
            <w:r w:rsidRPr="00520E4D">
              <w:rPr>
                <w:rFonts w:ascii="Times New Roman" w:hAnsi="Times New Roman" w:cs="Times New Roman Bold"/>
                <w:sz w:val="22"/>
                <w:lang w:val="fr-FR"/>
              </w:rPr>
              <w:t>0.907</w:t>
            </w:r>
          </w:p>
        </w:tc>
        <w:tc>
          <w:tcPr>
            <w:tcW w:w="1147" w:type="dxa"/>
            <w:tcBorders>
              <w:top w:val="nil"/>
              <w:left w:val="nil"/>
              <w:bottom w:val="nil"/>
              <w:right w:val="nil"/>
            </w:tcBorders>
          </w:tcPr>
          <w:p w14:paraId="7C86B472"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0.898</w:t>
            </w:r>
          </w:p>
        </w:tc>
      </w:tr>
      <w:tr w:rsidR="00FE2D11" w14:paraId="0F0B6D16" w14:textId="77777777">
        <w:trPr>
          <w:jc w:val="center"/>
        </w:trPr>
        <w:tc>
          <w:tcPr>
            <w:tcW w:w="5283" w:type="dxa"/>
            <w:tcBorders>
              <w:top w:val="nil"/>
              <w:left w:val="nil"/>
              <w:bottom w:val="nil"/>
              <w:right w:val="nil"/>
            </w:tcBorders>
          </w:tcPr>
          <w:p w14:paraId="6F6D4470" w14:textId="77777777" w:rsidR="00FE2D11" w:rsidRPr="008921B0" w:rsidRDefault="00FE2D11"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 xml:space="preserve">Household with youngest child 6-18 </w:t>
            </w:r>
            <w:proofErr w:type="spellStart"/>
            <w:r w:rsidRPr="008921B0">
              <w:rPr>
                <w:rFonts w:ascii="Times New Roman" w:hAnsi="Times New Roman" w:cs="Times New Roman Bold"/>
                <w:sz w:val="22"/>
                <w:lang w:val="en-US"/>
              </w:rPr>
              <w:t>yrs</w:t>
            </w:r>
            <w:proofErr w:type="spellEnd"/>
          </w:p>
        </w:tc>
        <w:tc>
          <w:tcPr>
            <w:tcW w:w="1146" w:type="dxa"/>
            <w:tcBorders>
              <w:top w:val="nil"/>
              <w:left w:val="nil"/>
              <w:bottom w:val="nil"/>
              <w:right w:val="nil"/>
            </w:tcBorders>
          </w:tcPr>
          <w:p w14:paraId="4DE77193"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0.0595</w:t>
            </w:r>
          </w:p>
        </w:tc>
        <w:tc>
          <w:tcPr>
            <w:tcW w:w="1147" w:type="dxa"/>
            <w:tcBorders>
              <w:top w:val="nil"/>
              <w:left w:val="nil"/>
              <w:bottom w:val="nil"/>
              <w:right w:val="nil"/>
            </w:tcBorders>
          </w:tcPr>
          <w:p w14:paraId="42FCFC07"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0.126</w:t>
            </w:r>
          </w:p>
        </w:tc>
        <w:tc>
          <w:tcPr>
            <w:tcW w:w="1146" w:type="dxa"/>
            <w:tcBorders>
              <w:top w:val="nil"/>
              <w:left w:val="nil"/>
              <w:bottom w:val="nil"/>
              <w:right w:val="nil"/>
            </w:tcBorders>
          </w:tcPr>
          <w:p w14:paraId="7E5D7A65"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0.238</w:t>
            </w:r>
          </w:p>
        </w:tc>
        <w:tc>
          <w:tcPr>
            <w:tcW w:w="1147" w:type="dxa"/>
            <w:tcBorders>
              <w:top w:val="nil"/>
              <w:left w:val="nil"/>
              <w:bottom w:val="nil"/>
              <w:right w:val="nil"/>
            </w:tcBorders>
          </w:tcPr>
          <w:p w14:paraId="632D7D6F" w14:textId="77777777" w:rsidR="00FE2D11" w:rsidRPr="00520E4D" w:rsidRDefault="00FE2D11">
            <w:pPr>
              <w:widowControl w:val="0"/>
              <w:autoSpaceDE w:val="0"/>
              <w:autoSpaceDN w:val="0"/>
              <w:adjustRightInd w:val="0"/>
              <w:jc w:val="center"/>
              <w:rPr>
                <w:rFonts w:ascii="Times New Roman" w:hAnsi="Times New Roman" w:cs="Times New Roman Bold"/>
                <w:sz w:val="22"/>
                <w:lang w:val="fr-FR"/>
              </w:rPr>
            </w:pPr>
            <w:r w:rsidRPr="00520E4D">
              <w:rPr>
                <w:rFonts w:ascii="Times New Roman" w:hAnsi="Times New Roman" w:cs="Times New Roman Bold"/>
                <w:sz w:val="22"/>
                <w:lang w:val="fr-FR"/>
              </w:rPr>
              <w:t>0.310</w:t>
            </w:r>
          </w:p>
        </w:tc>
        <w:tc>
          <w:tcPr>
            <w:tcW w:w="1147" w:type="dxa"/>
            <w:tcBorders>
              <w:top w:val="nil"/>
              <w:left w:val="nil"/>
              <w:bottom w:val="nil"/>
              <w:right w:val="nil"/>
            </w:tcBorders>
          </w:tcPr>
          <w:p w14:paraId="6331F831"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0.323</w:t>
            </w:r>
          </w:p>
        </w:tc>
      </w:tr>
      <w:tr w:rsidR="00FE2D11" w14:paraId="578D547C" w14:textId="77777777">
        <w:trPr>
          <w:jc w:val="center"/>
        </w:trPr>
        <w:tc>
          <w:tcPr>
            <w:tcW w:w="5283" w:type="dxa"/>
            <w:tcBorders>
              <w:top w:val="nil"/>
              <w:left w:val="nil"/>
              <w:bottom w:val="nil"/>
              <w:right w:val="nil"/>
            </w:tcBorders>
          </w:tcPr>
          <w:p w14:paraId="44648D14" w14:textId="77777777" w:rsidR="00FE2D11" w:rsidRPr="008921B0" w:rsidRDefault="00FE2D11"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 xml:space="preserve">Household with youngest child 0-5 </w:t>
            </w:r>
            <w:proofErr w:type="spellStart"/>
            <w:r w:rsidRPr="008921B0">
              <w:rPr>
                <w:rFonts w:ascii="Times New Roman" w:hAnsi="Times New Roman" w:cs="Times New Roman Bold"/>
                <w:sz w:val="22"/>
                <w:lang w:val="en-US"/>
              </w:rPr>
              <w:t>yrs</w:t>
            </w:r>
            <w:proofErr w:type="spellEnd"/>
          </w:p>
        </w:tc>
        <w:tc>
          <w:tcPr>
            <w:tcW w:w="1146" w:type="dxa"/>
            <w:tcBorders>
              <w:top w:val="nil"/>
              <w:left w:val="nil"/>
              <w:bottom w:val="nil"/>
              <w:right w:val="nil"/>
            </w:tcBorders>
          </w:tcPr>
          <w:p w14:paraId="608518EC"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0.0538</w:t>
            </w:r>
          </w:p>
        </w:tc>
        <w:tc>
          <w:tcPr>
            <w:tcW w:w="1147" w:type="dxa"/>
            <w:tcBorders>
              <w:top w:val="nil"/>
              <w:left w:val="nil"/>
              <w:bottom w:val="nil"/>
              <w:right w:val="nil"/>
            </w:tcBorders>
          </w:tcPr>
          <w:p w14:paraId="6D19FBB6"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0.103</w:t>
            </w:r>
          </w:p>
        </w:tc>
        <w:tc>
          <w:tcPr>
            <w:tcW w:w="1146" w:type="dxa"/>
            <w:tcBorders>
              <w:top w:val="nil"/>
              <w:left w:val="nil"/>
              <w:bottom w:val="nil"/>
              <w:right w:val="nil"/>
            </w:tcBorders>
          </w:tcPr>
          <w:p w14:paraId="18DA5720"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0.157</w:t>
            </w:r>
          </w:p>
        </w:tc>
        <w:tc>
          <w:tcPr>
            <w:tcW w:w="1147" w:type="dxa"/>
            <w:tcBorders>
              <w:top w:val="nil"/>
              <w:left w:val="nil"/>
              <w:bottom w:val="nil"/>
              <w:right w:val="nil"/>
            </w:tcBorders>
          </w:tcPr>
          <w:p w14:paraId="0B4D3095"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Pr>
                <w:rFonts w:ascii="Times New Roman" w:hAnsi="Times New Roman" w:cs="Times New Roman Bold"/>
                <w:sz w:val="22"/>
                <w:lang w:val="fr-FR"/>
              </w:rPr>
              <w:t>0.130</w:t>
            </w:r>
          </w:p>
        </w:tc>
        <w:tc>
          <w:tcPr>
            <w:tcW w:w="1147" w:type="dxa"/>
            <w:tcBorders>
              <w:top w:val="nil"/>
              <w:left w:val="nil"/>
              <w:bottom w:val="nil"/>
              <w:right w:val="nil"/>
            </w:tcBorders>
          </w:tcPr>
          <w:p w14:paraId="2B4D8252"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r w:rsidRPr="00DF708F">
              <w:rPr>
                <w:rFonts w:ascii="Times New Roman" w:hAnsi="Times New Roman" w:cs="Times New Roman Bold"/>
                <w:sz w:val="22"/>
                <w:lang w:val="fr-FR"/>
              </w:rPr>
              <w:t>0.152</w:t>
            </w:r>
          </w:p>
        </w:tc>
      </w:tr>
      <w:tr w:rsidR="00FE2D11" w14:paraId="7C7521FE" w14:textId="77777777">
        <w:trPr>
          <w:jc w:val="center"/>
        </w:trPr>
        <w:tc>
          <w:tcPr>
            <w:tcW w:w="5283" w:type="dxa"/>
            <w:tcBorders>
              <w:top w:val="nil"/>
              <w:left w:val="nil"/>
              <w:bottom w:val="nil"/>
              <w:right w:val="nil"/>
            </w:tcBorders>
          </w:tcPr>
          <w:p w14:paraId="63EF0AF0" w14:textId="77777777" w:rsidR="00FE2D11" w:rsidRPr="00DF708F" w:rsidRDefault="00FE2D11" w:rsidP="00B605C7">
            <w:pPr>
              <w:widowControl w:val="0"/>
              <w:autoSpaceDE w:val="0"/>
              <w:autoSpaceDN w:val="0"/>
              <w:adjustRightInd w:val="0"/>
              <w:jc w:val="right"/>
              <w:rPr>
                <w:rFonts w:ascii="Times New Roman" w:hAnsi="Times New Roman" w:cs="Times New Roman Bold"/>
                <w:sz w:val="22"/>
                <w:lang w:val="fr-FR"/>
              </w:rPr>
            </w:pPr>
            <w:r>
              <w:rPr>
                <w:rFonts w:ascii="Times New Roman" w:hAnsi="Times New Roman" w:cs="Times New Roman Bold"/>
                <w:sz w:val="22"/>
                <w:lang w:val="fr-FR"/>
              </w:rPr>
              <w:t>Total</w:t>
            </w:r>
            <w:r w:rsidRPr="00DF708F">
              <w:rPr>
                <w:rFonts w:ascii="Times New Roman" w:hAnsi="Times New Roman" w:cs="Times New Roman Bold"/>
                <w:sz w:val="22"/>
                <w:lang w:val="fr-FR"/>
              </w:rPr>
              <w:t xml:space="preserve"> </w:t>
            </w:r>
            <w:proofErr w:type="spellStart"/>
            <w:r w:rsidRPr="00DF708F">
              <w:rPr>
                <w:rFonts w:ascii="Times New Roman" w:hAnsi="Times New Roman" w:cs="Times New Roman Bold"/>
                <w:sz w:val="22"/>
                <w:lang w:val="fr-FR"/>
              </w:rPr>
              <w:t>income</w:t>
            </w:r>
            <w:proofErr w:type="spellEnd"/>
          </w:p>
        </w:tc>
        <w:tc>
          <w:tcPr>
            <w:tcW w:w="1146" w:type="dxa"/>
            <w:tcBorders>
              <w:top w:val="nil"/>
              <w:left w:val="nil"/>
              <w:bottom w:val="nil"/>
              <w:right w:val="nil"/>
            </w:tcBorders>
          </w:tcPr>
          <w:p w14:paraId="6483769F" w14:textId="77777777" w:rsidR="00FE2D11"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14,279</w:t>
            </w:r>
          </w:p>
        </w:tc>
        <w:tc>
          <w:tcPr>
            <w:tcW w:w="1147" w:type="dxa"/>
            <w:tcBorders>
              <w:top w:val="nil"/>
              <w:left w:val="nil"/>
              <w:bottom w:val="nil"/>
              <w:right w:val="nil"/>
            </w:tcBorders>
          </w:tcPr>
          <w:p w14:paraId="226A9F02" w14:textId="77777777" w:rsidR="00FE2D11"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35,373</w:t>
            </w:r>
          </w:p>
        </w:tc>
        <w:tc>
          <w:tcPr>
            <w:tcW w:w="1146" w:type="dxa"/>
            <w:tcBorders>
              <w:top w:val="nil"/>
              <w:left w:val="nil"/>
              <w:bottom w:val="nil"/>
              <w:right w:val="nil"/>
            </w:tcBorders>
          </w:tcPr>
          <w:p w14:paraId="6F62E31F" w14:textId="77777777" w:rsidR="00FE2D11"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76,778</w:t>
            </w:r>
          </w:p>
        </w:tc>
        <w:tc>
          <w:tcPr>
            <w:tcW w:w="1147" w:type="dxa"/>
            <w:tcBorders>
              <w:top w:val="nil"/>
              <w:left w:val="nil"/>
              <w:bottom w:val="nil"/>
              <w:right w:val="nil"/>
            </w:tcBorders>
          </w:tcPr>
          <w:p w14:paraId="3FAFFC78" w14:textId="77777777" w:rsidR="00FE2D11"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180,233</w:t>
            </w:r>
          </w:p>
        </w:tc>
        <w:tc>
          <w:tcPr>
            <w:tcW w:w="1147" w:type="dxa"/>
            <w:tcBorders>
              <w:top w:val="nil"/>
              <w:left w:val="nil"/>
              <w:bottom w:val="nil"/>
              <w:right w:val="nil"/>
            </w:tcBorders>
          </w:tcPr>
          <w:p w14:paraId="5D756A1F" w14:textId="77777777" w:rsidR="00FE2D11" w:rsidRPr="00DF708F" w:rsidRDefault="00ED76A3">
            <w:pPr>
              <w:widowControl w:val="0"/>
              <w:autoSpaceDE w:val="0"/>
              <w:autoSpaceDN w:val="0"/>
              <w:adjustRightInd w:val="0"/>
              <w:jc w:val="center"/>
              <w:rPr>
                <w:rFonts w:ascii="Times New Roman" w:hAnsi="Times New Roman" w:cs="Times New Roman Bold"/>
                <w:sz w:val="22"/>
                <w:lang w:val="fr-FR"/>
              </w:rPr>
            </w:pPr>
            <w:r w:rsidRPr="00ED76A3">
              <w:rPr>
                <w:rFonts w:ascii="Times New Roman" w:hAnsi="Times New Roman" w:cs="Times New Roman Bold"/>
                <w:sz w:val="22"/>
                <w:lang w:val="en-US"/>
              </w:rPr>
              <w:t>395,529</w:t>
            </w:r>
          </w:p>
        </w:tc>
      </w:tr>
      <w:tr w:rsidR="00ED76A3" w14:paraId="506E8094" w14:textId="77777777">
        <w:trPr>
          <w:jc w:val="center"/>
        </w:trPr>
        <w:tc>
          <w:tcPr>
            <w:tcW w:w="5283" w:type="dxa"/>
            <w:tcBorders>
              <w:top w:val="nil"/>
              <w:left w:val="nil"/>
              <w:bottom w:val="nil"/>
              <w:right w:val="nil"/>
            </w:tcBorders>
          </w:tcPr>
          <w:p w14:paraId="34A5FB58" w14:textId="77777777" w:rsidR="00ED76A3" w:rsidRPr="00DF708F" w:rsidRDefault="00ED76A3" w:rsidP="00B605C7">
            <w:pPr>
              <w:widowControl w:val="0"/>
              <w:autoSpaceDE w:val="0"/>
              <w:autoSpaceDN w:val="0"/>
              <w:adjustRightInd w:val="0"/>
              <w:jc w:val="right"/>
              <w:rPr>
                <w:rFonts w:ascii="Times New Roman" w:hAnsi="Times New Roman" w:cs="Times New Roman Bold"/>
                <w:sz w:val="22"/>
                <w:lang w:val="fr-FR"/>
              </w:rPr>
            </w:pPr>
            <w:r>
              <w:rPr>
                <w:rFonts w:ascii="Times New Roman" w:hAnsi="Times New Roman" w:cs="Times New Roman Bold"/>
                <w:sz w:val="22"/>
                <w:lang w:val="fr-FR"/>
              </w:rPr>
              <w:t>T</w:t>
            </w:r>
            <w:r w:rsidRPr="00DF708F">
              <w:rPr>
                <w:rFonts w:ascii="Times New Roman" w:hAnsi="Times New Roman" w:cs="Times New Roman Bold"/>
                <w:sz w:val="22"/>
                <w:lang w:val="fr-FR"/>
              </w:rPr>
              <w:t xml:space="preserve">otal </w:t>
            </w:r>
            <w:proofErr w:type="spellStart"/>
            <w:r w:rsidRPr="00DF708F">
              <w:rPr>
                <w:rFonts w:ascii="Times New Roman" w:hAnsi="Times New Roman" w:cs="Times New Roman Bold"/>
                <w:sz w:val="22"/>
                <w:lang w:val="fr-FR"/>
              </w:rPr>
              <w:t>consumption</w:t>
            </w:r>
            <w:proofErr w:type="spellEnd"/>
            <w:r w:rsidRPr="00DF708F">
              <w:rPr>
                <w:rFonts w:ascii="Times New Roman" w:hAnsi="Times New Roman" w:cs="Times New Roman Bold"/>
                <w:sz w:val="22"/>
                <w:lang w:val="fr-FR"/>
              </w:rPr>
              <w:t xml:space="preserve"> </w:t>
            </w:r>
            <w:proofErr w:type="spellStart"/>
            <w:r w:rsidRPr="00DF708F">
              <w:rPr>
                <w:rFonts w:ascii="Times New Roman" w:hAnsi="Times New Roman" w:cs="Times New Roman Bold"/>
                <w:sz w:val="22"/>
                <w:lang w:val="fr-FR"/>
              </w:rPr>
              <w:t>expenditure</w:t>
            </w:r>
            <w:proofErr w:type="spellEnd"/>
          </w:p>
        </w:tc>
        <w:tc>
          <w:tcPr>
            <w:tcW w:w="1146" w:type="dxa"/>
            <w:tcBorders>
              <w:top w:val="nil"/>
              <w:left w:val="nil"/>
              <w:bottom w:val="nil"/>
              <w:right w:val="nil"/>
            </w:tcBorders>
          </w:tcPr>
          <w:p w14:paraId="5EA8325D" w14:textId="77777777" w:rsidR="00ED76A3"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17,788</w:t>
            </w:r>
          </w:p>
        </w:tc>
        <w:tc>
          <w:tcPr>
            <w:tcW w:w="1147" w:type="dxa"/>
            <w:tcBorders>
              <w:top w:val="nil"/>
              <w:left w:val="nil"/>
              <w:bottom w:val="nil"/>
              <w:right w:val="nil"/>
            </w:tcBorders>
          </w:tcPr>
          <w:p w14:paraId="75A0F9FD" w14:textId="77777777" w:rsidR="00ED76A3"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31,117</w:t>
            </w:r>
          </w:p>
        </w:tc>
        <w:tc>
          <w:tcPr>
            <w:tcW w:w="1146" w:type="dxa"/>
            <w:tcBorders>
              <w:top w:val="nil"/>
              <w:left w:val="nil"/>
              <w:bottom w:val="nil"/>
              <w:right w:val="nil"/>
            </w:tcBorders>
          </w:tcPr>
          <w:p w14:paraId="3BA367CE" w14:textId="77777777" w:rsidR="00ED76A3"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52,613</w:t>
            </w:r>
          </w:p>
        </w:tc>
        <w:tc>
          <w:tcPr>
            <w:tcW w:w="1147" w:type="dxa"/>
            <w:tcBorders>
              <w:top w:val="nil"/>
              <w:left w:val="nil"/>
              <w:bottom w:val="nil"/>
              <w:right w:val="nil"/>
            </w:tcBorders>
          </w:tcPr>
          <w:p w14:paraId="06D21E49" w14:textId="77777777" w:rsidR="00ED76A3"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88,433</w:t>
            </w:r>
          </w:p>
        </w:tc>
        <w:tc>
          <w:tcPr>
            <w:tcW w:w="1147" w:type="dxa"/>
            <w:tcBorders>
              <w:top w:val="nil"/>
              <w:left w:val="nil"/>
              <w:bottom w:val="nil"/>
              <w:right w:val="nil"/>
            </w:tcBorders>
          </w:tcPr>
          <w:p w14:paraId="45E07ED5" w14:textId="77777777" w:rsidR="00ED76A3" w:rsidRPr="00DF708F" w:rsidRDefault="00ED76A3">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132,315</w:t>
            </w:r>
          </w:p>
        </w:tc>
      </w:tr>
      <w:tr w:rsidR="00FE2D11" w14:paraId="0145F5EC" w14:textId="77777777">
        <w:trPr>
          <w:jc w:val="center"/>
        </w:trPr>
        <w:tc>
          <w:tcPr>
            <w:tcW w:w="5283" w:type="dxa"/>
            <w:tcBorders>
              <w:top w:val="nil"/>
              <w:left w:val="nil"/>
              <w:bottom w:val="nil"/>
              <w:right w:val="nil"/>
            </w:tcBorders>
          </w:tcPr>
          <w:p w14:paraId="3A478761" w14:textId="77777777" w:rsidR="00FE2D11" w:rsidRPr="00DF708F" w:rsidRDefault="00FE2D11">
            <w:pPr>
              <w:widowControl w:val="0"/>
              <w:autoSpaceDE w:val="0"/>
              <w:autoSpaceDN w:val="0"/>
              <w:adjustRightInd w:val="0"/>
              <w:rPr>
                <w:rFonts w:ascii="Times New Roman" w:hAnsi="Times New Roman" w:cs="Times New Roman Bold"/>
                <w:b/>
                <w:sz w:val="22"/>
                <w:lang w:val="fr-FR"/>
              </w:rPr>
            </w:pPr>
            <w:proofErr w:type="spellStart"/>
            <w:r>
              <w:rPr>
                <w:rFonts w:ascii="Times New Roman" w:hAnsi="Times New Roman" w:cs="Times New Roman Bold"/>
                <w:b/>
                <w:sz w:val="22"/>
                <w:lang w:val="fr-FR"/>
              </w:rPr>
              <w:t>Household</w:t>
            </w:r>
            <w:proofErr w:type="spellEnd"/>
            <w:r>
              <w:rPr>
                <w:rFonts w:ascii="Times New Roman" w:hAnsi="Times New Roman" w:cs="Times New Roman Bold"/>
                <w:b/>
                <w:sz w:val="22"/>
                <w:lang w:val="fr-FR"/>
              </w:rPr>
              <w:t xml:space="preserve"> </w:t>
            </w:r>
            <w:proofErr w:type="spellStart"/>
            <w:r>
              <w:rPr>
                <w:rFonts w:ascii="Times New Roman" w:hAnsi="Times New Roman" w:cs="Times New Roman Bold"/>
                <w:b/>
                <w:sz w:val="22"/>
                <w:lang w:val="fr-FR"/>
              </w:rPr>
              <w:t>health</w:t>
            </w:r>
            <w:proofErr w:type="spellEnd"/>
            <w:r>
              <w:rPr>
                <w:rFonts w:ascii="Times New Roman" w:hAnsi="Times New Roman" w:cs="Times New Roman Bold"/>
                <w:b/>
                <w:sz w:val="22"/>
                <w:lang w:val="fr-FR"/>
              </w:rPr>
              <w:t xml:space="preserve"> </w:t>
            </w:r>
            <w:proofErr w:type="spellStart"/>
            <w:r>
              <w:rPr>
                <w:rFonts w:ascii="Times New Roman" w:hAnsi="Times New Roman" w:cs="Times New Roman Bold"/>
                <w:b/>
                <w:sz w:val="22"/>
                <w:lang w:val="fr-FR"/>
              </w:rPr>
              <w:t>expenditure</w:t>
            </w:r>
            <w:proofErr w:type="spellEnd"/>
          </w:p>
        </w:tc>
        <w:tc>
          <w:tcPr>
            <w:tcW w:w="1146" w:type="dxa"/>
            <w:tcBorders>
              <w:top w:val="nil"/>
              <w:left w:val="nil"/>
              <w:bottom w:val="nil"/>
              <w:right w:val="nil"/>
            </w:tcBorders>
          </w:tcPr>
          <w:p w14:paraId="6521775E"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c>
          <w:tcPr>
            <w:tcW w:w="1147" w:type="dxa"/>
            <w:tcBorders>
              <w:top w:val="nil"/>
              <w:left w:val="nil"/>
              <w:bottom w:val="nil"/>
              <w:right w:val="nil"/>
            </w:tcBorders>
          </w:tcPr>
          <w:p w14:paraId="4FED36E7"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c>
          <w:tcPr>
            <w:tcW w:w="1146" w:type="dxa"/>
            <w:tcBorders>
              <w:top w:val="nil"/>
              <w:left w:val="nil"/>
              <w:bottom w:val="nil"/>
              <w:right w:val="nil"/>
            </w:tcBorders>
          </w:tcPr>
          <w:p w14:paraId="5A600905"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c>
          <w:tcPr>
            <w:tcW w:w="1147" w:type="dxa"/>
            <w:tcBorders>
              <w:top w:val="nil"/>
              <w:left w:val="nil"/>
              <w:bottom w:val="nil"/>
              <w:right w:val="nil"/>
            </w:tcBorders>
          </w:tcPr>
          <w:p w14:paraId="3146DB23"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c>
          <w:tcPr>
            <w:tcW w:w="1147" w:type="dxa"/>
            <w:tcBorders>
              <w:top w:val="nil"/>
              <w:left w:val="nil"/>
              <w:bottom w:val="nil"/>
              <w:right w:val="nil"/>
            </w:tcBorders>
          </w:tcPr>
          <w:p w14:paraId="06518AC9" w14:textId="77777777" w:rsidR="00FE2D11" w:rsidRPr="00DF708F" w:rsidRDefault="00FE2D11">
            <w:pPr>
              <w:widowControl w:val="0"/>
              <w:autoSpaceDE w:val="0"/>
              <w:autoSpaceDN w:val="0"/>
              <w:adjustRightInd w:val="0"/>
              <w:jc w:val="center"/>
              <w:rPr>
                <w:rFonts w:ascii="Times New Roman" w:hAnsi="Times New Roman" w:cs="Times New Roman Bold"/>
                <w:sz w:val="22"/>
                <w:lang w:val="fr-FR"/>
              </w:rPr>
            </w:pPr>
          </w:p>
        </w:tc>
      </w:tr>
      <w:tr w:rsidR="001C7EF2" w14:paraId="308BD130" w14:textId="77777777">
        <w:trPr>
          <w:jc w:val="center"/>
        </w:trPr>
        <w:tc>
          <w:tcPr>
            <w:tcW w:w="5283" w:type="dxa"/>
            <w:tcBorders>
              <w:top w:val="nil"/>
              <w:left w:val="nil"/>
              <w:bottom w:val="nil"/>
              <w:right w:val="nil"/>
            </w:tcBorders>
          </w:tcPr>
          <w:p w14:paraId="73F81B59" w14:textId="77777777" w:rsidR="001C7EF2" w:rsidRPr="00DF708F" w:rsidRDefault="001C7EF2" w:rsidP="00B605C7">
            <w:pPr>
              <w:widowControl w:val="0"/>
              <w:autoSpaceDE w:val="0"/>
              <w:autoSpaceDN w:val="0"/>
              <w:adjustRightInd w:val="0"/>
              <w:jc w:val="right"/>
              <w:rPr>
                <w:rFonts w:ascii="Times New Roman" w:hAnsi="Times New Roman" w:cs="Times New Roman Bold"/>
                <w:sz w:val="22"/>
                <w:lang w:val="fr-FR"/>
              </w:rPr>
            </w:pPr>
            <w:proofErr w:type="spellStart"/>
            <w:r w:rsidRPr="00DF708F">
              <w:rPr>
                <w:rFonts w:ascii="Times New Roman" w:hAnsi="Times New Roman" w:cs="Times New Roman Bold"/>
                <w:sz w:val="22"/>
                <w:lang w:val="fr-FR"/>
              </w:rPr>
              <w:t>Health</w:t>
            </w:r>
            <w:proofErr w:type="spellEnd"/>
            <w:r w:rsidRPr="00DF708F">
              <w:rPr>
                <w:rFonts w:ascii="Times New Roman" w:hAnsi="Times New Roman" w:cs="Times New Roman Bold"/>
                <w:sz w:val="22"/>
                <w:lang w:val="fr-FR"/>
              </w:rPr>
              <w:t xml:space="preserve"> care</w:t>
            </w:r>
          </w:p>
        </w:tc>
        <w:tc>
          <w:tcPr>
            <w:tcW w:w="1146" w:type="dxa"/>
            <w:tcBorders>
              <w:top w:val="nil"/>
              <w:left w:val="nil"/>
              <w:bottom w:val="nil"/>
              <w:right w:val="nil"/>
            </w:tcBorders>
          </w:tcPr>
          <w:p w14:paraId="103E2384"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739.4</w:t>
            </w:r>
          </w:p>
        </w:tc>
        <w:tc>
          <w:tcPr>
            <w:tcW w:w="1147" w:type="dxa"/>
            <w:tcBorders>
              <w:top w:val="nil"/>
              <w:left w:val="nil"/>
              <w:bottom w:val="nil"/>
              <w:right w:val="nil"/>
            </w:tcBorders>
          </w:tcPr>
          <w:p w14:paraId="3AE53979"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1,368</w:t>
            </w:r>
          </w:p>
        </w:tc>
        <w:tc>
          <w:tcPr>
            <w:tcW w:w="1146" w:type="dxa"/>
            <w:tcBorders>
              <w:top w:val="nil"/>
              <w:left w:val="nil"/>
              <w:bottom w:val="nil"/>
              <w:right w:val="nil"/>
            </w:tcBorders>
          </w:tcPr>
          <w:p w14:paraId="06DAAB7B"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1,831</w:t>
            </w:r>
          </w:p>
        </w:tc>
        <w:tc>
          <w:tcPr>
            <w:tcW w:w="1147" w:type="dxa"/>
            <w:tcBorders>
              <w:top w:val="nil"/>
              <w:left w:val="nil"/>
              <w:bottom w:val="nil"/>
              <w:right w:val="nil"/>
            </w:tcBorders>
          </w:tcPr>
          <w:p w14:paraId="0DF13CF7"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2,688</w:t>
            </w:r>
          </w:p>
        </w:tc>
        <w:tc>
          <w:tcPr>
            <w:tcW w:w="1147" w:type="dxa"/>
            <w:tcBorders>
              <w:top w:val="nil"/>
              <w:left w:val="nil"/>
              <w:bottom w:val="nil"/>
              <w:right w:val="nil"/>
            </w:tcBorders>
          </w:tcPr>
          <w:p w14:paraId="7ABC9ACE" w14:textId="77777777" w:rsidR="001C7EF2" w:rsidRPr="00ED76A3" w:rsidRDefault="001C7EF2">
            <w:pPr>
              <w:widowControl w:val="0"/>
              <w:autoSpaceDE w:val="0"/>
              <w:autoSpaceDN w:val="0"/>
              <w:adjustRightInd w:val="0"/>
              <w:jc w:val="center"/>
              <w:rPr>
                <w:rFonts w:ascii="Times New Roman" w:hAnsi="Times New Roman" w:cs="Times New Roman Bold"/>
                <w:sz w:val="22"/>
                <w:szCs w:val="22"/>
                <w:lang w:val="fr-FR"/>
              </w:rPr>
            </w:pPr>
            <w:r w:rsidRPr="00161880">
              <w:rPr>
                <w:rFonts w:ascii="Times New Roman" w:eastAsia="Times New Roman" w:hAnsi="Times New Roman" w:cs="Times New Roman"/>
                <w:sz w:val="22"/>
                <w:szCs w:val="22"/>
              </w:rPr>
              <w:t>3,842</w:t>
            </w:r>
          </w:p>
        </w:tc>
      </w:tr>
      <w:tr w:rsidR="001C7EF2" w14:paraId="2B1E833A" w14:textId="77777777">
        <w:trPr>
          <w:jc w:val="center"/>
        </w:trPr>
        <w:tc>
          <w:tcPr>
            <w:tcW w:w="5283" w:type="dxa"/>
            <w:tcBorders>
              <w:top w:val="nil"/>
              <w:left w:val="nil"/>
              <w:bottom w:val="nil"/>
              <w:right w:val="nil"/>
            </w:tcBorders>
          </w:tcPr>
          <w:p w14:paraId="7EE4FE1E" w14:textId="77777777" w:rsidR="001C7EF2" w:rsidRPr="00DF708F" w:rsidRDefault="001C7EF2" w:rsidP="00B605C7">
            <w:pPr>
              <w:widowControl w:val="0"/>
              <w:autoSpaceDE w:val="0"/>
              <w:autoSpaceDN w:val="0"/>
              <w:adjustRightInd w:val="0"/>
              <w:jc w:val="right"/>
              <w:rPr>
                <w:rFonts w:ascii="Times New Roman" w:hAnsi="Times New Roman" w:cs="Times New Roman Bold"/>
                <w:sz w:val="22"/>
                <w:lang w:val="fr-FR"/>
              </w:rPr>
            </w:pPr>
            <w:r w:rsidRPr="00DF708F">
              <w:rPr>
                <w:rFonts w:ascii="Times New Roman" w:hAnsi="Times New Roman" w:cs="Times New Roman Bold"/>
                <w:sz w:val="22"/>
                <w:lang w:val="fr-FR"/>
              </w:rPr>
              <w:t xml:space="preserve">Direct </w:t>
            </w:r>
            <w:proofErr w:type="spellStart"/>
            <w:r w:rsidRPr="00DF708F">
              <w:rPr>
                <w:rFonts w:ascii="Times New Roman" w:hAnsi="Times New Roman" w:cs="Times New Roman Bold"/>
                <w:sz w:val="22"/>
                <w:lang w:val="fr-FR"/>
              </w:rPr>
              <w:t>health</w:t>
            </w:r>
            <w:proofErr w:type="spellEnd"/>
            <w:r w:rsidRPr="00DF708F">
              <w:rPr>
                <w:rFonts w:ascii="Times New Roman" w:hAnsi="Times New Roman" w:cs="Times New Roman Bold"/>
                <w:sz w:val="22"/>
                <w:lang w:val="fr-FR"/>
              </w:rPr>
              <w:t xml:space="preserve"> care </w:t>
            </w:r>
            <w:proofErr w:type="spellStart"/>
            <w:r w:rsidRPr="00DF708F">
              <w:rPr>
                <w:rFonts w:ascii="Times New Roman" w:hAnsi="Times New Roman" w:cs="Times New Roman Bold"/>
                <w:sz w:val="22"/>
                <w:lang w:val="fr-FR"/>
              </w:rPr>
              <w:t>costs</w:t>
            </w:r>
            <w:proofErr w:type="spellEnd"/>
          </w:p>
        </w:tc>
        <w:tc>
          <w:tcPr>
            <w:tcW w:w="1146" w:type="dxa"/>
            <w:tcBorders>
              <w:top w:val="nil"/>
              <w:left w:val="nil"/>
              <w:bottom w:val="nil"/>
              <w:right w:val="nil"/>
            </w:tcBorders>
          </w:tcPr>
          <w:p w14:paraId="31F5C361"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583.4</w:t>
            </w:r>
          </w:p>
        </w:tc>
        <w:tc>
          <w:tcPr>
            <w:tcW w:w="1147" w:type="dxa"/>
            <w:tcBorders>
              <w:top w:val="nil"/>
              <w:left w:val="nil"/>
              <w:bottom w:val="nil"/>
              <w:right w:val="nil"/>
            </w:tcBorders>
          </w:tcPr>
          <w:p w14:paraId="3C552B18"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959.3</w:t>
            </w:r>
          </w:p>
        </w:tc>
        <w:tc>
          <w:tcPr>
            <w:tcW w:w="1146" w:type="dxa"/>
            <w:tcBorders>
              <w:top w:val="nil"/>
              <w:left w:val="nil"/>
              <w:bottom w:val="nil"/>
              <w:right w:val="nil"/>
            </w:tcBorders>
          </w:tcPr>
          <w:p w14:paraId="2A62FCCE"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1,197</w:t>
            </w:r>
          </w:p>
        </w:tc>
        <w:tc>
          <w:tcPr>
            <w:tcW w:w="1147" w:type="dxa"/>
            <w:tcBorders>
              <w:top w:val="nil"/>
              <w:left w:val="nil"/>
              <w:bottom w:val="nil"/>
              <w:right w:val="nil"/>
            </w:tcBorders>
          </w:tcPr>
          <w:p w14:paraId="32893072"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1,774</w:t>
            </w:r>
          </w:p>
        </w:tc>
        <w:tc>
          <w:tcPr>
            <w:tcW w:w="1147" w:type="dxa"/>
            <w:tcBorders>
              <w:top w:val="nil"/>
              <w:left w:val="nil"/>
              <w:bottom w:val="nil"/>
              <w:right w:val="nil"/>
            </w:tcBorders>
          </w:tcPr>
          <w:p w14:paraId="54145570"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2,458</w:t>
            </w:r>
          </w:p>
        </w:tc>
      </w:tr>
      <w:tr w:rsidR="001C7EF2" w14:paraId="0448ECCB" w14:textId="77777777">
        <w:trPr>
          <w:jc w:val="center"/>
        </w:trPr>
        <w:tc>
          <w:tcPr>
            <w:tcW w:w="5283" w:type="dxa"/>
            <w:tcBorders>
              <w:top w:val="nil"/>
              <w:left w:val="nil"/>
              <w:bottom w:val="nil"/>
              <w:right w:val="nil"/>
            </w:tcBorders>
          </w:tcPr>
          <w:p w14:paraId="4C9D243B" w14:textId="77777777" w:rsidR="001C7EF2" w:rsidRPr="00DF708F" w:rsidRDefault="001C7EF2" w:rsidP="00B605C7">
            <w:pPr>
              <w:widowControl w:val="0"/>
              <w:autoSpaceDE w:val="0"/>
              <w:autoSpaceDN w:val="0"/>
              <w:adjustRightInd w:val="0"/>
              <w:jc w:val="right"/>
              <w:rPr>
                <w:rFonts w:ascii="Times New Roman" w:hAnsi="Times New Roman" w:cs="Times New Roman Bold"/>
                <w:sz w:val="22"/>
                <w:lang w:val="fr-FR"/>
              </w:rPr>
            </w:pPr>
            <w:proofErr w:type="spellStart"/>
            <w:r w:rsidRPr="00DF708F">
              <w:rPr>
                <w:rFonts w:ascii="Times New Roman" w:hAnsi="Times New Roman" w:cs="Times New Roman Bold"/>
                <w:sz w:val="22"/>
                <w:lang w:val="fr-FR"/>
              </w:rPr>
              <w:t>Health</w:t>
            </w:r>
            <w:proofErr w:type="spellEnd"/>
            <w:r w:rsidRPr="00DF708F">
              <w:rPr>
                <w:rFonts w:ascii="Times New Roman" w:hAnsi="Times New Roman" w:cs="Times New Roman Bold"/>
                <w:sz w:val="22"/>
                <w:lang w:val="fr-FR"/>
              </w:rPr>
              <w:t xml:space="preserve"> care supplies</w:t>
            </w:r>
          </w:p>
        </w:tc>
        <w:tc>
          <w:tcPr>
            <w:tcW w:w="1146" w:type="dxa"/>
            <w:tcBorders>
              <w:top w:val="nil"/>
              <w:left w:val="nil"/>
              <w:bottom w:val="nil"/>
              <w:right w:val="nil"/>
            </w:tcBorders>
          </w:tcPr>
          <w:p w14:paraId="4383D54F"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25.15</w:t>
            </w:r>
          </w:p>
        </w:tc>
        <w:tc>
          <w:tcPr>
            <w:tcW w:w="1147" w:type="dxa"/>
            <w:tcBorders>
              <w:top w:val="nil"/>
              <w:left w:val="nil"/>
              <w:bottom w:val="nil"/>
              <w:right w:val="nil"/>
            </w:tcBorders>
          </w:tcPr>
          <w:p w14:paraId="339B046D"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34.82</w:t>
            </w:r>
          </w:p>
        </w:tc>
        <w:tc>
          <w:tcPr>
            <w:tcW w:w="1146" w:type="dxa"/>
            <w:tcBorders>
              <w:top w:val="nil"/>
              <w:left w:val="nil"/>
              <w:bottom w:val="nil"/>
              <w:right w:val="nil"/>
            </w:tcBorders>
          </w:tcPr>
          <w:p w14:paraId="5D05A36F"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37.81</w:t>
            </w:r>
          </w:p>
        </w:tc>
        <w:tc>
          <w:tcPr>
            <w:tcW w:w="1147" w:type="dxa"/>
            <w:tcBorders>
              <w:top w:val="nil"/>
              <w:left w:val="nil"/>
              <w:bottom w:val="nil"/>
              <w:right w:val="nil"/>
            </w:tcBorders>
          </w:tcPr>
          <w:p w14:paraId="3C5BD15C"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47.84</w:t>
            </w:r>
          </w:p>
        </w:tc>
        <w:tc>
          <w:tcPr>
            <w:tcW w:w="1147" w:type="dxa"/>
            <w:tcBorders>
              <w:top w:val="nil"/>
              <w:left w:val="nil"/>
              <w:bottom w:val="nil"/>
              <w:right w:val="nil"/>
            </w:tcBorders>
          </w:tcPr>
          <w:p w14:paraId="297B8FD0"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75.09</w:t>
            </w:r>
          </w:p>
        </w:tc>
      </w:tr>
      <w:tr w:rsidR="001C7EF2" w14:paraId="62652671" w14:textId="77777777">
        <w:trPr>
          <w:jc w:val="center"/>
        </w:trPr>
        <w:tc>
          <w:tcPr>
            <w:tcW w:w="5283" w:type="dxa"/>
            <w:tcBorders>
              <w:top w:val="nil"/>
              <w:left w:val="nil"/>
              <w:bottom w:val="nil"/>
              <w:right w:val="nil"/>
            </w:tcBorders>
          </w:tcPr>
          <w:p w14:paraId="7CB0CD22" w14:textId="77777777" w:rsidR="001C7EF2" w:rsidRPr="00DF708F" w:rsidRDefault="001C7EF2" w:rsidP="00B605C7">
            <w:pPr>
              <w:widowControl w:val="0"/>
              <w:autoSpaceDE w:val="0"/>
              <w:autoSpaceDN w:val="0"/>
              <w:adjustRightInd w:val="0"/>
              <w:jc w:val="right"/>
              <w:rPr>
                <w:rFonts w:ascii="Times New Roman" w:hAnsi="Times New Roman" w:cs="Times New Roman Bold"/>
                <w:sz w:val="22"/>
                <w:lang w:val="fr-FR"/>
              </w:rPr>
            </w:pPr>
            <w:r w:rsidRPr="00DF708F">
              <w:rPr>
                <w:rFonts w:ascii="Times New Roman" w:hAnsi="Times New Roman" w:cs="Times New Roman Bold"/>
                <w:sz w:val="22"/>
                <w:lang w:val="fr-FR"/>
              </w:rPr>
              <w:t xml:space="preserve">Prescription </w:t>
            </w:r>
            <w:proofErr w:type="spellStart"/>
            <w:r w:rsidRPr="00DF708F">
              <w:rPr>
                <w:rFonts w:ascii="Times New Roman" w:hAnsi="Times New Roman" w:cs="Times New Roman Bold"/>
                <w:sz w:val="22"/>
                <w:lang w:val="fr-FR"/>
              </w:rPr>
              <w:t>drugs</w:t>
            </w:r>
            <w:proofErr w:type="spellEnd"/>
          </w:p>
        </w:tc>
        <w:tc>
          <w:tcPr>
            <w:tcW w:w="1146" w:type="dxa"/>
            <w:tcBorders>
              <w:top w:val="nil"/>
              <w:left w:val="nil"/>
              <w:bottom w:val="nil"/>
              <w:right w:val="nil"/>
            </w:tcBorders>
          </w:tcPr>
          <w:p w14:paraId="25BA83B2"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210.6</w:t>
            </w:r>
          </w:p>
        </w:tc>
        <w:tc>
          <w:tcPr>
            <w:tcW w:w="1147" w:type="dxa"/>
            <w:tcBorders>
              <w:top w:val="nil"/>
              <w:left w:val="nil"/>
              <w:bottom w:val="nil"/>
              <w:right w:val="nil"/>
            </w:tcBorders>
          </w:tcPr>
          <w:p w14:paraId="7F5AFE54"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302.1</w:t>
            </w:r>
          </w:p>
        </w:tc>
        <w:tc>
          <w:tcPr>
            <w:tcW w:w="1146" w:type="dxa"/>
            <w:tcBorders>
              <w:top w:val="nil"/>
              <w:left w:val="nil"/>
              <w:bottom w:val="nil"/>
              <w:right w:val="nil"/>
            </w:tcBorders>
          </w:tcPr>
          <w:p w14:paraId="60DBE555"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237.9</w:t>
            </w:r>
          </w:p>
        </w:tc>
        <w:tc>
          <w:tcPr>
            <w:tcW w:w="1147" w:type="dxa"/>
            <w:tcBorders>
              <w:top w:val="nil"/>
              <w:left w:val="nil"/>
              <w:bottom w:val="nil"/>
              <w:right w:val="nil"/>
            </w:tcBorders>
          </w:tcPr>
          <w:p w14:paraId="6EF9E1CA"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233.6</w:t>
            </w:r>
          </w:p>
        </w:tc>
        <w:tc>
          <w:tcPr>
            <w:tcW w:w="1147" w:type="dxa"/>
            <w:tcBorders>
              <w:top w:val="nil"/>
              <w:left w:val="nil"/>
              <w:bottom w:val="nil"/>
              <w:right w:val="nil"/>
            </w:tcBorders>
          </w:tcPr>
          <w:p w14:paraId="03580284"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30</w:t>
            </w:r>
            <w:r w:rsidR="006240C7">
              <w:rPr>
                <w:rFonts w:ascii="Times New Roman" w:eastAsia="Times New Roman" w:hAnsi="Times New Roman" w:cs="Times New Roman"/>
                <w:sz w:val="22"/>
                <w:szCs w:val="22"/>
              </w:rPr>
              <w:t>3</w:t>
            </w:r>
            <w:r w:rsidRPr="00BF0C3E">
              <w:rPr>
                <w:rFonts w:ascii="Times New Roman" w:eastAsia="Times New Roman" w:hAnsi="Times New Roman" w:cs="Times New Roman"/>
                <w:sz w:val="22"/>
                <w:szCs w:val="22"/>
              </w:rPr>
              <w:t>.</w:t>
            </w:r>
            <w:r w:rsidR="006240C7">
              <w:rPr>
                <w:rFonts w:ascii="Times New Roman" w:eastAsia="Times New Roman" w:hAnsi="Times New Roman" w:cs="Times New Roman"/>
                <w:sz w:val="22"/>
                <w:szCs w:val="22"/>
              </w:rPr>
              <w:t>0</w:t>
            </w:r>
          </w:p>
        </w:tc>
      </w:tr>
      <w:tr w:rsidR="001C7EF2" w14:paraId="46C1D2D9" w14:textId="77777777">
        <w:trPr>
          <w:jc w:val="center"/>
        </w:trPr>
        <w:tc>
          <w:tcPr>
            <w:tcW w:w="5283" w:type="dxa"/>
            <w:tcBorders>
              <w:top w:val="nil"/>
              <w:left w:val="nil"/>
              <w:bottom w:val="nil"/>
              <w:right w:val="nil"/>
            </w:tcBorders>
          </w:tcPr>
          <w:p w14:paraId="5D80A87F" w14:textId="77777777" w:rsidR="001C7EF2" w:rsidRPr="008921B0" w:rsidRDefault="001C7EF2"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Other medicines and pharmaceutical products</w:t>
            </w:r>
          </w:p>
        </w:tc>
        <w:tc>
          <w:tcPr>
            <w:tcW w:w="1146" w:type="dxa"/>
            <w:tcBorders>
              <w:top w:val="nil"/>
              <w:left w:val="nil"/>
              <w:bottom w:val="nil"/>
              <w:right w:val="nil"/>
            </w:tcBorders>
          </w:tcPr>
          <w:p w14:paraId="2BCCFC1C"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86.53</w:t>
            </w:r>
          </w:p>
        </w:tc>
        <w:tc>
          <w:tcPr>
            <w:tcW w:w="1147" w:type="dxa"/>
            <w:tcBorders>
              <w:top w:val="nil"/>
              <w:left w:val="nil"/>
              <w:bottom w:val="nil"/>
              <w:right w:val="nil"/>
            </w:tcBorders>
          </w:tcPr>
          <w:p w14:paraId="71F08E31"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130.2</w:t>
            </w:r>
          </w:p>
        </w:tc>
        <w:tc>
          <w:tcPr>
            <w:tcW w:w="1146" w:type="dxa"/>
            <w:tcBorders>
              <w:top w:val="nil"/>
              <w:left w:val="nil"/>
              <w:bottom w:val="nil"/>
              <w:right w:val="nil"/>
            </w:tcBorders>
          </w:tcPr>
          <w:p w14:paraId="348BEDB4"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178.3</w:t>
            </w:r>
          </w:p>
        </w:tc>
        <w:tc>
          <w:tcPr>
            <w:tcW w:w="1147" w:type="dxa"/>
            <w:tcBorders>
              <w:top w:val="nil"/>
              <w:left w:val="nil"/>
              <w:bottom w:val="nil"/>
              <w:right w:val="nil"/>
            </w:tcBorders>
          </w:tcPr>
          <w:p w14:paraId="772AEEA0"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244.0</w:t>
            </w:r>
          </w:p>
        </w:tc>
        <w:tc>
          <w:tcPr>
            <w:tcW w:w="1147" w:type="dxa"/>
            <w:tcBorders>
              <w:top w:val="nil"/>
              <w:left w:val="nil"/>
              <w:bottom w:val="nil"/>
              <w:right w:val="nil"/>
            </w:tcBorders>
          </w:tcPr>
          <w:p w14:paraId="451160F8"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265.4</w:t>
            </w:r>
          </w:p>
        </w:tc>
      </w:tr>
      <w:tr w:rsidR="001C7EF2" w14:paraId="61B89E8B" w14:textId="77777777">
        <w:trPr>
          <w:jc w:val="center"/>
        </w:trPr>
        <w:tc>
          <w:tcPr>
            <w:tcW w:w="5283" w:type="dxa"/>
            <w:tcBorders>
              <w:top w:val="nil"/>
              <w:left w:val="nil"/>
              <w:bottom w:val="nil"/>
              <w:right w:val="nil"/>
            </w:tcBorders>
          </w:tcPr>
          <w:p w14:paraId="14C2B6FC" w14:textId="77777777" w:rsidR="001C7EF2" w:rsidRPr="00DF708F" w:rsidRDefault="001C7EF2" w:rsidP="00B605C7">
            <w:pPr>
              <w:widowControl w:val="0"/>
              <w:autoSpaceDE w:val="0"/>
              <w:autoSpaceDN w:val="0"/>
              <w:adjustRightInd w:val="0"/>
              <w:jc w:val="right"/>
              <w:rPr>
                <w:rFonts w:ascii="Times New Roman" w:hAnsi="Times New Roman" w:cs="Times New Roman Bold"/>
                <w:sz w:val="22"/>
                <w:lang w:val="fr-FR"/>
              </w:rPr>
            </w:pPr>
            <w:proofErr w:type="spellStart"/>
            <w:r>
              <w:rPr>
                <w:rFonts w:ascii="Times New Roman" w:hAnsi="Times New Roman" w:cs="Times New Roman Bold"/>
                <w:sz w:val="22"/>
                <w:lang w:val="fr-FR"/>
              </w:rPr>
              <w:t>Physician</w:t>
            </w:r>
            <w:proofErr w:type="spellEnd"/>
            <w:r w:rsidRPr="00DF708F">
              <w:rPr>
                <w:rFonts w:ascii="Times New Roman" w:hAnsi="Times New Roman" w:cs="Times New Roman Bold"/>
                <w:sz w:val="22"/>
                <w:lang w:val="fr-FR"/>
              </w:rPr>
              <w:t xml:space="preserve"> care</w:t>
            </w:r>
          </w:p>
        </w:tc>
        <w:tc>
          <w:tcPr>
            <w:tcW w:w="1146" w:type="dxa"/>
            <w:tcBorders>
              <w:top w:val="nil"/>
              <w:left w:val="nil"/>
              <w:bottom w:val="nil"/>
              <w:right w:val="nil"/>
            </w:tcBorders>
          </w:tcPr>
          <w:p w14:paraId="0CF2A775"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7.277</w:t>
            </w:r>
          </w:p>
        </w:tc>
        <w:tc>
          <w:tcPr>
            <w:tcW w:w="1147" w:type="dxa"/>
            <w:tcBorders>
              <w:top w:val="nil"/>
              <w:left w:val="nil"/>
              <w:bottom w:val="nil"/>
              <w:right w:val="nil"/>
            </w:tcBorders>
          </w:tcPr>
          <w:p w14:paraId="540EF909"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12.10</w:t>
            </w:r>
          </w:p>
        </w:tc>
        <w:tc>
          <w:tcPr>
            <w:tcW w:w="1146" w:type="dxa"/>
            <w:tcBorders>
              <w:top w:val="nil"/>
              <w:left w:val="nil"/>
              <w:bottom w:val="nil"/>
              <w:right w:val="nil"/>
            </w:tcBorders>
          </w:tcPr>
          <w:p w14:paraId="5D74BDB0"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21.68</w:t>
            </w:r>
          </w:p>
        </w:tc>
        <w:tc>
          <w:tcPr>
            <w:tcW w:w="1147" w:type="dxa"/>
            <w:tcBorders>
              <w:top w:val="nil"/>
              <w:left w:val="nil"/>
              <w:bottom w:val="nil"/>
              <w:right w:val="nil"/>
            </w:tcBorders>
          </w:tcPr>
          <w:p w14:paraId="629DE699"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48.02</w:t>
            </w:r>
          </w:p>
        </w:tc>
        <w:tc>
          <w:tcPr>
            <w:tcW w:w="1147" w:type="dxa"/>
            <w:tcBorders>
              <w:top w:val="nil"/>
              <w:left w:val="nil"/>
              <w:bottom w:val="nil"/>
              <w:right w:val="nil"/>
            </w:tcBorders>
          </w:tcPr>
          <w:p w14:paraId="5EA4575E"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82.51</w:t>
            </w:r>
          </w:p>
        </w:tc>
      </w:tr>
      <w:tr w:rsidR="001C7EF2" w14:paraId="4FF73033" w14:textId="77777777">
        <w:trPr>
          <w:jc w:val="center"/>
        </w:trPr>
        <w:tc>
          <w:tcPr>
            <w:tcW w:w="5283" w:type="dxa"/>
            <w:tcBorders>
              <w:top w:val="nil"/>
              <w:left w:val="nil"/>
              <w:bottom w:val="nil"/>
              <w:right w:val="nil"/>
            </w:tcBorders>
          </w:tcPr>
          <w:p w14:paraId="02A71BD5" w14:textId="77777777" w:rsidR="001C7EF2" w:rsidRPr="00DF708F" w:rsidRDefault="001C7EF2" w:rsidP="00B605C7">
            <w:pPr>
              <w:widowControl w:val="0"/>
              <w:autoSpaceDE w:val="0"/>
              <w:autoSpaceDN w:val="0"/>
              <w:adjustRightInd w:val="0"/>
              <w:jc w:val="right"/>
              <w:rPr>
                <w:rFonts w:ascii="Times New Roman" w:hAnsi="Times New Roman" w:cs="Times New Roman Bold"/>
                <w:sz w:val="22"/>
                <w:lang w:val="fr-FR"/>
              </w:rPr>
            </w:pPr>
            <w:r>
              <w:rPr>
                <w:rFonts w:ascii="Times New Roman" w:hAnsi="Times New Roman" w:cs="Times New Roman Bold"/>
                <w:sz w:val="22"/>
                <w:lang w:val="fr-FR"/>
              </w:rPr>
              <w:t xml:space="preserve">Eye </w:t>
            </w:r>
            <w:r w:rsidRPr="00DF708F">
              <w:rPr>
                <w:rFonts w:ascii="Times New Roman" w:hAnsi="Times New Roman" w:cs="Times New Roman Bold"/>
                <w:sz w:val="22"/>
                <w:lang w:val="fr-FR"/>
              </w:rPr>
              <w:t>care</w:t>
            </w:r>
          </w:p>
        </w:tc>
        <w:tc>
          <w:tcPr>
            <w:tcW w:w="1146" w:type="dxa"/>
            <w:tcBorders>
              <w:top w:val="nil"/>
              <w:left w:val="nil"/>
              <w:bottom w:val="nil"/>
              <w:right w:val="nil"/>
            </w:tcBorders>
          </w:tcPr>
          <w:p w14:paraId="5FE36BFB"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80.78</w:t>
            </w:r>
          </w:p>
        </w:tc>
        <w:tc>
          <w:tcPr>
            <w:tcW w:w="1147" w:type="dxa"/>
            <w:tcBorders>
              <w:top w:val="nil"/>
              <w:left w:val="nil"/>
              <w:bottom w:val="nil"/>
              <w:right w:val="nil"/>
            </w:tcBorders>
          </w:tcPr>
          <w:p w14:paraId="32B25F78"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133.4</w:t>
            </w:r>
          </w:p>
        </w:tc>
        <w:tc>
          <w:tcPr>
            <w:tcW w:w="1146" w:type="dxa"/>
            <w:tcBorders>
              <w:top w:val="nil"/>
              <w:left w:val="nil"/>
              <w:bottom w:val="nil"/>
              <w:right w:val="nil"/>
            </w:tcBorders>
          </w:tcPr>
          <w:p w14:paraId="00053C90"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208.7</w:t>
            </w:r>
          </w:p>
        </w:tc>
        <w:tc>
          <w:tcPr>
            <w:tcW w:w="1147" w:type="dxa"/>
            <w:tcBorders>
              <w:top w:val="nil"/>
              <w:left w:val="nil"/>
              <w:bottom w:val="nil"/>
              <w:right w:val="nil"/>
            </w:tcBorders>
          </w:tcPr>
          <w:p w14:paraId="63F11C1A"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368.8</w:t>
            </w:r>
          </w:p>
        </w:tc>
        <w:tc>
          <w:tcPr>
            <w:tcW w:w="1147" w:type="dxa"/>
            <w:tcBorders>
              <w:top w:val="nil"/>
              <w:left w:val="nil"/>
              <w:bottom w:val="nil"/>
              <w:right w:val="nil"/>
            </w:tcBorders>
          </w:tcPr>
          <w:p w14:paraId="33D00FB4"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546.7</w:t>
            </w:r>
          </w:p>
        </w:tc>
      </w:tr>
      <w:tr w:rsidR="001C7EF2" w14:paraId="02AAF7BF" w14:textId="77777777">
        <w:trPr>
          <w:jc w:val="center"/>
        </w:trPr>
        <w:tc>
          <w:tcPr>
            <w:tcW w:w="5283" w:type="dxa"/>
            <w:tcBorders>
              <w:top w:val="nil"/>
              <w:left w:val="nil"/>
              <w:bottom w:val="nil"/>
              <w:right w:val="nil"/>
            </w:tcBorders>
          </w:tcPr>
          <w:p w14:paraId="5900FD20" w14:textId="77777777" w:rsidR="001C7EF2" w:rsidRPr="00DF708F" w:rsidRDefault="001C7EF2" w:rsidP="00B605C7">
            <w:pPr>
              <w:widowControl w:val="0"/>
              <w:autoSpaceDE w:val="0"/>
              <w:autoSpaceDN w:val="0"/>
              <w:adjustRightInd w:val="0"/>
              <w:jc w:val="right"/>
              <w:rPr>
                <w:rFonts w:ascii="Times New Roman" w:hAnsi="Times New Roman" w:cs="Times New Roman Bold"/>
                <w:sz w:val="22"/>
                <w:lang w:val="fr-FR"/>
              </w:rPr>
            </w:pPr>
            <w:r w:rsidRPr="00DF708F">
              <w:rPr>
                <w:rFonts w:ascii="Times New Roman" w:hAnsi="Times New Roman" w:cs="Times New Roman Bold"/>
                <w:sz w:val="22"/>
                <w:lang w:val="fr-FR"/>
              </w:rPr>
              <w:t xml:space="preserve">Dental </w:t>
            </w:r>
            <w:r>
              <w:rPr>
                <w:rFonts w:ascii="Times New Roman" w:hAnsi="Times New Roman" w:cs="Times New Roman Bold"/>
                <w:sz w:val="22"/>
                <w:lang w:val="fr-FR"/>
              </w:rPr>
              <w:t>care</w:t>
            </w:r>
          </w:p>
        </w:tc>
        <w:tc>
          <w:tcPr>
            <w:tcW w:w="1146" w:type="dxa"/>
            <w:tcBorders>
              <w:top w:val="nil"/>
              <w:left w:val="nil"/>
              <w:bottom w:val="nil"/>
              <w:right w:val="nil"/>
            </w:tcBorders>
          </w:tcPr>
          <w:p w14:paraId="15FBA459"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117.4</w:t>
            </w:r>
          </w:p>
        </w:tc>
        <w:tc>
          <w:tcPr>
            <w:tcW w:w="1147" w:type="dxa"/>
            <w:tcBorders>
              <w:top w:val="nil"/>
              <w:left w:val="nil"/>
              <w:bottom w:val="nil"/>
              <w:right w:val="nil"/>
            </w:tcBorders>
          </w:tcPr>
          <w:p w14:paraId="71DC9723"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237.8</w:t>
            </w:r>
          </w:p>
        </w:tc>
        <w:tc>
          <w:tcPr>
            <w:tcW w:w="1146" w:type="dxa"/>
            <w:tcBorders>
              <w:top w:val="nil"/>
              <w:left w:val="nil"/>
              <w:bottom w:val="nil"/>
              <w:right w:val="nil"/>
            </w:tcBorders>
          </w:tcPr>
          <w:p w14:paraId="369F0B62"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363.1</w:t>
            </w:r>
          </w:p>
        </w:tc>
        <w:tc>
          <w:tcPr>
            <w:tcW w:w="1147" w:type="dxa"/>
            <w:tcBorders>
              <w:top w:val="nil"/>
              <w:left w:val="nil"/>
              <w:bottom w:val="nil"/>
              <w:right w:val="nil"/>
            </w:tcBorders>
          </w:tcPr>
          <w:p w14:paraId="0E847736"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568.4</w:t>
            </w:r>
          </w:p>
        </w:tc>
        <w:tc>
          <w:tcPr>
            <w:tcW w:w="1147" w:type="dxa"/>
            <w:tcBorders>
              <w:top w:val="nil"/>
              <w:left w:val="nil"/>
              <w:bottom w:val="nil"/>
              <w:right w:val="nil"/>
            </w:tcBorders>
          </w:tcPr>
          <w:p w14:paraId="0ADE0679"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850.5</w:t>
            </w:r>
          </w:p>
        </w:tc>
      </w:tr>
      <w:tr w:rsidR="001C7EF2" w14:paraId="0BDB9CCB" w14:textId="77777777">
        <w:trPr>
          <w:jc w:val="center"/>
        </w:trPr>
        <w:tc>
          <w:tcPr>
            <w:tcW w:w="5283" w:type="dxa"/>
            <w:tcBorders>
              <w:top w:val="nil"/>
              <w:left w:val="nil"/>
              <w:bottom w:val="nil"/>
              <w:right w:val="nil"/>
            </w:tcBorders>
          </w:tcPr>
          <w:p w14:paraId="73EF1F2B" w14:textId="77777777" w:rsidR="001C7EF2" w:rsidRPr="00DF708F" w:rsidRDefault="004304E2" w:rsidP="00B605C7">
            <w:pPr>
              <w:widowControl w:val="0"/>
              <w:autoSpaceDE w:val="0"/>
              <w:autoSpaceDN w:val="0"/>
              <w:adjustRightInd w:val="0"/>
              <w:jc w:val="right"/>
              <w:rPr>
                <w:rFonts w:ascii="Times New Roman" w:hAnsi="Times New Roman" w:cs="Times New Roman Bold"/>
                <w:sz w:val="22"/>
                <w:lang w:val="fr-FR"/>
              </w:rPr>
            </w:pPr>
            <w:proofErr w:type="spellStart"/>
            <w:r>
              <w:rPr>
                <w:rFonts w:ascii="Times New Roman" w:hAnsi="Times New Roman" w:cs="Times New Roman Bold"/>
                <w:sz w:val="22"/>
                <w:lang w:val="fr-FR"/>
              </w:rPr>
              <w:t>Hospitals</w:t>
            </w:r>
            <w:proofErr w:type="spellEnd"/>
          </w:p>
        </w:tc>
        <w:tc>
          <w:tcPr>
            <w:tcW w:w="1146" w:type="dxa"/>
            <w:tcBorders>
              <w:top w:val="nil"/>
              <w:left w:val="nil"/>
              <w:bottom w:val="nil"/>
              <w:right w:val="nil"/>
            </w:tcBorders>
          </w:tcPr>
          <w:p w14:paraId="378BAB16"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11.90</w:t>
            </w:r>
          </w:p>
        </w:tc>
        <w:tc>
          <w:tcPr>
            <w:tcW w:w="1147" w:type="dxa"/>
            <w:tcBorders>
              <w:top w:val="nil"/>
              <w:left w:val="nil"/>
              <w:bottom w:val="nil"/>
              <w:right w:val="nil"/>
            </w:tcBorders>
          </w:tcPr>
          <w:p w14:paraId="042F3C25"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21.83</w:t>
            </w:r>
          </w:p>
        </w:tc>
        <w:tc>
          <w:tcPr>
            <w:tcW w:w="1146" w:type="dxa"/>
            <w:tcBorders>
              <w:top w:val="nil"/>
              <w:left w:val="nil"/>
              <w:bottom w:val="nil"/>
              <w:right w:val="nil"/>
            </w:tcBorders>
          </w:tcPr>
          <w:p w14:paraId="2323000E"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17.93</w:t>
            </w:r>
          </w:p>
        </w:tc>
        <w:tc>
          <w:tcPr>
            <w:tcW w:w="1147" w:type="dxa"/>
            <w:tcBorders>
              <w:top w:val="nil"/>
              <w:left w:val="nil"/>
              <w:bottom w:val="nil"/>
              <w:right w:val="nil"/>
            </w:tcBorders>
          </w:tcPr>
          <w:p w14:paraId="10C5DDCC"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20.31</w:t>
            </w:r>
          </w:p>
        </w:tc>
        <w:tc>
          <w:tcPr>
            <w:tcW w:w="1147" w:type="dxa"/>
            <w:tcBorders>
              <w:top w:val="nil"/>
              <w:left w:val="nil"/>
              <w:bottom w:val="nil"/>
              <w:right w:val="nil"/>
            </w:tcBorders>
          </w:tcPr>
          <w:p w14:paraId="11DAA43E"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56.04</w:t>
            </w:r>
          </w:p>
        </w:tc>
      </w:tr>
      <w:tr w:rsidR="001C7EF2" w14:paraId="42569A95" w14:textId="77777777">
        <w:trPr>
          <w:jc w:val="center"/>
        </w:trPr>
        <w:tc>
          <w:tcPr>
            <w:tcW w:w="5283" w:type="dxa"/>
            <w:tcBorders>
              <w:top w:val="nil"/>
              <w:left w:val="nil"/>
              <w:bottom w:val="nil"/>
              <w:right w:val="nil"/>
            </w:tcBorders>
          </w:tcPr>
          <w:p w14:paraId="031AC90E" w14:textId="77777777" w:rsidR="001C7EF2" w:rsidRPr="008921B0" w:rsidRDefault="001C7EF2"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Non physician health practitioners services</w:t>
            </w:r>
          </w:p>
        </w:tc>
        <w:tc>
          <w:tcPr>
            <w:tcW w:w="1146" w:type="dxa"/>
            <w:tcBorders>
              <w:top w:val="nil"/>
              <w:left w:val="nil"/>
              <w:bottom w:val="nil"/>
              <w:right w:val="nil"/>
            </w:tcBorders>
          </w:tcPr>
          <w:p w14:paraId="359FBF21"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32.10</w:t>
            </w:r>
          </w:p>
        </w:tc>
        <w:tc>
          <w:tcPr>
            <w:tcW w:w="1147" w:type="dxa"/>
            <w:tcBorders>
              <w:top w:val="nil"/>
              <w:left w:val="nil"/>
              <w:bottom w:val="nil"/>
              <w:right w:val="nil"/>
            </w:tcBorders>
          </w:tcPr>
          <w:p w14:paraId="4C7432CD"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63.26</w:t>
            </w:r>
          </w:p>
        </w:tc>
        <w:tc>
          <w:tcPr>
            <w:tcW w:w="1146" w:type="dxa"/>
            <w:tcBorders>
              <w:top w:val="nil"/>
              <w:left w:val="nil"/>
              <w:bottom w:val="nil"/>
              <w:right w:val="nil"/>
            </w:tcBorders>
          </w:tcPr>
          <w:p w14:paraId="20CDBCD7"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103.6</w:t>
            </w:r>
          </w:p>
        </w:tc>
        <w:tc>
          <w:tcPr>
            <w:tcW w:w="1147" w:type="dxa"/>
            <w:tcBorders>
              <w:top w:val="nil"/>
              <w:left w:val="nil"/>
              <w:bottom w:val="nil"/>
              <w:right w:val="nil"/>
            </w:tcBorders>
          </w:tcPr>
          <w:p w14:paraId="0FD239D5"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199.9</w:t>
            </w:r>
          </w:p>
        </w:tc>
        <w:tc>
          <w:tcPr>
            <w:tcW w:w="1147" w:type="dxa"/>
            <w:tcBorders>
              <w:top w:val="nil"/>
              <w:left w:val="nil"/>
              <w:bottom w:val="nil"/>
              <w:right w:val="nil"/>
            </w:tcBorders>
          </w:tcPr>
          <w:p w14:paraId="0F015CED"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231.1</w:t>
            </w:r>
          </w:p>
        </w:tc>
      </w:tr>
      <w:tr w:rsidR="001C7EF2" w14:paraId="1AF350BC" w14:textId="77777777">
        <w:trPr>
          <w:jc w:val="center"/>
        </w:trPr>
        <w:tc>
          <w:tcPr>
            <w:tcW w:w="5283" w:type="dxa"/>
            <w:tcBorders>
              <w:top w:val="nil"/>
              <w:left w:val="nil"/>
              <w:bottom w:val="nil"/>
              <w:right w:val="nil"/>
            </w:tcBorders>
          </w:tcPr>
          <w:p w14:paraId="0F751F99" w14:textId="77777777" w:rsidR="001C7EF2" w:rsidRPr="00DF708F" w:rsidRDefault="001C7EF2" w:rsidP="00B605C7">
            <w:pPr>
              <w:widowControl w:val="0"/>
              <w:autoSpaceDE w:val="0"/>
              <w:autoSpaceDN w:val="0"/>
              <w:adjustRightInd w:val="0"/>
              <w:jc w:val="right"/>
              <w:rPr>
                <w:rFonts w:ascii="Times New Roman" w:hAnsi="Times New Roman" w:cs="Times New Roman Bold"/>
                <w:sz w:val="22"/>
                <w:lang w:val="fr-FR"/>
              </w:rPr>
            </w:pPr>
            <w:proofErr w:type="spellStart"/>
            <w:r w:rsidRPr="00DF708F">
              <w:rPr>
                <w:rFonts w:ascii="Times New Roman" w:hAnsi="Times New Roman" w:cs="Times New Roman Bold"/>
                <w:sz w:val="22"/>
                <w:lang w:val="fr-FR"/>
              </w:rPr>
              <w:t>Other</w:t>
            </w:r>
            <w:proofErr w:type="spellEnd"/>
            <w:r w:rsidRPr="00DF708F">
              <w:rPr>
                <w:rFonts w:ascii="Times New Roman" w:hAnsi="Times New Roman" w:cs="Times New Roman Bold"/>
                <w:sz w:val="22"/>
                <w:lang w:val="fr-FR"/>
              </w:rPr>
              <w:t xml:space="preserve"> </w:t>
            </w:r>
            <w:proofErr w:type="spellStart"/>
            <w:r w:rsidRPr="00DF708F">
              <w:rPr>
                <w:rFonts w:ascii="Times New Roman" w:hAnsi="Times New Roman" w:cs="Times New Roman Bold"/>
                <w:sz w:val="22"/>
                <w:lang w:val="fr-FR"/>
              </w:rPr>
              <w:t>medical</w:t>
            </w:r>
            <w:proofErr w:type="spellEnd"/>
            <w:r w:rsidRPr="00DF708F">
              <w:rPr>
                <w:rFonts w:ascii="Times New Roman" w:hAnsi="Times New Roman" w:cs="Times New Roman Bold"/>
                <w:sz w:val="22"/>
                <w:lang w:val="fr-FR"/>
              </w:rPr>
              <w:t xml:space="preserve"> services</w:t>
            </w:r>
          </w:p>
        </w:tc>
        <w:tc>
          <w:tcPr>
            <w:tcW w:w="1146" w:type="dxa"/>
            <w:tcBorders>
              <w:top w:val="nil"/>
              <w:left w:val="nil"/>
              <w:bottom w:val="nil"/>
              <w:right w:val="nil"/>
            </w:tcBorders>
          </w:tcPr>
          <w:p w14:paraId="1B49DF6A"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11.68</w:t>
            </w:r>
          </w:p>
        </w:tc>
        <w:tc>
          <w:tcPr>
            <w:tcW w:w="1147" w:type="dxa"/>
            <w:tcBorders>
              <w:top w:val="nil"/>
              <w:left w:val="nil"/>
              <w:bottom w:val="nil"/>
              <w:right w:val="nil"/>
            </w:tcBorders>
          </w:tcPr>
          <w:p w14:paraId="7C0CAD23"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23.75</w:t>
            </w:r>
          </w:p>
        </w:tc>
        <w:tc>
          <w:tcPr>
            <w:tcW w:w="1146" w:type="dxa"/>
            <w:tcBorders>
              <w:top w:val="nil"/>
              <w:left w:val="nil"/>
              <w:bottom w:val="nil"/>
              <w:right w:val="nil"/>
            </w:tcBorders>
          </w:tcPr>
          <w:p w14:paraId="0D5B0A6F"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27.73</w:t>
            </w:r>
          </w:p>
        </w:tc>
        <w:tc>
          <w:tcPr>
            <w:tcW w:w="1147" w:type="dxa"/>
            <w:tcBorders>
              <w:top w:val="nil"/>
              <w:left w:val="nil"/>
              <w:bottom w:val="nil"/>
              <w:right w:val="nil"/>
            </w:tcBorders>
          </w:tcPr>
          <w:p w14:paraId="78ABFB65"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43.40</w:t>
            </w:r>
          </w:p>
        </w:tc>
        <w:tc>
          <w:tcPr>
            <w:tcW w:w="1147" w:type="dxa"/>
            <w:tcBorders>
              <w:top w:val="nil"/>
              <w:left w:val="nil"/>
              <w:bottom w:val="nil"/>
              <w:right w:val="nil"/>
            </w:tcBorders>
          </w:tcPr>
          <w:p w14:paraId="78D83EEF"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50.03</w:t>
            </w:r>
          </w:p>
        </w:tc>
      </w:tr>
      <w:tr w:rsidR="001C7EF2" w14:paraId="24345C77" w14:textId="77777777">
        <w:trPr>
          <w:jc w:val="center"/>
        </w:trPr>
        <w:tc>
          <w:tcPr>
            <w:tcW w:w="5283" w:type="dxa"/>
            <w:tcBorders>
              <w:top w:val="nil"/>
              <w:left w:val="nil"/>
              <w:bottom w:val="nil"/>
              <w:right w:val="nil"/>
            </w:tcBorders>
          </w:tcPr>
          <w:p w14:paraId="036D0428" w14:textId="77777777" w:rsidR="001C7EF2" w:rsidRPr="008921B0" w:rsidRDefault="001C7EF2" w:rsidP="00B605C7">
            <w:pPr>
              <w:widowControl w:val="0"/>
              <w:autoSpaceDE w:val="0"/>
              <w:autoSpaceDN w:val="0"/>
              <w:adjustRightInd w:val="0"/>
              <w:jc w:val="right"/>
              <w:rPr>
                <w:rFonts w:ascii="Times New Roman" w:hAnsi="Times New Roman" w:cs="Times New Roman Bold"/>
                <w:sz w:val="22"/>
                <w:lang w:val="en-US"/>
              </w:rPr>
            </w:pPr>
            <w:r w:rsidRPr="008921B0">
              <w:rPr>
                <w:rFonts w:ascii="Times New Roman" w:hAnsi="Times New Roman" w:cs="Times New Roman Bold"/>
                <w:sz w:val="22"/>
                <w:lang w:val="en-US"/>
              </w:rPr>
              <w:t>Public hospital, medical and drug plans</w:t>
            </w:r>
          </w:p>
        </w:tc>
        <w:tc>
          <w:tcPr>
            <w:tcW w:w="1146" w:type="dxa"/>
            <w:tcBorders>
              <w:top w:val="nil"/>
              <w:left w:val="nil"/>
              <w:bottom w:val="nil"/>
              <w:right w:val="nil"/>
            </w:tcBorders>
          </w:tcPr>
          <w:p w14:paraId="08452D6E"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84.84</w:t>
            </w:r>
          </w:p>
        </w:tc>
        <w:tc>
          <w:tcPr>
            <w:tcW w:w="1147" w:type="dxa"/>
            <w:tcBorders>
              <w:top w:val="nil"/>
              <w:left w:val="nil"/>
              <w:bottom w:val="nil"/>
              <w:right w:val="nil"/>
            </w:tcBorders>
          </w:tcPr>
          <w:p w14:paraId="60EC7F98"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165.3</w:t>
            </w:r>
          </w:p>
        </w:tc>
        <w:tc>
          <w:tcPr>
            <w:tcW w:w="1146" w:type="dxa"/>
            <w:tcBorders>
              <w:top w:val="nil"/>
              <w:left w:val="nil"/>
              <w:bottom w:val="nil"/>
              <w:right w:val="nil"/>
            </w:tcBorders>
          </w:tcPr>
          <w:p w14:paraId="6BE7D19E"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178.2</w:t>
            </w:r>
          </w:p>
        </w:tc>
        <w:tc>
          <w:tcPr>
            <w:tcW w:w="1147" w:type="dxa"/>
            <w:tcBorders>
              <w:top w:val="nil"/>
              <w:left w:val="nil"/>
              <w:bottom w:val="nil"/>
              <w:right w:val="nil"/>
            </w:tcBorders>
          </w:tcPr>
          <w:p w14:paraId="37618DB7"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191.2</w:t>
            </w:r>
          </w:p>
        </w:tc>
        <w:tc>
          <w:tcPr>
            <w:tcW w:w="1147" w:type="dxa"/>
            <w:tcBorders>
              <w:top w:val="nil"/>
              <w:left w:val="nil"/>
              <w:bottom w:val="nil"/>
              <w:right w:val="nil"/>
            </w:tcBorders>
          </w:tcPr>
          <w:p w14:paraId="34866DF0"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188.1</w:t>
            </w:r>
          </w:p>
        </w:tc>
      </w:tr>
      <w:tr w:rsidR="001C7EF2" w14:paraId="0F5FDCE5" w14:textId="77777777">
        <w:trPr>
          <w:jc w:val="center"/>
        </w:trPr>
        <w:tc>
          <w:tcPr>
            <w:tcW w:w="5283" w:type="dxa"/>
            <w:tcBorders>
              <w:top w:val="nil"/>
              <w:left w:val="nil"/>
              <w:bottom w:val="single" w:sz="4" w:space="0" w:color="auto"/>
              <w:right w:val="nil"/>
            </w:tcBorders>
          </w:tcPr>
          <w:p w14:paraId="07CC17A0" w14:textId="77777777" w:rsidR="001C7EF2" w:rsidRPr="00DF708F" w:rsidRDefault="001C7EF2" w:rsidP="00B605C7">
            <w:pPr>
              <w:widowControl w:val="0"/>
              <w:autoSpaceDE w:val="0"/>
              <w:autoSpaceDN w:val="0"/>
              <w:adjustRightInd w:val="0"/>
              <w:jc w:val="right"/>
              <w:rPr>
                <w:rFonts w:ascii="Times New Roman" w:hAnsi="Times New Roman" w:cs="Times New Roman Bold"/>
                <w:sz w:val="22"/>
                <w:lang w:val="fr-FR"/>
              </w:rPr>
            </w:pPr>
            <w:proofErr w:type="spellStart"/>
            <w:r w:rsidRPr="00DF708F">
              <w:rPr>
                <w:rFonts w:ascii="Times New Roman" w:hAnsi="Times New Roman" w:cs="Times New Roman Bold"/>
                <w:sz w:val="22"/>
                <w:lang w:val="fr-FR"/>
              </w:rPr>
              <w:t>Private</w:t>
            </w:r>
            <w:proofErr w:type="spellEnd"/>
            <w:r w:rsidRPr="00DF708F">
              <w:rPr>
                <w:rFonts w:ascii="Times New Roman" w:hAnsi="Times New Roman" w:cs="Times New Roman Bold"/>
                <w:sz w:val="22"/>
                <w:lang w:val="fr-FR"/>
              </w:rPr>
              <w:t xml:space="preserve"> </w:t>
            </w:r>
            <w:proofErr w:type="spellStart"/>
            <w:r w:rsidRPr="00DF708F">
              <w:rPr>
                <w:rFonts w:ascii="Times New Roman" w:hAnsi="Times New Roman" w:cs="Times New Roman Bold"/>
                <w:sz w:val="22"/>
                <w:lang w:val="fr-FR"/>
              </w:rPr>
              <w:t>health</w:t>
            </w:r>
            <w:proofErr w:type="spellEnd"/>
            <w:r w:rsidRPr="00DF708F">
              <w:rPr>
                <w:rFonts w:ascii="Times New Roman" w:hAnsi="Times New Roman" w:cs="Times New Roman Bold"/>
                <w:sz w:val="22"/>
                <w:lang w:val="fr-FR"/>
              </w:rPr>
              <w:t xml:space="preserve"> </w:t>
            </w:r>
            <w:proofErr w:type="spellStart"/>
            <w:r w:rsidRPr="00DF708F">
              <w:rPr>
                <w:rFonts w:ascii="Times New Roman" w:hAnsi="Times New Roman" w:cs="Times New Roman Bold"/>
                <w:sz w:val="22"/>
                <w:lang w:val="fr-FR"/>
              </w:rPr>
              <w:t>insurance</w:t>
            </w:r>
            <w:proofErr w:type="spellEnd"/>
            <w:r w:rsidRPr="00DF708F">
              <w:rPr>
                <w:rFonts w:ascii="Times New Roman" w:hAnsi="Times New Roman" w:cs="Times New Roman Bold"/>
                <w:sz w:val="22"/>
                <w:lang w:val="fr-FR"/>
              </w:rPr>
              <w:t xml:space="preserve"> plans</w:t>
            </w:r>
          </w:p>
        </w:tc>
        <w:tc>
          <w:tcPr>
            <w:tcW w:w="1146" w:type="dxa"/>
            <w:tcBorders>
              <w:top w:val="nil"/>
              <w:left w:val="nil"/>
              <w:bottom w:val="single" w:sz="4" w:space="0" w:color="auto"/>
              <w:right w:val="nil"/>
            </w:tcBorders>
          </w:tcPr>
          <w:p w14:paraId="3BB31929"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163C6A">
              <w:rPr>
                <w:rFonts w:ascii="Times New Roman" w:eastAsia="Times New Roman" w:hAnsi="Times New Roman" w:cs="Times New Roman"/>
                <w:sz w:val="22"/>
                <w:szCs w:val="22"/>
              </w:rPr>
              <w:t>71.11</w:t>
            </w:r>
          </w:p>
        </w:tc>
        <w:tc>
          <w:tcPr>
            <w:tcW w:w="1147" w:type="dxa"/>
            <w:tcBorders>
              <w:top w:val="nil"/>
              <w:left w:val="nil"/>
              <w:bottom w:val="single" w:sz="4" w:space="0" w:color="auto"/>
              <w:right w:val="nil"/>
            </w:tcBorders>
          </w:tcPr>
          <w:p w14:paraId="60D91109"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0A5D12">
              <w:rPr>
                <w:rFonts w:ascii="Times New Roman" w:eastAsia="Times New Roman" w:hAnsi="Times New Roman" w:cs="Times New Roman"/>
                <w:sz w:val="22"/>
                <w:szCs w:val="22"/>
              </w:rPr>
              <w:t>243.5</w:t>
            </w:r>
          </w:p>
        </w:tc>
        <w:tc>
          <w:tcPr>
            <w:tcW w:w="1146" w:type="dxa"/>
            <w:tcBorders>
              <w:top w:val="nil"/>
              <w:left w:val="nil"/>
              <w:bottom w:val="single" w:sz="4" w:space="0" w:color="auto"/>
              <w:right w:val="nil"/>
            </w:tcBorders>
          </w:tcPr>
          <w:p w14:paraId="026F69A1"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4D5FB5">
              <w:rPr>
                <w:rFonts w:ascii="Times New Roman" w:eastAsia="Times New Roman" w:hAnsi="Times New Roman" w:cs="Times New Roman"/>
                <w:sz w:val="22"/>
                <w:szCs w:val="22"/>
              </w:rPr>
              <w:t>455.7</w:t>
            </w:r>
          </w:p>
        </w:tc>
        <w:tc>
          <w:tcPr>
            <w:tcW w:w="1147" w:type="dxa"/>
            <w:tcBorders>
              <w:top w:val="nil"/>
              <w:left w:val="nil"/>
              <w:bottom w:val="single" w:sz="4" w:space="0" w:color="auto"/>
              <w:right w:val="nil"/>
            </w:tcBorders>
          </w:tcPr>
          <w:p w14:paraId="0733F36C"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3E54F8">
              <w:rPr>
                <w:rFonts w:ascii="Times New Roman" w:eastAsia="Times New Roman" w:hAnsi="Times New Roman" w:cs="Times New Roman"/>
                <w:sz w:val="22"/>
                <w:szCs w:val="22"/>
              </w:rPr>
              <w:t>722.5</w:t>
            </w:r>
          </w:p>
        </w:tc>
        <w:tc>
          <w:tcPr>
            <w:tcW w:w="1147" w:type="dxa"/>
            <w:tcBorders>
              <w:top w:val="nil"/>
              <w:left w:val="nil"/>
              <w:bottom w:val="single" w:sz="4" w:space="0" w:color="auto"/>
              <w:right w:val="nil"/>
            </w:tcBorders>
          </w:tcPr>
          <w:p w14:paraId="6F0E36F9" w14:textId="77777777" w:rsidR="001C7EF2" w:rsidRPr="00DF708F" w:rsidRDefault="001C7EF2">
            <w:pPr>
              <w:widowControl w:val="0"/>
              <w:autoSpaceDE w:val="0"/>
              <w:autoSpaceDN w:val="0"/>
              <w:adjustRightInd w:val="0"/>
              <w:jc w:val="center"/>
              <w:rPr>
                <w:rFonts w:ascii="Times New Roman" w:hAnsi="Times New Roman" w:cs="Times New Roman Bold"/>
                <w:sz w:val="22"/>
                <w:lang w:val="fr-FR"/>
              </w:rPr>
            </w:pPr>
            <w:r w:rsidRPr="00BF0C3E">
              <w:rPr>
                <w:rFonts w:ascii="Times New Roman" w:eastAsia="Times New Roman" w:hAnsi="Times New Roman" w:cs="Times New Roman"/>
                <w:sz w:val="22"/>
                <w:szCs w:val="22"/>
              </w:rPr>
              <w:t>1,197</w:t>
            </w:r>
          </w:p>
        </w:tc>
      </w:tr>
      <w:tr w:rsidR="00FE2D11" w14:paraId="3E9F9312" w14:textId="77777777">
        <w:trPr>
          <w:jc w:val="center"/>
        </w:trPr>
        <w:tc>
          <w:tcPr>
            <w:tcW w:w="5283" w:type="dxa"/>
            <w:tcBorders>
              <w:top w:val="single" w:sz="4" w:space="0" w:color="auto"/>
              <w:left w:val="nil"/>
              <w:bottom w:val="nil"/>
              <w:right w:val="nil"/>
            </w:tcBorders>
          </w:tcPr>
          <w:p w14:paraId="6BA9FDDA" w14:textId="77777777" w:rsidR="00FE2D11" w:rsidRPr="00DF708F" w:rsidRDefault="00FE2D11" w:rsidP="00B605C7">
            <w:pPr>
              <w:widowControl w:val="0"/>
              <w:autoSpaceDE w:val="0"/>
              <w:autoSpaceDN w:val="0"/>
              <w:adjustRightInd w:val="0"/>
              <w:jc w:val="right"/>
              <w:rPr>
                <w:rFonts w:ascii="Times New Roman" w:hAnsi="Times New Roman" w:cs="Times New Roman Bold"/>
                <w:b/>
                <w:sz w:val="22"/>
                <w:lang w:val="fr-FR"/>
              </w:rPr>
            </w:pPr>
            <w:r>
              <w:rPr>
                <w:rFonts w:ascii="Times New Roman" w:hAnsi="Times New Roman" w:cs="Times New Roman Bold"/>
                <w:b/>
                <w:sz w:val="22"/>
                <w:lang w:val="fr-FR"/>
              </w:rPr>
              <w:t>Observations (</w:t>
            </w:r>
            <w:proofErr w:type="spellStart"/>
            <w:r>
              <w:rPr>
                <w:rFonts w:ascii="Times New Roman" w:hAnsi="Times New Roman" w:cs="Times New Roman Bold"/>
                <w:b/>
                <w:sz w:val="22"/>
                <w:lang w:val="fr-FR"/>
              </w:rPr>
              <w:t>weighted</w:t>
            </w:r>
            <w:proofErr w:type="spellEnd"/>
            <w:r>
              <w:rPr>
                <w:rFonts w:ascii="Times New Roman" w:hAnsi="Times New Roman" w:cs="Times New Roman Bold"/>
                <w:b/>
                <w:sz w:val="22"/>
                <w:lang w:val="fr-FR"/>
              </w:rPr>
              <w:t>)</w:t>
            </w:r>
          </w:p>
        </w:tc>
        <w:tc>
          <w:tcPr>
            <w:tcW w:w="1146" w:type="dxa"/>
            <w:tcBorders>
              <w:top w:val="single" w:sz="4" w:space="0" w:color="auto"/>
              <w:left w:val="nil"/>
              <w:bottom w:val="nil"/>
              <w:right w:val="nil"/>
            </w:tcBorders>
          </w:tcPr>
          <w:p w14:paraId="737C8B07" w14:textId="77777777" w:rsidR="00FE2D11" w:rsidRPr="00DF708F" w:rsidRDefault="00FE2D11" w:rsidP="00B605C7">
            <w:pPr>
              <w:widowControl w:val="0"/>
              <w:autoSpaceDE w:val="0"/>
              <w:autoSpaceDN w:val="0"/>
              <w:adjustRightInd w:val="0"/>
              <w:rPr>
                <w:rFonts w:ascii="Times New Roman" w:hAnsi="Times New Roman" w:cs="Times New Roman Bold"/>
                <w:sz w:val="22"/>
                <w:lang w:val="fr-FR"/>
              </w:rPr>
            </w:pPr>
            <w:r w:rsidRPr="00DF708F">
              <w:rPr>
                <w:rFonts w:ascii="Times New Roman" w:hAnsi="Times New Roman" w:cs="Times New Roman Bold"/>
                <w:sz w:val="22"/>
                <w:lang w:val="fr-FR"/>
              </w:rPr>
              <w:t>32,643,098</w:t>
            </w:r>
          </w:p>
        </w:tc>
        <w:tc>
          <w:tcPr>
            <w:tcW w:w="1147" w:type="dxa"/>
            <w:tcBorders>
              <w:top w:val="single" w:sz="4" w:space="0" w:color="auto"/>
              <w:left w:val="nil"/>
              <w:bottom w:val="nil"/>
              <w:right w:val="nil"/>
            </w:tcBorders>
          </w:tcPr>
          <w:p w14:paraId="0BEE8F0C" w14:textId="77777777" w:rsidR="00FE2D11" w:rsidRPr="00DF708F" w:rsidRDefault="00FE2D11" w:rsidP="00B605C7">
            <w:pPr>
              <w:widowControl w:val="0"/>
              <w:autoSpaceDE w:val="0"/>
              <w:autoSpaceDN w:val="0"/>
              <w:adjustRightInd w:val="0"/>
              <w:rPr>
                <w:rFonts w:ascii="Times New Roman" w:hAnsi="Times New Roman" w:cs="Times New Roman Bold"/>
                <w:sz w:val="22"/>
                <w:lang w:val="fr-FR"/>
              </w:rPr>
            </w:pPr>
            <w:r w:rsidRPr="00DF708F">
              <w:rPr>
                <w:rFonts w:ascii="Times New Roman" w:hAnsi="Times New Roman" w:cs="Times New Roman Bold"/>
                <w:sz w:val="22"/>
                <w:lang w:val="fr-FR"/>
              </w:rPr>
              <w:t>47,078,620</w:t>
            </w:r>
          </w:p>
        </w:tc>
        <w:tc>
          <w:tcPr>
            <w:tcW w:w="1146" w:type="dxa"/>
            <w:tcBorders>
              <w:top w:val="single" w:sz="4" w:space="0" w:color="auto"/>
              <w:left w:val="nil"/>
              <w:bottom w:val="nil"/>
              <w:right w:val="nil"/>
            </w:tcBorders>
          </w:tcPr>
          <w:p w14:paraId="59F26A71" w14:textId="77777777" w:rsidR="00FE2D11" w:rsidRPr="00DF708F" w:rsidRDefault="00FE2D11" w:rsidP="00B605C7">
            <w:pPr>
              <w:widowControl w:val="0"/>
              <w:autoSpaceDE w:val="0"/>
              <w:autoSpaceDN w:val="0"/>
              <w:adjustRightInd w:val="0"/>
              <w:rPr>
                <w:rFonts w:ascii="Times New Roman" w:hAnsi="Times New Roman" w:cs="Times New Roman Bold"/>
                <w:sz w:val="22"/>
                <w:lang w:val="fr-FR"/>
              </w:rPr>
            </w:pPr>
            <w:r w:rsidRPr="00DF708F">
              <w:rPr>
                <w:rFonts w:ascii="Times New Roman" w:hAnsi="Times New Roman" w:cs="Times New Roman Bold"/>
                <w:sz w:val="22"/>
                <w:lang w:val="fr-FR"/>
              </w:rPr>
              <w:t>64,749,203</w:t>
            </w:r>
          </w:p>
        </w:tc>
        <w:tc>
          <w:tcPr>
            <w:tcW w:w="1147" w:type="dxa"/>
            <w:tcBorders>
              <w:top w:val="single" w:sz="4" w:space="0" w:color="auto"/>
              <w:left w:val="nil"/>
              <w:bottom w:val="nil"/>
              <w:right w:val="nil"/>
            </w:tcBorders>
          </w:tcPr>
          <w:p w14:paraId="43EA5BE6" w14:textId="77777777" w:rsidR="00FE2D11" w:rsidRPr="00692DB9" w:rsidRDefault="00FE2D11" w:rsidP="00B605C7">
            <w:pPr>
              <w:widowControl w:val="0"/>
              <w:autoSpaceDE w:val="0"/>
              <w:autoSpaceDN w:val="0"/>
              <w:adjustRightInd w:val="0"/>
              <w:rPr>
                <w:rFonts w:ascii="Times New Roman" w:hAnsi="Times New Roman" w:cs="Times New Roman Bold"/>
                <w:sz w:val="22"/>
                <w:lang w:val="fr-FR"/>
              </w:rPr>
            </w:pPr>
            <w:r w:rsidRPr="00692DB9">
              <w:rPr>
                <w:rFonts w:ascii="Times New Roman" w:hAnsi="Times New Roman" w:cs="Times New Roman Bold"/>
                <w:sz w:val="22"/>
                <w:lang w:val="fr-FR"/>
              </w:rPr>
              <w:t>14</w:t>
            </w:r>
            <w:r>
              <w:rPr>
                <w:rFonts w:ascii="Times New Roman" w:hAnsi="Times New Roman" w:cs="Times New Roman Bold"/>
                <w:sz w:val="22"/>
                <w:lang w:val="fr-FR"/>
              </w:rPr>
              <w:t>,</w:t>
            </w:r>
            <w:r w:rsidRPr="00692DB9">
              <w:rPr>
                <w:rFonts w:ascii="Times New Roman" w:hAnsi="Times New Roman" w:cs="Times New Roman Bold"/>
                <w:sz w:val="22"/>
                <w:lang w:val="fr-FR"/>
              </w:rPr>
              <w:t>102</w:t>
            </w:r>
            <w:r>
              <w:rPr>
                <w:rFonts w:ascii="Times New Roman" w:hAnsi="Times New Roman" w:cs="Times New Roman Bold"/>
                <w:sz w:val="22"/>
                <w:lang w:val="fr-FR"/>
              </w:rPr>
              <w:t>,</w:t>
            </w:r>
            <w:r w:rsidRPr="00692DB9">
              <w:rPr>
                <w:rFonts w:ascii="Times New Roman" w:hAnsi="Times New Roman" w:cs="Times New Roman Bold"/>
                <w:sz w:val="22"/>
                <w:lang w:val="fr-FR"/>
              </w:rPr>
              <w:t xml:space="preserve">824 </w:t>
            </w:r>
          </w:p>
        </w:tc>
        <w:tc>
          <w:tcPr>
            <w:tcW w:w="1147" w:type="dxa"/>
            <w:tcBorders>
              <w:top w:val="single" w:sz="4" w:space="0" w:color="auto"/>
              <w:left w:val="nil"/>
              <w:bottom w:val="nil"/>
              <w:right w:val="nil"/>
            </w:tcBorders>
          </w:tcPr>
          <w:p w14:paraId="10D46125" w14:textId="77777777" w:rsidR="00FE2D11" w:rsidRPr="00DF708F" w:rsidRDefault="00FE2D11" w:rsidP="00B605C7">
            <w:pPr>
              <w:widowControl w:val="0"/>
              <w:autoSpaceDE w:val="0"/>
              <w:autoSpaceDN w:val="0"/>
              <w:adjustRightInd w:val="0"/>
              <w:rPr>
                <w:rFonts w:ascii="Times New Roman" w:hAnsi="Times New Roman" w:cs="Times New Roman Bold"/>
                <w:sz w:val="22"/>
                <w:lang w:val="fr-FR"/>
              </w:rPr>
            </w:pPr>
            <w:r w:rsidRPr="00DF708F">
              <w:rPr>
                <w:rFonts w:ascii="Times New Roman" w:hAnsi="Times New Roman" w:cs="Times New Roman Bold"/>
                <w:sz w:val="22"/>
                <w:lang w:val="fr-FR"/>
              </w:rPr>
              <w:t xml:space="preserve">1,473,180 </w:t>
            </w:r>
          </w:p>
        </w:tc>
      </w:tr>
      <w:tr w:rsidR="00FE2D11" w14:paraId="66AE95EC" w14:textId="77777777">
        <w:trPr>
          <w:jc w:val="center"/>
        </w:trPr>
        <w:tc>
          <w:tcPr>
            <w:tcW w:w="5283" w:type="dxa"/>
            <w:tcBorders>
              <w:top w:val="nil"/>
              <w:left w:val="nil"/>
              <w:bottom w:val="double" w:sz="4" w:space="0" w:color="auto"/>
              <w:right w:val="nil"/>
            </w:tcBorders>
          </w:tcPr>
          <w:p w14:paraId="0AD9F016" w14:textId="77777777" w:rsidR="00FE2D11" w:rsidRPr="00DF708F" w:rsidRDefault="00FE2D11" w:rsidP="00B605C7">
            <w:pPr>
              <w:widowControl w:val="0"/>
              <w:autoSpaceDE w:val="0"/>
              <w:autoSpaceDN w:val="0"/>
              <w:adjustRightInd w:val="0"/>
              <w:jc w:val="right"/>
              <w:rPr>
                <w:rFonts w:ascii="Times New Roman" w:hAnsi="Times New Roman" w:cs="Times New Roman Bold"/>
                <w:b/>
                <w:sz w:val="22"/>
                <w:lang w:val="fr-FR"/>
              </w:rPr>
            </w:pPr>
            <w:r w:rsidRPr="00DF708F">
              <w:rPr>
                <w:rFonts w:ascii="Times New Roman" w:hAnsi="Times New Roman" w:cs="Times New Roman Bold"/>
                <w:b/>
                <w:sz w:val="22"/>
                <w:lang w:val="fr-FR"/>
              </w:rPr>
              <w:t>Observations (</w:t>
            </w:r>
            <w:proofErr w:type="spellStart"/>
            <w:r w:rsidRPr="00DF708F">
              <w:rPr>
                <w:rFonts w:ascii="Times New Roman" w:hAnsi="Times New Roman" w:cs="Times New Roman Bold"/>
                <w:b/>
                <w:sz w:val="22"/>
                <w:lang w:val="fr-FR"/>
              </w:rPr>
              <w:t>unweighted</w:t>
            </w:r>
            <w:proofErr w:type="spellEnd"/>
            <w:r w:rsidRPr="00DF708F">
              <w:rPr>
                <w:rFonts w:ascii="Times New Roman" w:hAnsi="Times New Roman" w:cs="Times New Roman Bold"/>
                <w:b/>
                <w:sz w:val="22"/>
                <w:lang w:val="fr-FR"/>
              </w:rPr>
              <w:t>)</w:t>
            </w:r>
          </w:p>
        </w:tc>
        <w:tc>
          <w:tcPr>
            <w:tcW w:w="1146" w:type="dxa"/>
            <w:tcBorders>
              <w:top w:val="nil"/>
              <w:left w:val="nil"/>
              <w:bottom w:val="double" w:sz="4" w:space="0" w:color="auto"/>
              <w:right w:val="nil"/>
            </w:tcBorders>
          </w:tcPr>
          <w:p w14:paraId="65DC2799" w14:textId="77777777" w:rsidR="00FE2D11" w:rsidRPr="00BB40E2" w:rsidRDefault="00FE2D11" w:rsidP="00B605C7">
            <w:pPr>
              <w:widowControl w:val="0"/>
              <w:autoSpaceDE w:val="0"/>
              <w:autoSpaceDN w:val="0"/>
              <w:adjustRightInd w:val="0"/>
              <w:rPr>
                <w:rFonts w:ascii="Times New Roman" w:hAnsi="Times New Roman" w:cs="Times New Roman Bold"/>
                <w:sz w:val="22"/>
                <w:lang w:val="en-CA"/>
              </w:rPr>
            </w:pPr>
            <w:r>
              <w:rPr>
                <w:rFonts w:ascii="Times New Roman" w:hAnsi="Times New Roman" w:cs="Times New Roman Bold"/>
                <w:sz w:val="22"/>
                <w:lang w:val="fr-FR"/>
              </w:rPr>
              <w:t>42,2</w:t>
            </w:r>
            <w:r w:rsidR="0073478C">
              <w:rPr>
                <w:rFonts w:ascii="Times New Roman" w:hAnsi="Times New Roman" w:cs="Times New Roman Bold"/>
                <w:sz w:val="22"/>
                <w:lang w:val="fr-FR"/>
              </w:rPr>
              <w:t>07</w:t>
            </w:r>
          </w:p>
        </w:tc>
        <w:tc>
          <w:tcPr>
            <w:tcW w:w="1147" w:type="dxa"/>
            <w:tcBorders>
              <w:top w:val="nil"/>
              <w:left w:val="nil"/>
              <w:bottom w:val="double" w:sz="4" w:space="0" w:color="auto"/>
              <w:right w:val="nil"/>
            </w:tcBorders>
          </w:tcPr>
          <w:p w14:paraId="49E80DD8" w14:textId="77777777" w:rsidR="00FE2D11" w:rsidRPr="00DF708F" w:rsidRDefault="00FE2D11" w:rsidP="00B605C7">
            <w:pPr>
              <w:widowControl w:val="0"/>
              <w:autoSpaceDE w:val="0"/>
              <w:autoSpaceDN w:val="0"/>
              <w:adjustRightInd w:val="0"/>
              <w:rPr>
                <w:rFonts w:ascii="Times New Roman" w:hAnsi="Times New Roman" w:cs="Times New Roman Bold"/>
                <w:sz w:val="22"/>
                <w:lang w:val="fr-FR"/>
              </w:rPr>
            </w:pPr>
            <w:r>
              <w:rPr>
                <w:rFonts w:ascii="Times New Roman" w:hAnsi="Times New Roman" w:cs="Times New Roman Bold"/>
                <w:sz w:val="22"/>
                <w:lang w:val="fr-FR"/>
              </w:rPr>
              <w:t>59,59</w:t>
            </w:r>
            <w:r w:rsidR="0073478C">
              <w:rPr>
                <w:rFonts w:ascii="Times New Roman" w:hAnsi="Times New Roman" w:cs="Times New Roman Bold"/>
                <w:sz w:val="22"/>
                <w:lang w:val="fr-FR"/>
              </w:rPr>
              <w:t>4</w:t>
            </w:r>
          </w:p>
        </w:tc>
        <w:tc>
          <w:tcPr>
            <w:tcW w:w="1146" w:type="dxa"/>
            <w:tcBorders>
              <w:top w:val="nil"/>
              <w:left w:val="nil"/>
              <w:bottom w:val="double" w:sz="4" w:space="0" w:color="auto"/>
              <w:right w:val="nil"/>
            </w:tcBorders>
          </w:tcPr>
          <w:p w14:paraId="6667FB92" w14:textId="77777777" w:rsidR="00FE2D11" w:rsidRPr="00DF708F" w:rsidRDefault="00FE2D11" w:rsidP="00B605C7">
            <w:pPr>
              <w:widowControl w:val="0"/>
              <w:autoSpaceDE w:val="0"/>
              <w:autoSpaceDN w:val="0"/>
              <w:adjustRightInd w:val="0"/>
              <w:rPr>
                <w:rFonts w:ascii="Times New Roman" w:hAnsi="Times New Roman" w:cs="Times New Roman Bold"/>
                <w:sz w:val="22"/>
                <w:lang w:val="fr-FR"/>
              </w:rPr>
            </w:pPr>
            <w:r>
              <w:rPr>
                <w:rFonts w:ascii="Times New Roman" w:hAnsi="Times New Roman" w:cs="Times New Roman Bold"/>
                <w:sz w:val="22"/>
                <w:lang w:val="fr-FR"/>
              </w:rPr>
              <w:t>71,710</w:t>
            </w:r>
          </w:p>
        </w:tc>
        <w:tc>
          <w:tcPr>
            <w:tcW w:w="1147" w:type="dxa"/>
            <w:tcBorders>
              <w:top w:val="nil"/>
              <w:left w:val="nil"/>
              <w:bottom w:val="double" w:sz="4" w:space="0" w:color="auto"/>
              <w:right w:val="nil"/>
            </w:tcBorders>
          </w:tcPr>
          <w:p w14:paraId="3E2B03A7" w14:textId="77777777" w:rsidR="00FE2D11" w:rsidRPr="00DF708F" w:rsidRDefault="00FE2D11" w:rsidP="00B605C7">
            <w:pPr>
              <w:widowControl w:val="0"/>
              <w:autoSpaceDE w:val="0"/>
              <w:autoSpaceDN w:val="0"/>
              <w:adjustRightInd w:val="0"/>
              <w:rPr>
                <w:rFonts w:ascii="Times New Roman" w:hAnsi="Times New Roman" w:cs="Times New Roman Bold"/>
                <w:sz w:val="22"/>
                <w:lang w:val="fr-FR"/>
              </w:rPr>
            </w:pPr>
            <w:r>
              <w:rPr>
                <w:rFonts w:ascii="Times New Roman" w:hAnsi="Times New Roman" w:cs="Times New Roman Bold"/>
                <w:sz w:val="22"/>
                <w:lang w:val="fr-FR"/>
              </w:rPr>
              <w:t>13,066</w:t>
            </w:r>
          </w:p>
        </w:tc>
        <w:tc>
          <w:tcPr>
            <w:tcW w:w="1147" w:type="dxa"/>
            <w:tcBorders>
              <w:top w:val="nil"/>
              <w:left w:val="nil"/>
              <w:bottom w:val="double" w:sz="4" w:space="0" w:color="auto"/>
              <w:right w:val="nil"/>
            </w:tcBorders>
          </w:tcPr>
          <w:p w14:paraId="133801ED" w14:textId="77777777" w:rsidR="00FE2D11" w:rsidRPr="00DF708F" w:rsidRDefault="00FE2D11" w:rsidP="00B605C7">
            <w:pPr>
              <w:widowControl w:val="0"/>
              <w:autoSpaceDE w:val="0"/>
              <w:autoSpaceDN w:val="0"/>
              <w:adjustRightInd w:val="0"/>
              <w:rPr>
                <w:rFonts w:ascii="Times New Roman" w:hAnsi="Times New Roman" w:cs="Times New Roman Bold"/>
                <w:sz w:val="22"/>
                <w:lang w:val="fr-FR"/>
              </w:rPr>
            </w:pPr>
            <w:r>
              <w:rPr>
                <w:rFonts w:ascii="Times New Roman" w:hAnsi="Times New Roman" w:cs="Times New Roman Bold"/>
                <w:sz w:val="22"/>
                <w:lang w:val="fr-FR"/>
              </w:rPr>
              <w:t>1,434</w:t>
            </w:r>
          </w:p>
        </w:tc>
      </w:tr>
    </w:tbl>
    <w:p w14:paraId="52BA5ABF" w14:textId="77777777" w:rsidR="00FE2D11" w:rsidRDefault="00FE2D11" w:rsidP="00CC5CC1">
      <w:pPr>
        <w:widowControl w:val="0"/>
        <w:autoSpaceDE w:val="0"/>
        <w:autoSpaceDN w:val="0"/>
        <w:adjustRightInd w:val="0"/>
        <w:outlineLvl w:val="0"/>
        <w:rPr>
          <w:rFonts w:ascii="Times New Roman" w:hAnsi="Times New Roman" w:cs="Times New Roman Bold"/>
          <w:b/>
          <w:sz w:val="22"/>
        </w:rPr>
      </w:pPr>
      <w:r w:rsidRPr="008921B0">
        <w:rPr>
          <w:rFonts w:ascii="Times New Roman" w:hAnsi="Times New Roman" w:cs="Times New Roman Bold"/>
          <w:b/>
          <w:sz w:val="22"/>
          <w:lang w:val="en-US"/>
        </w:rPr>
        <w:br w:type="page"/>
      </w:r>
      <w:r w:rsidRPr="008921B0">
        <w:rPr>
          <w:rFonts w:ascii="Times New Roman" w:hAnsi="Times New Roman" w:cs="Times New Roman Bold"/>
          <w:b/>
          <w:sz w:val="22"/>
          <w:lang w:val="en-US"/>
        </w:rPr>
        <w:lastRenderedPageBreak/>
        <w:t>Table 7 : H</w:t>
      </w:r>
      <w:proofErr w:type="spellStart"/>
      <w:r w:rsidRPr="00702114">
        <w:rPr>
          <w:rFonts w:ascii="Times New Roman" w:hAnsi="Times New Roman" w:cs="Times New Roman Bold"/>
          <w:b/>
          <w:sz w:val="22"/>
        </w:rPr>
        <w:t>ousehold</w:t>
      </w:r>
      <w:proofErr w:type="spellEnd"/>
      <w:r w:rsidRPr="00702114">
        <w:rPr>
          <w:rFonts w:ascii="Times New Roman" w:hAnsi="Times New Roman" w:cs="Times New Roman Bold"/>
          <w:b/>
          <w:sz w:val="22"/>
        </w:rPr>
        <w:t xml:space="preserve"> position</w:t>
      </w:r>
      <w:r>
        <w:rPr>
          <w:rFonts w:ascii="Times New Roman" w:hAnsi="Times New Roman" w:cs="Times New Roman Bold"/>
          <w:b/>
          <w:sz w:val="22"/>
        </w:rPr>
        <w:t xml:space="preserve"> within </w:t>
      </w:r>
      <w:r w:rsidRPr="00702114">
        <w:rPr>
          <w:rFonts w:ascii="Times New Roman" w:hAnsi="Times New Roman" w:cs="Times New Roman Bold"/>
          <w:b/>
          <w:sz w:val="22"/>
        </w:rPr>
        <w:t>the income distribution</w:t>
      </w:r>
      <w:r>
        <w:rPr>
          <w:rFonts w:ascii="Times New Roman" w:hAnsi="Times New Roman" w:cs="Times New Roman Bold"/>
          <w:b/>
          <w:sz w:val="22"/>
        </w:rPr>
        <w:t xml:space="preserve"> (</w:t>
      </w:r>
      <w:proofErr w:type="spellStart"/>
      <w:r>
        <w:rPr>
          <w:rFonts w:ascii="Times New Roman" w:hAnsi="Times New Roman" w:cs="Times New Roman Bold"/>
          <w:b/>
          <w:sz w:val="22"/>
        </w:rPr>
        <w:t>fractiles</w:t>
      </w:r>
      <w:proofErr w:type="spellEnd"/>
      <w:r>
        <w:rPr>
          <w:rFonts w:ascii="Times New Roman" w:hAnsi="Times New Roman" w:cs="Times New Roman Bold"/>
          <w:b/>
          <w:sz w:val="22"/>
        </w:rPr>
        <w:t>) on health expenditure</w:t>
      </w:r>
    </w:p>
    <w:p w14:paraId="52382D53" w14:textId="77777777" w:rsidR="00FE2D11" w:rsidRPr="00702114" w:rsidRDefault="00FE2D11" w:rsidP="00B605C7">
      <w:pPr>
        <w:widowControl w:val="0"/>
        <w:autoSpaceDE w:val="0"/>
        <w:autoSpaceDN w:val="0"/>
        <w:adjustRightInd w:val="0"/>
        <w:rPr>
          <w:rFonts w:ascii="Times New Roman" w:hAnsi="Times New Roman" w:cs="Times New Roman Bold"/>
          <w:b/>
          <w:sz w:val="22"/>
        </w:rPr>
      </w:pPr>
    </w:p>
    <w:tbl>
      <w:tblPr>
        <w:tblW w:w="9780" w:type="dxa"/>
        <w:jc w:val="center"/>
        <w:tblLayout w:type="fixed"/>
        <w:tblCellMar>
          <w:left w:w="75" w:type="dxa"/>
          <w:right w:w="75" w:type="dxa"/>
        </w:tblCellMar>
        <w:tblLook w:val="0000" w:firstRow="0" w:lastRow="0" w:firstColumn="0" w:lastColumn="0" w:noHBand="0" w:noVBand="0"/>
      </w:tblPr>
      <w:tblGrid>
        <w:gridCol w:w="1958"/>
        <w:gridCol w:w="1436"/>
        <w:gridCol w:w="1266"/>
        <w:gridCol w:w="1267"/>
        <w:gridCol w:w="1266"/>
        <w:gridCol w:w="1266"/>
        <w:gridCol w:w="1321"/>
      </w:tblGrid>
      <w:tr w:rsidR="00FE2D11" w:rsidRPr="00364F7A" w14:paraId="3F2A063E" w14:textId="77777777" w:rsidTr="00B605C7">
        <w:trPr>
          <w:jc w:val="center"/>
        </w:trPr>
        <w:tc>
          <w:tcPr>
            <w:tcW w:w="1958" w:type="dxa"/>
            <w:tcBorders>
              <w:top w:val="double" w:sz="4" w:space="0" w:color="auto"/>
              <w:left w:val="nil"/>
              <w:right w:val="nil"/>
            </w:tcBorders>
          </w:tcPr>
          <w:p w14:paraId="502F9E1F" w14:textId="77777777" w:rsidR="00FE2D11" w:rsidRPr="00364F7A" w:rsidRDefault="00FE2D11">
            <w:pPr>
              <w:widowControl w:val="0"/>
              <w:autoSpaceDE w:val="0"/>
              <w:autoSpaceDN w:val="0"/>
              <w:adjustRightInd w:val="0"/>
              <w:rPr>
                <w:rFonts w:ascii="Times New Roman" w:hAnsi="Times New Roman" w:cs="Times New Roman Bold"/>
                <w:sz w:val="21"/>
              </w:rPr>
            </w:pPr>
          </w:p>
        </w:tc>
        <w:tc>
          <w:tcPr>
            <w:tcW w:w="1436" w:type="dxa"/>
            <w:tcBorders>
              <w:top w:val="double" w:sz="4" w:space="0" w:color="auto"/>
              <w:left w:val="nil"/>
              <w:right w:val="nil"/>
            </w:tcBorders>
          </w:tcPr>
          <w:p w14:paraId="4DD1E45A"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(1)</w:t>
            </w:r>
          </w:p>
        </w:tc>
        <w:tc>
          <w:tcPr>
            <w:tcW w:w="1266" w:type="dxa"/>
            <w:tcBorders>
              <w:top w:val="double" w:sz="4" w:space="0" w:color="auto"/>
              <w:left w:val="nil"/>
              <w:right w:val="nil"/>
            </w:tcBorders>
          </w:tcPr>
          <w:p w14:paraId="0832296A"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(2)</w:t>
            </w:r>
          </w:p>
        </w:tc>
        <w:tc>
          <w:tcPr>
            <w:tcW w:w="1267" w:type="dxa"/>
            <w:tcBorders>
              <w:top w:val="double" w:sz="4" w:space="0" w:color="auto"/>
              <w:left w:val="nil"/>
              <w:right w:val="nil"/>
            </w:tcBorders>
          </w:tcPr>
          <w:p w14:paraId="076B7D63"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(3)</w:t>
            </w:r>
          </w:p>
        </w:tc>
        <w:tc>
          <w:tcPr>
            <w:tcW w:w="1266" w:type="dxa"/>
            <w:tcBorders>
              <w:top w:val="double" w:sz="4" w:space="0" w:color="auto"/>
              <w:left w:val="nil"/>
              <w:right w:val="nil"/>
            </w:tcBorders>
          </w:tcPr>
          <w:p w14:paraId="41B5E315"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(4)</w:t>
            </w:r>
          </w:p>
        </w:tc>
        <w:tc>
          <w:tcPr>
            <w:tcW w:w="1266" w:type="dxa"/>
            <w:tcBorders>
              <w:top w:val="double" w:sz="4" w:space="0" w:color="auto"/>
              <w:left w:val="nil"/>
              <w:right w:val="nil"/>
            </w:tcBorders>
          </w:tcPr>
          <w:p w14:paraId="79D5653B"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(5)</w:t>
            </w:r>
          </w:p>
        </w:tc>
        <w:tc>
          <w:tcPr>
            <w:tcW w:w="1321" w:type="dxa"/>
            <w:tcBorders>
              <w:top w:val="double" w:sz="4" w:space="0" w:color="auto"/>
              <w:left w:val="nil"/>
              <w:right w:val="nil"/>
            </w:tcBorders>
          </w:tcPr>
          <w:p w14:paraId="0A998904"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(6)</w:t>
            </w:r>
          </w:p>
        </w:tc>
      </w:tr>
      <w:tr w:rsidR="00FE2D11" w:rsidRPr="00364F7A" w14:paraId="533CA741" w14:textId="77777777" w:rsidTr="00B605C7">
        <w:trPr>
          <w:jc w:val="center"/>
        </w:trPr>
        <w:tc>
          <w:tcPr>
            <w:tcW w:w="1958" w:type="dxa"/>
            <w:tcBorders>
              <w:left w:val="nil"/>
              <w:bottom w:val="single" w:sz="4" w:space="0" w:color="auto"/>
              <w:right w:val="nil"/>
            </w:tcBorders>
          </w:tcPr>
          <w:p w14:paraId="4A3E3D4F" w14:textId="77777777" w:rsidR="00FE2D11" w:rsidRPr="00364F7A" w:rsidRDefault="00FE2D11">
            <w:pPr>
              <w:widowControl w:val="0"/>
              <w:autoSpaceDE w:val="0"/>
              <w:autoSpaceDN w:val="0"/>
              <w:adjustRightInd w:val="0"/>
              <w:rPr>
                <w:rFonts w:ascii="Times New Roman" w:hAnsi="Times New Roman" w:cs="Times New Roman Bold"/>
                <w:sz w:val="21"/>
              </w:rPr>
            </w:pPr>
          </w:p>
        </w:tc>
        <w:tc>
          <w:tcPr>
            <w:tcW w:w="1436" w:type="dxa"/>
            <w:tcBorders>
              <w:left w:val="nil"/>
              <w:bottom w:val="single" w:sz="4" w:space="0" w:color="auto"/>
              <w:right w:val="nil"/>
            </w:tcBorders>
          </w:tcPr>
          <w:p w14:paraId="50C2CFCC"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Health care</w:t>
            </w:r>
          </w:p>
        </w:tc>
        <w:tc>
          <w:tcPr>
            <w:tcW w:w="1266" w:type="dxa"/>
            <w:tcBorders>
              <w:left w:val="nil"/>
              <w:bottom w:val="single" w:sz="4" w:space="0" w:color="auto"/>
              <w:right w:val="nil"/>
            </w:tcBorders>
          </w:tcPr>
          <w:p w14:paraId="5CAAA59E" w14:textId="77777777" w:rsidR="00FE2D11" w:rsidRPr="001477D9" w:rsidRDefault="00FE2D11" w:rsidP="00B605C7">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Direct health </w:t>
            </w:r>
          </w:p>
          <w:p w14:paraId="19A07671" w14:textId="77777777" w:rsidR="00FE2D11" w:rsidRPr="001477D9" w:rsidRDefault="00FE2D11" w:rsidP="00B605C7">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care costs </w:t>
            </w:r>
          </w:p>
        </w:tc>
        <w:tc>
          <w:tcPr>
            <w:tcW w:w="1267" w:type="dxa"/>
            <w:tcBorders>
              <w:left w:val="nil"/>
              <w:bottom w:val="single" w:sz="4" w:space="0" w:color="auto"/>
              <w:right w:val="nil"/>
            </w:tcBorders>
          </w:tcPr>
          <w:p w14:paraId="3BEC90F0"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Prescription </w:t>
            </w:r>
          </w:p>
          <w:p w14:paraId="7D811064"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drugs</w:t>
            </w:r>
          </w:p>
        </w:tc>
        <w:tc>
          <w:tcPr>
            <w:tcW w:w="1266" w:type="dxa"/>
            <w:tcBorders>
              <w:left w:val="nil"/>
              <w:bottom w:val="single" w:sz="4" w:space="0" w:color="auto"/>
              <w:right w:val="nil"/>
            </w:tcBorders>
          </w:tcPr>
          <w:p w14:paraId="5B5EB7EC"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Private </w:t>
            </w:r>
          </w:p>
          <w:p w14:paraId="5BC2D2A4"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 insurance</w:t>
            </w:r>
          </w:p>
        </w:tc>
        <w:tc>
          <w:tcPr>
            <w:tcW w:w="1266" w:type="dxa"/>
            <w:tcBorders>
              <w:left w:val="nil"/>
              <w:bottom w:val="single" w:sz="4" w:space="0" w:color="auto"/>
              <w:right w:val="nil"/>
            </w:tcBorders>
          </w:tcPr>
          <w:p w14:paraId="5C17CBB9"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Hospital &amp; residential facilities </w:t>
            </w:r>
          </w:p>
        </w:tc>
        <w:tc>
          <w:tcPr>
            <w:tcW w:w="1321" w:type="dxa"/>
            <w:tcBorders>
              <w:left w:val="nil"/>
              <w:bottom w:val="single" w:sz="4" w:space="0" w:color="auto"/>
              <w:right w:val="nil"/>
            </w:tcBorders>
          </w:tcPr>
          <w:p w14:paraId="17EF5280"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Physician care</w:t>
            </w:r>
          </w:p>
        </w:tc>
      </w:tr>
      <w:tr w:rsidR="00445945" w:rsidRPr="00364F7A" w14:paraId="095B4F64" w14:textId="77777777" w:rsidTr="00B605C7">
        <w:trPr>
          <w:jc w:val="center"/>
        </w:trPr>
        <w:tc>
          <w:tcPr>
            <w:tcW w:w="1958" w:type="dxa"/>
            <w:tcBorders>
              <w:top w:val="nil"/>
              <w:left w:val="nil"/>
              <w:bottom w:val="nil"/>
              <w:right w:val="nil"/>
            </w:tcBorders>
          </w:tcPr>
          <w:p w14:paraId="58E94FA3"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r w:rsidRPr="00364F7A">
              <w:rPr>
                <w:rFonts w:ascii="Times New Roman" w:hAnsi="Times New Roman" w:cs="Times New Roman Bold"/>
                <w:sz w:val="21"/>
              </w:rPr>
              <w:t>Top 10%</w:t>
            </w:r>
          </w:p>
        </w:tc>
        <w:tc>
          <w:tcPr>
            <w:tcW w:w="1436" w:type="dxa"/>
            <w:tcBorders>
              <w:top w:val="nil"/>
              <w:left w:val="nil"/>
              <w:bottom w:val="nil"/>
              <w:right w:val="nil"/>
            </w:tcBorders>
          </w:tcPr>
          <w:p w14:paraId="09A1170E"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1,235.221***</w:t>
            </w:r>
          </w:p>
        </w:tc>
        <w:tc>
          <w:tcPr>
            <w:tcW w:w="1266" w:type="dxa"/>
            <w:tcBorders>
              <w:top w:val="nil"/>
              <w:left w:val="nil"/>
              <w:bottom w:val="nil"/>
              <w:right w:val="nil"/>
            </w:tcBorders>
          </w:tcPr>
          <w:p w14:paraId="03FE2AB6"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714.807***</w:t>
            </w:r>
          </w:p>
        </w:tc>
        <w:tc>
          <w:tcPr>
            <w:tcW w:w="1267" w:type="dxa"/>
            <w:tcBorders>
              <w:top w:val="nil"/>
              <w:left w:val="nil"/>
              <w:bottom w:val="nil"/>
              <w:right w:val="nil"/>
            </w:tcBorders>
          </w:tcPr>
          <w:p w14:paraId="48B94B8D"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-5.315</w:t>
            </w:r>
          </w:p>
        </w:tc>
        <w:tc>
          <w:tcPr>
            <w:tcW w:w="1266" w:type="dxa"/>
            <w:tcBorders>
              <w:top w:val="nil"/>
              <w:left w:val="nil"/>
              <w:bottom w:val="nil"/>
              <w:right w:val="nil"/>
            </w:tcBorders>
          </w:tcPr>
          <w:p w14:paraId="07944C59"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460.646***</w:t>
            </w:r>
          </w:p>
        </w:tc>
        <w:tc>
          <w:tcPr>
            <w:tcW w:w="1266" w:type="dxa"/>
            <w:tcBorders>
              <w:top w:val="nil"/>
              <w:left w:val="nil"/>
              <w:bottom w:val="nil"/>
              <w:right w:val="nil"/>
            </w:tcBorders>
          </w:tcPr>
          <w:p w14:paraId="5F41A9ED"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15.717*</w:t>
            </w:r>
          </w:p>
        </w:tc>
        <w:tc>
          <w:tcPr>
            <w:tcW w:w="1321" w:type="dxa"/>
            <w:tcBorders>
              <w:top w:val="nil"/>
              <w:left w:val="nil"/>
              <w:bottom w:val="nil"/>
              <w:right w:val="nil"/>
            </w:tcBorders>
          </w:tcPr>
          <w:p w14:paraId="7520E0C1"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30.498***</w:t>
            </w:r>
          </w:p>
        </w:tc>
      </w:tr>
      <w:tr w:rsidR="00445945" w:rsidRPr="00364F7A" w14:paraId="16E3E914" w14:textId="77777777" w:rsidTr="00B605C7">
        <w:trPr>
          <w:jc w:val="center"/>
        </w:trPr>
        <w:tc>
          <w:tcPr>
            <w:tcW w:w="1958" w:type="dxa"/>
            <w:tcBorders>
              <w:top w:val="nil"/>
              <w:left w:val="nil"/>
              <w:bottom w:val="nil"/>
              <w:right w:val="nil"/>
            </w:tcBorders>
          </w:tcPr>
          <w:p w14:paraId="0F016BCC"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p>
        </w:tc>
        <w:tc>
          <w:tcPr>
            <w:tcW w:w="1436" w:type="dxa"/>
            <w:tcBorders>
              <w:top w:val="nil"/>
              <w:left w:val="nil"/>
              <w:bottom w:val="nil"/>
              <w:right w:val="nil"/>
            </w:tcBorders>
          </w:tcPr>
          <w:p w14:paraId="44913AFD"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(88.694)</w:t>
            </w:r>
          </w:p>
        </w:tc>
        <w:tc>
          <w:tcPr>
            <w:tcW w:w="1266" w:type="dxa"/>
            <w:tcBorders>
              <w:top w:val="nil"/>
              <w:left w:val="nil"/>
              <w:bottom w:val="nil"/>
              <w:right w:val="nil"/>
            </w:tcBorders>
          </w:tcPr>
          <w:p w14:paraId="1290D980"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(65.837)</w:t>
            </w:r>
          </w:p>
        </w:tc>
        <w:tc>
          <w:tcPr>
            <w:tcW w:w="1267" w:type="dxa"/>
            <w:tcBorders>
              <w:top w:val="nil"/>
              <w:left w:val="nil"/>
              <w:bottom w:val="nil"/>
              <w:right w:val="nil"/>
            </w:tcBorders>
          </w:tcPr>
          <w:p w14:paraId="59F4B1F4"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(12.976)</w:t>
            </w:r>
          </w:p>
        </w:tc>
        <w:tc>
          <w:tcPr>
            <w:tcW w:w="1266" w:type="dxa"/>
            <w:tcBorders>
              <w:top w:val="nil"/>
              <w:left w:val="nil"/>
              <w:bottom w:val="nil"/>
              <w:right w:val="nil"/>
            </w:tcBorders>
          </w:tcPr>
          <w:p w14:paraId="1B5BCF29"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(34.100)</w:t>
            </w:r>
          </w:p>
        </w:tc>
        <w:tc>
          <w:tcPr>
            <w:tcW w:w="1266" w:type="dxa"/>
            <w:tcBorders>
              <w:top w:val="nil"/>
              <w:left w:val="nil"/>
              <w:bottom w:val="nil"/>
              <w:right w:val="nil"/>
            </w:tcBorders>
          </w:tcPr>
          <w:p w14:paraId="2C27127D"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(8.920)</w:t>
            </w:r>
          </w:p>
        </w:tc>
        <w:tc>
          <w:tcPr>
            <w:tcW w:w="1321" w:type="dxa"/>
            <w:tcBorders>
              <w:top w:val="nil"/>
              <w:left w:val="nil"/>
              <w:bottom w:val="nil"/>
              <w:right w:val="nil"/>
            </w:tcBorders>
          </w:tcPr>
          <w:p w14:paraId="71FD20E5"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(7.311)</w:t>
            </w:r>
          </w:p>
        </w:tc>
      </w:tr>
      <w:tr w:rsidR="00445945" w:rsidRPr="00364F7A" w14:paraId="2C2E9347" w14:textId="77777777" w:rsidTr="00B605C7">
        <w:trPr>
          <w:trHeight w:val="278"/>
          <w:jc w:val="center"/>
        </w:trPr>
        <w:tc>
          <w:tcPr>
            <w:tcW w:w="1958" w:type="dxa"/>
            <w:tcBorders>
              <w:top w:val="nil"/>
              <w:left w:val="nil"/>
              <w:bottom w:val="nil"/>
              <w:right w:val="nil"/>
            </w:tcBorders>
          </w:tcPr>
          <w:p w14:paraId="40716FB8"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r w:rsidRPr="00364F7A">
              <w:rPr>
                <w:rFonts w:ascii="Times New Roman" w:hAnsi="Times New Roman" w:cs="Times New Roman Bold"/>
                <w:sz w:val="21"/>
              </w:rPr>
              <w:t>51-90pctile</w:t>
            </w:r>
          </w:p>
        </w:tc>
        <w:tc>
          <w:tcPr>
            <w:tcW w:w="1436" w:type="dxa"/>
            <w:tcBorders>
              <w:top w:val="nil"/>
              <w:left w:val="nil"/>
              <w:bottom w:val="nil"/>
              <w:right w:val="nil"/>
            </w:tcBorders>
          </w:tcPr>
          <w:p w14:paraId="5AD7BC4F"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776.648***</w:t>
            </w:r>
          </w:p>
        </w:tc>
        <w:tc>
          <w:tcPr>
            <w:tcW w:w="1266" w:type="dxa"/>
            <w:tcBorders>
              <w:top w:val="nil"/>
              <w:left w:val="nil"/>
              <w:bottom w:val="nil"/>
              <w:right w:val="nil"/>
            </w:tcBorders>
          </w:tcPr>
          <w:p w14:paraId="21601411"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421.843***</w:t>
            </w:r>
          </w:p>
        </w:tc>
        <w:tc>
          <w:tcPr>
            <w:tcW w:w="1267" w:type="dxa"/>
            <w:tcBorders>
              <w:top w:val="nil"/>
              <w:left w:val="nil"/>
              <w:bottom w:val="nil"/>
              <w:right w:val="nil"/>
            </w:tcBorders>
          </w:tcPr>
          <w:p w14:paraId="7DEEA331"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10.993*</w:t>
            </w:r>
          </w:p>
        </w:tc>
        <w:tc>
          <w:tcPr>
            <w:tcW w:w="1266" w:type="dxa"/>
            <w:tcBorders>
              <w:top w:val="nil"/>
              <w:left w:val="nil"/>
              <w:bottom w:val="nil"/>
              <w:right w:val="nil"/>
            </w:tcBorders>
          </w:tcPr>
          <w:p w14:paraId="46F798E5"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297.321***</w:t>
            </w:r>
          </w:p>
        </w:tc>
        <w:tc>
          <w:tcPr>
            <w:tcW w:w="1266" w:type="dxa"/>
            <w:tcBorders>
              <w:top w:val="nil"/>
              <w:left w:val="nil"/>
              <w:bottom w:val="nil"/>
              <w:right w:val="nil"/>
            </w:tcBorders>
          </w:tcPr>
          <w:p w14:paraId="23B15A0B"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17.298***</w:t>
            </w:r>
          </w:p>
        </w:tc>
        <w:tc>
          <w:tcPr>
            <w:tcW w:w="1321" w:type="dxa"/>
            <w:tcBorders>
              <w:top w:val="nil"/>
              <w:left w:val="nil"/>
              <w:bottom w:val="nil"/>
              <w:right w:val="nil"/>
            </w:tcBorders>
          </w:tcPr>
          <w:p w14:paraId="65D80B18"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11.301***</w:t>
            </w:r>
          </w:p>
        </w:tc>
      </w:tr>
      <w:tr w:rsidR="00445945" w:rsidRPr="00364F7A" w14:paraId="0613C862" w14:textId="77777777" w:rsidTr="00B605C7">
        <w:trPr>
          <w:jc w:val="center"/>
        </w:trPr>
        <w:tc>
          <w:tcPr>
            <w:tcW w:w="1958" w:type="dxa"/>
            <w:tcBorders>
              <w:top w:val="nil"/>
              <w:left w:val="nil"/>
              <w:bottom w:val="nil"/>
              <w:right w:val="nil"/>
            </w:tcBorders>
          </w:tcPr>
          <w:p w14:paraId="11D4D26D"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p>
        </w:tc>
        <w:tc>
          <w:tcPr>
            <w:tcW w:w="1436" w:type="dxa"/>
            <w:tcBorders>
              <w:top w:val="nil"/>
              <w:left w:val="nil"/>
              <w:bottom w:val="nil"/>
              <w:right w:val="nil"/>
            </w:tcBorders>
          </w:tcPr>
          <w:p w14:paraId="2C996BF3"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(35.026)</w:t>
            </w:r>
          </w:p>
        </w:tc>
        <w:tc>
          <w:tcPr>
            <w:tcW w:w="1266" w:type="dxa"/>
            <w:tcBorders>
              <w:top w:val="nil"/>
              <w:left w:val="nil"/>
              <w:bottom w:val="nil"/>
              <w:right w:val="nil"/>
            </w:tcBorders>
          </w:tcPr>
          <w:p w14:paraId="14CF26A4"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(26.576)</w:t>
            </w:r>
          </w:p>
        </w:tc>
        <w:tc>
          <w:tcPr>
            <w:tcW w:w="1267" w:type="dxa"/>
            <w:tcBorders>
              <w:top w:val="nil"/>
              <w:left w:val="nil"/>
              <w:bottom w:val="nil"/>
              <w:right w:val="nil"/>
            </w:tcBorders>
          </w:tcPr>
          <w:p w14:paraId="6A0A217D"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(6.679)</w:t>
            </w:r>
          </w:p>
        </w:tc>
        <w:tc>
          <w:tcPr>
            <w:tcW w:w="1266" w:type="dxa"/>
            <w:tcBorders>
              <w:top w:val="nil"/>
              <w:left w:val="nil"/>
              <w:bottom w:val="nil"/>
              <w:right w:val="nil"/>
            </w:tcBorders>
          </w:tcPr>
          <w:p w14:paraId="21B3B64B"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(13.302)</w:t>
            </w:r>
          </w:p>
        </w:tc>
        <w:tc>
          <w:tcPr>
            <w:tcW w:w="1266" w:type="dxa"/>
            <w:tcBorders>
              <w:top w:val="nil"/>
              <w:left w:val="nil"/>
              <w:bottom w:val="nil"/>
              <w:right w:val="nil"/>
            </w:tcBorders>
          </w:tcPr>
          <w:p w14:paraId="066514B8"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(5.651)</w:t>
            </w:r>
          </w:p>
        </w:tc>
        <w:tc>
          <w:tcPr>
            <w:tcW w:w="1321" w:type="dxa"/>
            <w:tcBorders>
              <w:top w:val="nil"/>
              <w:left w:val="nil"/>
              <w:bottom w:val="nil"/>
              <w:right w:val="nil"/>
            </w:tcBorders>
          </w:tcPr>
          <w:p w14:paraId="6ED89688"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(3.285)</w:t>
            </w:r>
          </w:p>
        </w:tc>
      </w:tr>
      <w:tr w:rsidR="00445945" w:rsidRPr="00364F7A" w14:paraId="5F49D705" w14:textId="77777777" w:rsidTr="00B605C7">
        <w:trPr>
          <w:jc w:val="center"/>
        </w:trPr>
        <w:tc>
          <w:tcPr>
            <w:tcW w:w="1958" w:type="dxa"/>
            <w:tcBorders>
              <w:top w:val="nil"/>
              <w:left w:val="nil"/>
              <w:bottom w:val="nil"/>
              <w:right w:val="nil"/>
            </w:tcBorders>
          </w:tcPr>
          <w:p w14:paraId="3FFB1D83"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r w:rsidRPr="00364F7A">
              <w:rPr>
                <w:rFonts w:ascii="Times New Roman" w:hAnsi="Times New Roman" w:cs="Times New Roman Bold"/>
                <w:sz w:val="21"/>
              </w:rPr>
              <w:t xml:space="preserve">21-50 </w:t>
            </w:r>
            <w:proofErr w:type="spellStart"/>
            <w:r w:rsidRPr="00364F7A">
              <w:rPr>
                <w:rFonts w:ascii="Times New Roman" w:hAnsi="Times New Roman" w:cs="Times New Roman Bold"/>
                <w:sz w:val="21"/>
              </w:rPr>
              <w:t>pctile</w:t>
            </w:r>
            <w:proofErr w:type="spellEnd"/>
          </w:p>
        </w:tc>
        <w:tc>
          <w:tcPr>
            <w:tcW w:w="1436" w:type="dxa"/>
            <w:tcBorders>
              <w:top w:val="nil"/>
              <w:left w:val="nil"/>
              <w:bottom w:val="nil"/>
              <w:right w:val="nil"/>
            </w:tcBorders>
          </w:tcPr>
          <w:p w14:paraId="1FA7F020" w14:textId="77777777" w:rsidR="00445945" w:rsidRPr="00815C5C" w:rsidRDefault="00445945" w:rsidP="00B605C7">
            <w:pPr>
              <w:widowControl w:val="0"/>
              <w:autoSpaceDE w:val="0"/>
              <w:autoSpaceDN w:val="0"/>
              <w:adjustRightInd w:val="0"/>
              <w:jc w:val="center"/>
              <w:rPr>
                <w:rFonts w:ascii="Times New Roman" w:hAnsi="Times New Roman" w:cs="Times New Roman Bold"/>
                <w:sz w:val="21"/>
                <w:szCs w:val="21"/>
              </w:rPr>
            </w:pPr>
            <w:r w:rsidRPr="0089607F">
              <w:rPr>
                <w:rFonts w:ascii="Times New Roman" w:eastAsia="Times New Roman" w:hAnsi="Times New Roman" w:cs="Times New Roman"/>
                <w:sz w:val="21"/>
                <w:szCs w:val="21"/>
              </w:rPr>
              <w:t>429.427***</w:t>
            </w:r>
          </w:p>
        </w:tc>
        <w:tc>
          <w:tcPr>
            <w:tcW w:w="1266" w:type="dxa"/>
            <w:tcBorders>
              <w:top w:val="nil"/>
              <w:left w:val="nil"/>
              <w:bottom w:val="nil"/>
              <w:right w:val="nil"/>
            </w:tcBorders>
          </w:tcPr>
          <w:p w14:paraId="08B3C4AF"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244.976***</w:t>
            </w:r>
          </w:p>
        </w:tc>
        <w:tc>
          <w:tcPr>
            <w:tcW w:w="1267" w:type="dxa"/>
            <w:tcBorders>
              <w:top w:val="nil"/>
              <w:left w:val="nil"/>
              <w:bottom w:val="nil"/>
              <w:right w:val="nil"/>
            </w:tcBorders>
          </w:tcPr>
          <w:p w14:paraId="738D24DE"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55.492***</w:t>
            </w:r>
          </w:p>
        </w:tc>
        <w:tc>
          <w:tcPr>
            <w:tcW w:w="1266" w:type="dxa"/>
            <w:tcBorders>
              <w:top w:val="nil"/>
              <w:left w:val="nil"/>
              <w:bottom w:val="nil"/>
              <w:right w:val="nil"/>
            </w:tcBorders>
          </w:tcPr>
          <w:p w14:paraId="08CC5ACD"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128.440***</w:t>
            </w:r>
          </w:p>
        </w:tc>
        <w:tc>
          <w:tcPr>
            <w:tcW w:w="1266" w:type="dxa"/>
            <w:tcBorders>
              <w:top w:val="nil"/>
              <w:left w:val="nil"/>
              <w:bottom w:val="nil"/>
              <w:right w:val="nil"/>
            </w:tcBorders>
          </w:tcPr>
          <w:p w14:paraId="22C43195"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13.572***</w:t>
            </w:r>
          </w:p>
        </w:tc>
        <w:tc>
          <w:tcPr>
            <w:tcW w:w="1321" w:type="dxa"/>
            <w:tcBorders>
              <w:top w:val="nil"/>
              <w:left w:val="nil"/>
              <w:bottom w:val="nil"/>
              <w:right w:val="nil"/>
            </w:tcBorders>
          </w:tcPr>
          <w:p w14:paraId="5BAEE310"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2.700</w:t>
            </w:r>
          </w:p>
        </w:tc>
      </w:tr>
      <w:tr w:rsidR="00445945" w:rsidRPr="00364F7A" w14:paraId="635933FC" w14:textId="77777777" w:rsidTr="00B605C7">
        <w:trPr>
          <w:jc w:val="center"/>
        </w:trPr>
        <w:tc>
          <w:tcPr>
            <w:tcW w:w="1958" w:type="dxa"/>
            <w:tcBorders>
              <w:top w:val="nil"/>
              <w:left w:val="nil"/>
              <w:bottom w:val="nil"/>
              <w:right w:val="nil"/>
            </w:tcBorders>
          </w:tcPr>
          <w:p w14:paraId="2ECABE79"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p>
        </w:tc>
        <w:tc>
          <w:tcPr>
            <w:tcW w:w="1436" w:type="dxa"/>
            <w:tcBorders>
              <w:top w:val="nil"/>
              <w:left w:val="nil"/>
              <w:bottom w:val="nil"/>
              <w:right w:val="nil"/>
            </w:tcBorders>
          </w:tcPr>
          <w:p w14:paraId="32F9F1C3" w14:textId="77777777" w:rsidR="00445945" w:rsidRPr="00815C5C" w:rsidRDefault="00445945" w:rsidP="00B605C7">
            <w:pPr>
              <w:widowControl w:val="0"/>
              <w:autoSpaceDE w:val="0"/>
              <w:autoSpaceDN w:val="0"/>
              <w:adjustRightInd w:val="0"/>
              <w:jc w:val="center"/>
              <w:rPr>
                <w:rFonts w:ascii="Times New Roman" w:hAnsi="Times New Roman" w:cs="Times New Roman Bold"/>
                <w:sz w:val="21"/>
                <w:szCs w:val="21"/>
              </w:rPr>
            </w:pPr>
            <w:r w:rsidRPr="0089607F">
              <w:rPr>
                <w:rFonts w:ascii="Times New Roman" w:eastAsia="Times New Roman" w:hAnsi="Times New Roman" w:cs="Times New Roman"/>
                <w:sz w:val="21"/>
                <w:szCs w:val="21"/>
              </w:rPr>
              <w:t>(17.011)</w:t>
            </w:r>
          </w:p>
        </w:tc>
        <w:tc>
          <w:tcPr>
            <w:tcW w:w="1266" w:type="dxa"/>
            <w:tcBorders>
              <w:top w:val="nil"/>
              <w:left w:val="nil"/>
              <w:bottom w:val="nil"/>
              <w:right w:val="nil"/>
            </w:tcBorders>
          </w:tcPr>
          <w:p w14:paraId="39BC9C75"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(14.414)</w:t>
            </w:r>
          </w:p>
        </w:tc>
        <w:tc>
          <w:tcPr>
            <w:tcW w:w="1267" w:type="dxa"/>
            <w:tcBorders>
              <w:top w:val="nil"/>
              <w:left w:val="nil"/>
              <w:bottom w:val="nil"/>
              <w:right w:val="nil"/>
            </w:tcBorders>
          </w:tcPr>
          <w:p w14:paraId="13CB0D72"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(4.958)</w:t>
            </w:r>
          </w:p>
        </w:tc>
        <w:tc>
          <w:tcPr>
            <w:tcW w:w="1266" w:type="dxa"/>
            <w:tcBorders>
              <w:top w:val="nil"/>
              <w:left w:val="nil"/>
              <w:bottom w:val="nil"/>
              <w:right w:val="nil"/>
            </w:tcBorders>
          </w:tcPr>
          <w:p w14:paraId="6FCF9931"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(5.710)</w:t>
            </w:r>
          </w:p>
        </w:tc>
        <w:tc>
          <w:tcPr>
            <w:tcW w:w="1266" w:type="dxa"/>
            <w:tcBorders>
              <w:top w:val="nil"/>
              <w:left w:val="nil"/>
              <w:bottom w:val="nil"/>
              <w:right w:val="nil"/>
            </w:tcBorders>
          </w:tcPr>
          <w:p w14:paraId="0A34D149"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(5.174)</w:t>
            </w:r>
          </w:p>
        </w:tc>
        <w:tc>
          <w:tcPr>
            <w:tcW w:w="1321" w:type="dxa"/>
            <w:tcBorders>
              <w:top w:val="nil"/>
              <w:left w:val="nil"/>
              <w:bottom w:val="nil"/>
              <w:right w:val="nil"/>
            </w:tcBorders>
          </w:tcPr>
          <w:p w14:paraId="274D80F6" w14:textId="77777777" w:rsidR="00445945" w:rsidRPr="00364F7A" w:rsidRDefault="00445945" w:rsidP="00B605C7">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(1.817)</w:t>
            </w:r>
          </w:p>
        </w:tc>
      </w:tr>
      <w:tr w:rsidR="00445945" w:rsidRPr="00364F7A" w14:paraId="33A08B28" w14:textId="77777777" w:rsidTr="00B605C7">
        <w:trPr>
          <w:jc w:val="center"/>
        </w:trPr>
        <w:tc>
          <w:tcPr>
            <w:tcW w:w="1958" w:type="dxa"/>
            <w:tcBorders>
              <w:top w:val="nil"/>
              <w:left w:val="nil"/>
              <w:bottom w:val="nil"/>
              <w:right w:val="nil"/>
            </w:tcBorders>
          </w:tcPr>
          <w:p w14:paraId="702C237C"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r w:rsidRPr="00364F7A">
              <w:rPr>
                <w:rFonts w:ascii="Times New Roman" w:hAnsi="Times New Roman" w:cs="Times New Roman Bold"/>
                <w:sz w:val="21"/>
              </w:rPr>
              <w:t>Total inco</w:t>
            </w:r>
            <w:r>
              <w:rPr>
                <w:rFonts w:ascii="Times New Roman" w:hAnsi="Times New Roman" w:cs="Times New Roman Bold"/>
                <w:sz w:val="21"/>
              </w:rPr>
              <w:t>me ($K</w:t>
            </w:r>
            <w:r w:rsidRPr="00364F7A">
              <w:rPr>
                <w:rFonts w:ascii="Times New Roman" w:hAnsi="Times New Roman" w:cs="Times New Roman Bold"/>
                <w:sz w:val="21"/>
              </w:rPr>
              <w:t>)</w:t>
            </w:r>
          </w:p>
        </w:tc>
        <w:tc>
          <w:tcPr>
            <w:tcW w:w="1436" w:type="dxa"/>
            <w:tcBorders>
              <w:top w:val="nil"/>
              <w:left w:val="nil"/>
              <w:bottom w:val="nil"/>
              <w:right w:val="nil"/>
            </w:tcBorders>
          </w:tcPr>
          <w:p w14:paraId="685A3D30"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3.089***</w:t>
            </w:r>
          </w:p>
        </w:tc>
        <w:tc>
          <w:tcPr>
            <w:tcW w:w="1266" w:type="dxa"/>
            <w:tcBorders>
              <w:top w:val="nil"/>
              <w:left w:val="nil"/>
              <w:bottom w:val="nil"/>
              <w:right w:val="nil"/>
            </w:tcBorders>
          </w:tcPr>
          <w:p w14:paraId="68EA3F10"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1.969***</w:t>
            </w:r>
          </w:p>
        </w:tc>
        <w:tc>
          <w:tcPr>
            <w:tcW w:w="1267" w:type="dxa"/>
            <w:tcBorders>
              <w:top w:val="nil"/>
              <w:left w:val="nil"/>
              <w:bottom w:val="nil"/>
              <w:right w:val="nil"/>
            </w:tcBorders>
          </w:tcPr>
          <w:p w14:paraId="7D8246D7"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0.027</w:t>
            </w:r>
          </w:p>
        </w:tc>
        <w:tc>
          <w:tcPr>
            <w:tcW w:w="1266" w:type="dxa"/>
            <w:tcBorders>
              <w:top w:val="nil"/>
              <w:left w:val="nil"/>
              <w:bottom w:val="nil"/>
              <w:right w:val="nil"/>
            </w:tcBorders>
          </w:tcPr>
          <w:p w14:paraId="09E493E1"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1.094***</w:t>
            </w:r>
          </w:p>
        </w:tc>
        <w:tc>
          <w:tcPr>
            <w:tcW w:w="1266" w:type="dxa"/>
            <w:tcBorders>
              <w:top w:val="nil"/>
              <w:left w:val="nil"/>
              <w:bottom w:val="nil"/>
              <w:right w:val="nil"/>
            </w:tcBorders>
          </w:tcPr>
          <w:p w14:paraId="2109D643"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-0.001</w:t>
            </w:r>
          </w:p>
        </w:tc>
        <w:tc>
          <w:tcPr>
            <w:tcW w:w="1321" w:type="dxa"/>
            <w:tcBorders>
              <w:top w:val="nil"/>
              <w:left w:val="nil"/>
              <w:bottom w:val="nil"/>
              <w:right w:val="nil"/>
            </w:tcBorders>
          </w:tcPr>
          <w:p w14:paraId="116D92AC"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0.037</w:t>
            </w:r>
          </w:p>
        </w:tc>
      </w:tr>
      <w:tr w:rsidR="00445945" w:rsidRPr="00364F7A" w14:paraId="22B17EBB" w14:textId="77777777" w:rsidTr="00B605C7">
        <w:trPr>
          <w:jc w:val="center"/>
        </w:trPr>
        <w:tc>
          <w:tcPr>
            <w:tcW w:w="1958" w:type="dxa"/>
            <w:tcBorders>
              <w:top w:val="nil"/>
              <w:left w:val="nil"/>
              <w:bottom w:val="nil"/>
              <w:right w:val="nil"/>
            </w:tcBorders>
          </w:tcPr>
          <w:p w14:paraId="310739A0"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p>
        </w:tc>
        <w:tc>
          <w:tcPr>
            <w:tcW w:w="1436" w:type="dxa"/>
            <w:tcBorders>
              <w:top w:val="nil"/>
              <w:left w:val="nil"/>
              <w:bottom w:val="nil"/>
              <w:right w:val="nil"/>
            </w:tcBorders>
          </w:tcPr>
          <w:p w14:paraId="7D3A7C86"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(0.523)</w:t>
            </w:r>
          </w:p>
        </w:tc>
        <w:tc>
          <w:tcPr>
            <w:tcW w:w="1266" w:type="dxa"/>
            <w:tcBorders>
              <w:top w:val="nil"/>
              <w:left w:val="nil"/>
              <w:bottom w:val="nil"/>
              <w:right w:val="nil"/>
            </w:tcBorders>
          </w:tcPr>
          <w:p w14:paraId="47C812DF"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(0.366)</w:t>
            </w:r>
          </w:p>
        </w:tc>
        <w:tc>
          <w:tcPr>
            <w:tcW w:w="1267" w:type="dxa"/>
            <w:tcBorders>
              <w:top w:val="nil"/>
              <w:left w:val="nil"/>
              <w:bottom w:val="nil"/>
              <w:right w:val="nil"/>
            </w:tcBorders>
          </w:tcPr>
          <w:p w14:paraId="6188C7F5"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(0.070)</w:t>
            </w:r>
          </w:p>
        </w:tc>
        <w:tc>
          <w:tcPr>
            <w:tcW w:w="1266" w:type="dxa"/>
            <w:tcBorders>
              <w:top w:val="nil"/>
              <w:left w:val="nil"/>
              <w:bottom w:val="nil"/>
              <w:right w:val="nil"/>
            </w:tcBorders>
          </w:tcPr>
          <w:p w14:paraId="576BDEC4"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(0.208)</w:t>
            </w:r>
          </w:p>
        </w:tc>
        <w:tc>
          <w:tcPr>
            <w:tcW w:w="1266" w:type="dxa"/>
            <w:tcBorders>
              <w:top w:val="nil"/>
              <w:left w:val="nil"/>
              <w:bottom w:val="nil"/>
              <w:right w:val="nil"/>
            </w:tcBorders>
          </w:tcPr>
          <w:p w14:paraId="604DDA18"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(0.058)</w:t>
            </w:r>
          </w:p>
        </w:tc>
        <w:tc>
          <w:tcPr>
            <w:tcW w:w="1321" w:type="dxa"/>
            <w:tcBorders>
              <w:top w:val="nil"/>
              <w:left w:val="nil"/>
              <w:bottom w:val="nil"/>
              <w:right w:val="nil"/>
            </w:tcBorders>
          </w:tcPr>
          <w:p w14:paraId="25B4C335"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(0.031)</w:t>
            </w:r>
          </w:p>
        </w:tc>
      </w:tr>
      <w:tr w:rsidR="00445945" w:rsidRPr="00364F7A" w14:paraId="7AE29524" w14:textId="77777777" w:rsidTr="00B605C7">
        <w:trPr>
          <w:jc w:val="center"/>
        </w:trPr>
        <w:tc>
          <w:tcPr>
            <w:tcW w:w="1958" w:type="dxa"/>
            <w:tcBorders>
              <w:top w:val="nil"/>
              <w:left w:val="nil"/>
              <w:bottom w:val="nil"/>
              <w:right w:val="nil"/>
            </w:tcBorders>
          </w:tcPr>
          <w:p w14:paraId="0E578170"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r>
              <w:rPr>
                <w:rFonts w:ascii="Times New Roman" w:hAnsi="Times New Roman" w:cs="Times New Roman Bold"/>
                <w:sz w:val="21"/>
              </w:rPr>
              <w:t>N</w:t>
            </w:r>
            <w:r w:rsidRPr="00364F7A">
              <w:rPr>
                <w:rFonts w:ascii="Times New Roman" w:hAnsi="Times New Roman" w:cs="Times New Roman Bold"/>
                <w:sz w:val="21"/>
              </w:rPr>
              <w:t>umber of 65+</w:t>
            </w:r>
          </w:p>
        </w:tc>
        <w:tc>
          <w:tcPr>
            <w:tcW w:w="1436" w:type="dxa"/>
            <w:tcBorders>
              <w:top w:val="nil"/>
              <w:left w:val="nil"/>
              <w:bottom w:val="nil"/>
              <w:right w:val="nil"/>
            </w:tcBorders>
          </w:tcPr>
          <w:p w14:paraId="4E0D4D53"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424.422***</w:t>
            </w:r>
          </w:p>
        </w:tc>
        <w:tc>
          <w:tcPr>
            <w:tcW w:w="1266" w:type="dxa"/>
            <w:tcBorders>
              <w:top w:val="nil"/>
              <w:left w:val="nil"/>
              <w:bottom w:val="nil"/>
              <w:right w:val="nil"/>
            </w:tcBorders>
          </w:tcPr>
          <w:p w14:paraId="6F5C465C"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379.930***</w:t>
            </w:r>
          </w:p>
        </w:tc>
        <w:tc>
          <w:tcPr>
            <w:tcW w:w="1267" w:type="dxa"/>
            <w:tcBorders>
              <w:top w:val="nil"/>
              <w:left w:val="nil"/>
              <w:bottom w:val="nil"/>
              <w:right w:val="nil"/>
            </w:tcBorders>
          </w:tcPr>
          <w:p w14:paraId="42043620"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153.684***</w:t>
            </w:r>
          </w:p>
        </w:tc>
        <w:tc>
          <w:tcPr>
            <w:tcW w:w="1266" w:type="dxa"/>
            <w:tcBorders>
              <w:top w:val="nil"/>
              <w:left w:val="nil"/>
              <w:bottom w:val="nil"/>
              <w:right w:val="nil"/>
            </w:tcBorders>
          </w:tcPr>
          <w:p w14:paraId="369D4976"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2.677</w:t>
            </w:r>
          </w:p>
        </w:tc>
        <w:tc>
          <w:tcPr>
            <w:tcW w:w="1266" w:type="dxa"/>
            <w:tcBorders>
              <w:top w:val="nil"/>
              <w:left w:val="nil"/>
              <w:bottom w:val="nil"/>
              <w:right w:val="nil"/>
            </w:tcBorders>
          </w:tcPr>
          <w:p w14:paraId="4B17F38E"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20.450***</w:t>
            </w:r>
          </w:p>
        </w:tc>
        <w:tc>
          <w:tcPr>
            <w:tcW w:w="1321" w:type="dxa"/>
            <w:tcBorders>
              <w:top w:val="nil"/>
              <w:left w:val="nil"/>
              <w:bottom w:val="nil"/>
              <w:right w:val="nil"/>
            </w:tcBorders>
          </w:tcPr>
          <w:p w14:paraId="70E7778F"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5.078**</w:t>
            </w:r>
          </w:p>
        </w:tc>
      </w:tr>
      <w:tr w:rsidR="00445945" w:rsidRPr="00364F7A" w14:paraId="0F130209" w14:textId="77777777" w:rsidTr="00B605C7">
        <w:trPr>
          <w:jc w:val="center"/>
        </w:trPr>
        <w:tc>
          <w:tcPr>
            <w:tcW w:w="1958" w:type="dxa"/>
            <w:tcBorders>
              <w:top w:val="nil"/>
              <w:left w:val="nil"/>
              <w:bottom w:val="nil"/>
              <w:right w:val="nil"/>
            </w:tcBorders>
          </w:tcPr>
          <w:p w14:paraId="6180915E"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p>
        </w:tc>
        <w:tc>
          <w:tcPr>
            <w:tcW w:w="1436" w:type="dxa"/>
            <w:tcBorders>
              <w:top w:val="nil"/>
              <w:left w:val="nil"/>
              <w:bottom w:val="nil"/>
              <w:right w:val="nil"/>
            </w:tcBorders>
          </w:tcPr>
          <w:p w14:paraId="1C55B6C4"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(12.852)</w:t>
            </w:r>
          </w:p>
        </w:tc>
        <w:tc>
          <w:tcPr>
            <w:tcW w:w="1266" w:type="dxa"/>
            <w:tcBorders>
              <w:top w:val="nil"/>
              <w:left w:val="nil"/>
              <w:bottom w:val="nil"/>
              <w:right w:val="nil"/>
            </w:tcBorders>
          </w:tcPr>
          <w:p w14:paraId="1F513B19"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(11.486)</w:t>
            </w:r>
          </w:p>
        </w:tc>
        <w:tc>
          <w:tcPr>
            <w:tcW w:w="1267" w:type="dxa"/>
            <w:tcBorders>
              <w:top w:val="nil"/>
              <w:left w:val="nil"/>
              <w:bottom w:val="nil"/>
              <w:right w:val="nil"/>
            </w:tcBorders>
          </w:tcPr>
          <w:p w14:paraId="0A54E2E9"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(3.859)</w:t>
            </w:r>
          </w:p>
        </w:tc>
        <w:tc>
          <w:tcPr>
            <w:tcW w:w="1266" w:type="dxa"/>
            <w:tcBorders>
              <w:top w:val="nil"/>
              <w:left w:val="nil"/>
              <w:bottom w:val="nil"/>
              <w:right w:val="nil"/>
            </w:tcBorders>
          </w:tcPr>
          <w:p w14:paraId="7591BA4A"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(4.307)</w:t>
            </w:r>
          </w:p>
        </w:tc>
        <w:tc>
          <w:tcPr>
            <w:tcW w:w="1266" w:type="dxa"/>
            <w:tcBorders>
              <w:top w:val="nil"/>
              <w:left w:val="nil"/>
              <w:bottom w:val="nil"/>
              <w:right w:val="nil"/>
            </w:tcBorders>
          </w:tcPr>
          <w:p w14:paraId="72A4AB2E"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(2.965)</w:t>
            </w:r>
          </w:p>
        </w:tc>
        <w:tc>
          <w:tcPr>
            <w:tcW w:w="1321" w:type="dxa"/>
            <w:tcBorders>
              <w:top w:val="nil"/>
              <w:left w:val="nil"/>
              <w:bottom w:val="nil"/>
              <w:right w:val="nil"/>
            </w:tcBorders>
          </w:tcPr>
          <w:p w14:paraId="3247FF1E"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(2.221)</w:t>
            </w:r>
          </w:p>
        </w:tc>
      </w:tr>
      <w:tr w:rsidR="00445945" w:rsidRPr="00364F7A" w14:paraId="5392F54E" w14:textId="77777777" w:rsidTr="00B605C7">
        <w:trPr>
          <w:jc w:val="center"/>
        </w:trPr>
        <w:tc>
          <w:tcPr>
            <w:tcW w:w="1958" w:type="dxa"/>
            <w:tcBorders>
              <w:top w:val="nil"/>
              <w:left w:val="nil"/>
              <w:bottom w:val="nil"/>
              <w:right w:val="nil"/>
            </w:tcBorders>
          </w:tcPr>
          <w:p w14:paraId="6741C877"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r w:rsidRPr="00364F7A">
              <w:rPr>
                <w:rFonts w:ascii="Times New Roman" w:hAnsi="Times New Roman" w:cs="Times New Roman Bold"/>
                <w:sz w:val="21"/>
              </w:rPr>
              <w:t>At least one child</w:t>
            </w:r>
          </w:p>
        </w:tc>
        <w:tc>
          <w:tcPr>
            <w:tcW w:w="1436" w:type="dxa"/>
            <w:tcBorders>
              <w:top w:val="nil"/>
              <w:left w:val="nil"/>
              <w:bottom w:val="nil"/>
              <w:right w:val="nil"/>
            </w:tcBorders>
          </w:tcPr>
          <w:p w14:paraId="61B47C15"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-252.822***</w:t>
            </w:r>
          </w:p>
        </w:tc>
        <w:tc>
          <w:tcPr>
            <w:tcW w:w="1266" w:type="dxa"/>
            <w:tcBorders>
              <w:top w:val="nil"/>
              <w:left w:val="nil"/>
              <w:bottom w:val="nil"/>
              <w:right w:val="nil"/>
            </w:tcBorders>
          </w:tcPr>
          <w:p w14:paraId="64091F52"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-184.169***</w:t>
            </w:r>
          </w:p>
        </w:tc>
        <w:tc>
          <w:tcPr>
            <w:tcW w:w="1267" w:type="dxa"/>
            <w:tcBorders>
              <w:top w:val="nil"/>
              <w:left w:val="nil"/>
              <w:bottom w:val="nil"/>
              <w:right w:val="nil"/>
            </w:tcBorders>
          </w:tcPr>
          <w:p w14:paraId="4D0389FE"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-116.723***</w:t>
            </w:r>
          </w:p>
        </w:tc>
        <w:tc>
          <w:tcPr>
            <w:tcW w:w="1266" w:type="dxa"/>
            <w:tcBorders>
              <w:top w:val="nil"/>
              <w:left w:val="nil"/>
              <w:bottom w:val="nil"/>
              <w:right w:val="nil"/>
            </w:tcBorders>
          </w:tcPr>
          <w:p w14:paraId="1BD1C31F"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-9.728</w:t>
            </w:r>
          </w:p>
        </w:tc>
        <w:tc>
          <w:tcPr>
            <w:tcW w:w="1266" w:type="dxa"/>
            <w:tcBorders>
              <w:top w:val="nil"/>
              <w:left w:val="nil"/>
              <w:bottom w:val="nil"/>
              <w:right w:val="nil"/>
            </w:tcBorders>
          </w:tcPr>
          <w:p w14:paraId="59373AAD"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11.031***</w:t>
            </w:r>
          </w:p>
        </w:tc>
        <w:tc>
          <w:tcPr>
            <w:tcW w:w="1321" w:type="dxa"/>
            <w:tcBorders>
              <w:top w:val="nil"/>
              <w:left w:val="nil"/>
              <w:bottom w:val="nil"/>
              <w:right w:val="nil"/>
            </w:tcBorders>
          </w:tcPr>
          <w:p w14:paraId="36D2E474"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2.877</w:t>
            </w:r>
          </w:p>
        </w:tc>
      </w:tr>
      <w:tr w:rsidR="00445945" w:rsidRPr="00364F7A" w14:paraId="1DB2F85A" w14:textId="77777777" w:rsidTr="00B605C7">
        <w:trPr>
          <w:jc w:val="center"/>
        </w:trPr>
        <w:tc>
          <w:tcPr>
            <w:tcW w:w="1958" w:type="dxa"/>
            <w:tcBorders>
              <w:top w:val="nil"/>
              <w:left w:val="nil"/>
              <w:bottom w:val="nil"/>
              <w:right w:val="nil"/>
            </w:tcBorders>
          </w:tcPr>
          <w:p w14:paraId="47D98FE5" w14:textId="77777777" w:rsidR="00445945" w:rsidRPr="00161880" w:rsidRDefault="00445945" w:rsidP="00B605C7">
            <w:pPr>
              <w:widowControl w:val="0"/>
              <w:autoSpaceDE w:val="0"/>
              <w:autoSpaceDN w:val="0"/>
              <w:adjustRightInd w:val="0"/>
              <w:jc w:val="right"/>
              <w:rPr>
                <w:rFonts w:ascii="Times New Roman" w:hAnsi="Times New Roman" w:cs="Times New Roman Bold"/>
                <w:sz w:val="21"/>
                <w:lang w:val="fr-CA"/>
              </w:rPr>
            </w:pPr>
          </w:p>
        </w:tc>
        <w:tc>
          <w:tcPr>
            <w:tcW w:w="1436" w:type="dxa"/>
            <w:tcBorders>
              <w:top w:val="nil"/>
              <w:left w:val="nil"/>
              <w:bottom w:val="nil"/>
              <w:right w:val="nil"/>
            </w:tcBorders>
          </w:tcPr>
          <w:p w14:paraId="007226E0"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(22.554)</w:t>
            </w:r>
          </w:p>
        </w:tc>
        <w:tc>
          <w:tcPr>
            <w:tcW w:w="1266" w:type="dxa"/>
            <w:tcBorders>
              <w:top w:val="nil"/>
              <w:left w:val="nil"/>
              <w:bottom w:val="nil"/>
              <w:right w:val="nil"/>
            </w:tcBorders>
          </w:tcPr>
          <w:p w14:paraId="364A1B52"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(18.795)</w:t>
            </w:r>
          </w:p>
        </w:tc>
        <w:tc>
          <w:tcPr>
            <w:tcW w:w="1267" w:type="dxa"/>
            <w:tcBorders>
              <w:top w:val="nil"/>
              <w:left w:val="nil"/>
              <w:bottom w:val="nil"/>
              <w:right w:val="nil"/>
            </w:tcBorders>
          </w:tcPr>
          <w:p w14:paraId="5406D841"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(6.353)</w:t>
            </w:r>
          </w:p>
        </w:tc>
        <w:tc>
          <w:tcPr>
            <w:tcW w:w="1266" w:type="dxa"/>
            <w:tcBorders>
              <w:top w:val="nil"/>
              <w:left w:val="nil"/>
              <w:bottom w:val="nil"/>
              <w:right w:val="nil"/>
            </w:tcBorders>
          </w:tcPr>
          <w:p w14:paraId="25A31526"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(9.643)</w:t>
            </w:r>
          </w:p>
        </w:tc>
        <w:tc>
          <w:tcPr>
            <w:tcW w:w="1266" w:type="dxa"/>
            <w:tcBorders>
              <w:top w:val="nil"/>
              <w:left w:val="nil"/>
              <w:bottom w:val="nil"/>
              <w:right w:val="nil"/>
            </w:tcBorders>
          </w:tcPr>
          <w:p w14:paraId="7C6F1CFB"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(3.480)</w:t>
            </w:r>
          </w:p>
        </w:tc>
        <w:tc>
          <w:tcPr>
            <w:tcW w:w="1321" w:type="dxa"/>
            <w:tcBorders>
              <w:top w:val="nil"/>
              <w:left w:val="nil"/>
              <w:bottom w:val="nil"/>
              <w:right w:val="nil"/>
            </w:tcBorders>
          </w:tcPr>
          <w:p w14:paraId="4DB7C2A4"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(2.183)</w:t>
            </w:r>
          </w:p>
        </w:tc>
      </w:tr>
      <w:tr w:rsidR="00445945" w:rsidRPr="00364F7A" w14:paraId="426CB7EF" w14:textId="77777777" w:rsidTr="00B605C7">
        <w:trPr>
          <w:jc w:val="center"/>
        </w:trPr>
        <w:tc>
          <w:tcPr>
            <w:tcW w:w="1958" w:type="dxa"/>
            <w:tcBorders>
              <w:top w:val="nil"/>
              <w:left w:val="nil"/>
              <w:bottom w:val="nil"/>
              <w:right w:val="nil"/>
            </w:tcBorders>
          </w:tcPr>
          <w:p w14:paraId="75EE6850"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r w:rsidRPr="00364F7A">
              <w:rPr>
                <w:rFonts w:ascii="Times New Roman" w:hAnsi="Times New Roman" w:cs="Times New Roman Bold"/>
                <w:sz w:val="21"/>
              </w:rPr>
              <w:t xml:space="preserve">Household size </w:t>
            </w:r>
          </w:p>
        </w:tc>
        <w:tc>
          <w:tcPr>
            <w:tcW w:w="1436" w:type="dxa"/>
            <w:tcBorders>
              <w:top w:val="nil"/>
              <w:left w:val="nil"/>
              <w:bottom w:val="nil"/>
              <w:right w:val="nil"/>
            </w:tcBorders>
          </w:tcPr>
          <w:p w14:paraId="5624BA2D"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130.219***</w:t>
            </w:r>
          </w:p>
        </w:tc>
        <w:tc>
          <w:tcPr>
            <w:tcW w:w="1266" w:type="dxa"/>
            <w:tcBorders>
              <w:top w:val="nil"/>
              <w:left w:val="nil"/>
              <w:bottom w:val="nil"/>
              <w:right w:val="nil"/>
            </w:tcBorders>
          </w:tcPr>
          <w:p w14:paraId="5A072697"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103.415***</w:t>
            </w:r>
          </w:p>
        </w:tc>
        <w:tc>
          <w:tcPr>
            <w:tcW w:w="1267" w:type="dxa"/>
            <w:tcBorders>
              <w:top w:val="nil"/>
              <w:left w:val="nil"/>
              <w:bottom w:val="nil"/>
              <w:right w:val="nil"/>
            </w:tcBorders>
          </w:tcPr>
          <w:p w14:paraId="5F604B51"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33.815***</w:t>
            </w:r>
          </w:p>
        </w:tc>
        <w:tc>
          <w:tcPr>
            <w:tcW w:w="1266" w:type="dxa"/>
            <w:tcBorders>
              <w:top w:val="nil"/>
              <w:left w:val="nil"/>
              <w:bottom w:val="nil"/>
              <w:right w:val="nil"/>
            </w:tcBorders>
          </w:tcPr>
          <w:p w14:paraId="0C3641D0"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-1.338</w:t>
            </w:r>
          </w:p>
        </w:tc>
        <w:tc>
          <w:tcPr>
            <w:tcW w:w="1266" w:type="dxa"/>
            <w:tcBorders>
              <w:top w:val="nil"/>
              <w:left w:val="nil"/>
              <w:bottom w:val="nil"/>
              <w:right w:val="nil"/>
            </w:tcBorders>
          </w:tcPr>
          <w:p w14:paraId="188784CF"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-3.880***</w:t>
            </w:r>
          </w:p>
        </w:tc>
        <w:tc>
          <w:tcPr>
            <w:tcW w:w="1321" w:type="dxa"/>
            <w:tcBorders>
              <w:top w:val="nil"/>
              <w:left w:val="nil"/>
              <w:bottom w:val="nil"/>
              <w:right w:val="nil"/>
            </w:tcBorders>
          </w:tcPr>
          <w:p w14:paraId="21FEAE2D"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-2.276*</w:t>
            </w:r>
          </w:p>
        </w:tc>
      </w:tr>
      <w:tr w:rsidR="00445945" w:rsidRPr="00364F7A" w14:paraId="256F9FEE" w14:textId="77777777" w:rsidTr="00B605C7">
        <w:trPr>
          <w:jc w:val="center"/>
        </w:trPr>
        <w:tc>
          <w:tcPr>
            <w:tcW w:w="1958" w:type="dxa"/>
            <w:tcBorders>
              <w:top w:val="nil"/>
              <w:left w:val="nil"/>
              <w:bottom w:val="nil"/>
              <w:right w:val="nil"/>
            </w:tcBorders>
          </w:tcPr>
          <w:p w14:paraId="5FD91F84"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p>
        </w:tc>
        <w:tc>
          <w:tcPr>
            <w:tcW w:w="1436" w:type="dxa"/>
            <w:tcBorders>
              <w:top w:val="nil"/>
              <w:left w:val="nil"/>
              <w:bottom w:val="nil"/>
              <w:right w:val="nil"/>
            </w:tcBorders>
          </w:tcPr>
          <w:p w14:paraId="279B0709"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(9.982)</w:t>
            </w:r>
          </w:p>
        </w:tc>
        <w:tc>
          <w:tcPr>
            <w:tcW w:w="1266" w:type="dxa"/>
            <w:tcBorders>
              <w:top w:val="nil"/>
              <w:left w:val="nil"/>
              <w:bottom w:val="nil"/>
              <w:right w:val="nil"/>
            </w:tcBorders>
          </w:tcPr>
          <w:p w14:paraId="0169B652"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(8.318)</w:t>
            </w:r>
          </w:p>
        </w:tc>
        <w:tc>
          <w:tcPr>
            <w:tcW w:w="1267" w:type="dxa"/>
            <w:tcBorders>
              <w:top w:val="nil"/>
              <w:left w:val="nil"/>
              <w:bottom w:val="nil"/>
              <w:right w:val="nil"/>
            </w:tcBorders>
          </w:tcPr>
          <w:p w14:paraId="4F84174B"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(2.741)</w:t>
            </w:r>
          </w:p>
        </w:tc>
        <w:tc>
          <w:tcPr>
            <w:tcW w:w="1266" w:type="dxa"/>
            <w:tcBorders>
              <w:top w:val="nil"/>
              <w:left w:val="nil"/>
              <w:bottom w:val="nil"/>
              <w:right w:val="nil"/>
            </w:tcBorders>
          </w:tcPr>
          <w:p w14:paraId="197E783C"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(3.932)</w:t>
            </w:r>
          </w:p>
        </w:tc>
        <w:tc>
          <w:tcPr>
            <w:tcW w:w="1266" w:type="dxa"/>
            <w:tcBorders>
              <w:top w:val="nil"/>
              <w:left w:val="nil"/>
              <w:bottom w:val="nil"/>
              <w:right w:val="nil"/>
            </w:tcBorders>
          </w:tcPr>
          <w:p w14:paraId="23D74886"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(1.216)</w:t>
            </w:r>
          </w:p>
        </w:tc>
        <w:tc>
          <w:tcPr>
            <w:tcW w:w="1321" w:type="dxa"/>
            <w:tcBorders>
              <w:top w:val="nil"/>
              <w:left w:val="nil"/>
              <w:bottom w:val="nil"/>
              <w:right w:val="nil"/>
            </w:tcBorders>
          </w:tcPr>
          <w:p w14:paraId="15061566"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(1.191)</w:t>
            </w:r>
          </w:p>
        </w:tc>
      </w:tr>
      <w:tr w:rsidR="00445945" w:rsidRPr="00364F7A" w14:paraId="6E0C507C" w14:textId="77777777" w:rsidTr="00B605C7">
        <w:trPr>
          <w:jc w:val="center"/>
        </w:trPr>
        <w:tc>
          <w:tcPr>
            <w:tcW w:w="1958" w:type="dxa"/>
            <w:tcBorders>
              <w:top w:val="nil"/>
              <w:left w:val="nil"/>
              <w:bottom w:val="nil"/>
              <w:right w:val="nil"/>
            </w:tcBorders>
          </w:tcPr>
          <w:p w14:paraId="465737F1" w14:textId="77777777" w:rsidR="00445945" w:rsidRPr="00364F7A" w:rsidRDefault="00445945" w:rsidP="00B605C7">
            <w:pPr>
              <w:widowControl w:val="0"/>
              <w:autoSpaceDE w:val="0"/>
              <w:autoSpaceDN w:val="0"/>
              <w:adjustRightInd w:val="0"/>
              <w:jc w:val="right"/>
              <w:rPr>
                <w:rFonts w:ascii="Times New Roman" w:hAnsi="Times New Roman" w:cs="Times New Roman Bold"/>
                <w:sz w:val="21"/>
              </w:rPr>
            </w:pPr>
            <w:r w:rsidRPr="00364F7A">
              <w:rPr>
                <w:rFonts w:ascii="Times New Roman" w:hAnsi="Times New Roman" w:cs="Times New Roman Bold"/>
                <w:sz w:val="21"/>
              </w:rPr>
              <w:t>Married couple</w:t>
            </w:r>
          </w:p>
        </w:tc>
        <w:tc>
          <w:tcPr>
            <w:tcW w:w="1436" w:type="dxa"/>
            <w:tcBorders>
              <w:top w:val="nil"/>
              <w:left w:val="nil"/>
              <w:bottom w:val="nil"/>
              <w:right w:val="nil"/>
            </w:tcBorders>
          </w:tcPr>
          <w:p w14:paraId="1B09E129"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209.128***</w:t>
            </w:r>
          </w:p>
        </w:tc>
        <w:tc>
          <w:tcPr>
            <w:tcW w:w="1266" w:type="dxa"/>
            <w:tcBorders>
              <w:top w:val="nil"/>
              <w:left w:val="nil"/>
              <w:bottom w:val="nil"/>
              <w:right w:val="nil"/>
            </w:tcBorders>
          </w:tcPr>
          <w:p w14:paraId="650F95BE"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97.699***</w:t>
            </w:r>
          </w:p>
        </w:tc>
        <w:tc>
          <w:tcPr>
            <w:tcW w:w="1267" w:type="dxa"/>
            <w:tcBorders>
              <w:top w:val="nil"/>
              <w:left w:val="nil"/>
              <w:bottom w:val="nil"/>
              <w:right w:val="nil"/>
            </w:tcBorders>
          </w:tcPr>
          <w:p w14:paraId="21F08E8A"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78.415***</w:t>
            </w:r>
          </w:p>
        </w:tc>
        <w:tc>
          <w:tcPr>
            <w:tcW w:w="1266" w:type="dxa"/>
            <w:tcBorders>
              <w:top w:val="nil"/>
              <w:left w:val="nil"/>
              <w:bottom w:val="nil"/>
              <w:right w:val="nil"/>
            </w:tcBorders>
          </w:tcPr>
          <w:p w14:paraId="249908EB"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80.417***</w:t>
            </w:r>
          </w:p>
        </w:tc>
        <w:tc>
          <w:tcPr>
            <w:tcW w:w="1266" w:type="dxa"/>
            <w:tcBorders>
              <w:top w:val="nil"/>
              <w:left w:val="nil"/>
              <w:bottom w:val="nil"/>
              <w:right w:val="nil"/>
            </w:tcBorders>
          </w:tcPr>
          <w:p w14:paraId="1DF7EF79"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-7.729*</w:t>
            </w:r>
          </w:p>
        </w:tc>
        <w:tc>
          <w:tcPr>
            <w:tcW w:w="1321" w:type="dxa"/>
            <w:tcBorders>
              <w:top w:val="nil"/>
              <w:left w:val="nil"/>
              <w:bottom w:val="nil"/>
              <w:right w:val="nil"/>
            </w:tcBorders>
          </w:tcPr>
          <w:p w14:paraId="4BAAAF1A"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7.419***</w:t>
            </w:r>
          </w:p>
        </w:tc>
      </w:tr>
      <w:tr w:rsidR="00445945" w:rsidRPr="00364F7A" w14:paraId="290FF15E" w14:textId="77777777" w:rsidTr="00B605C7">
        <w:trPr>
          <w:jc w:val="center"/>
        </w:trPr>
        <w:tc>
          <w:tcPr>
            <w:tcW w:w="1958" w:type="dxa"/>
            <w:tcBorders>
              <w:top w:val="nil"/>
              <w:left w:val="nil"/>
              <w:bottom w:val="nil"/>
              <w:right w:val="nil"/>
            </w:tcBorders>
          </w:tcPr>
          <w:p w14:paraId="69788F4B" w14:textId="77777777" w:rsidR="00445945" w:rsidRPr="00364F7A" w:rsidRDefault="00445945">
            <w:pPr>
              <w:widowControl w:val="0"/>
              <w:autoSpaceDE w:val="0"/>
              <w:autoSpaceDN w:val="0"/>
              <w:adjustRightInd w:val="0"/>
              <w:rPr>
                <w:rFonts w:ascii="Times New Roman" w:hAnsi="Times New Roman" w:cs="Times New Roman Bold"/>
                <w:sz w:val="21"/>
              </w:rPr>
            </w:pPr>
          </w:p>
        </w:tc>
        <w:tc>
          <w:tcPr>
            <w:tcW w:w="1436" w:type="dxa"/>
            <w:tcBorders>
              <w:top w:val="nil"/>
              <w:left w:val="nil"/>
              <w:bottom w:val="nil"/>
              <w:right w:val="nil"/>
            </w:tcBorders>
          </w:tcPr>
          <w:p w14:paraId="511E1FF7"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(17.446)</w:t>
            </w:r>
          </w:p>
        </w:tc>
        <w:tc>
          <w:tcPr>
            <w:tcW w:w="1266" w:type="dxa"/>
            <w:tcBorders>
              <w:top w:val="nil"/>
              <w:left w:val="nil"/>
              <w:bottom w:val="nil"/>
              <w:right w:val="nil"/>
            </w:tcBorders>
          </w:tcPr>
          <w:p w14:paraId="0BBD19E8"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(15.221)</w:t>
            </w:r>
          </w:p>
        </w:tc>
        <w:tc>
          <w:tcPr>
            <w:tcW w:w="1267" w:type="dxa"/>
            <w:tcBorders>
              <w:top w:val="nil"/>
              <w:left w:val="nil"/>
              <w:bottom w:val="nil"/>
              <w:right w:val="nil"/>
            </w:tcBorders>
          </w:tcPr>
          <w:p w14:paraId="70977E38"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(5.215)</w:t>
            </w:r>
          </w:p>
        </w:tc>
        <w:tc>
          <w:tcPr>
            <w:tcW w:w="1266" w:type="dxa"/>
            <w:tcBorders>
              <w:top w:val="nil"/>
              <w:left w:val="nil"/>
              <w:bottom w:val="nil"/>
              <w:right w:val="nil"/>
            </w:tcBorders>
          </w:tcPr>
          <w:p w14:paraId="7ED2193C" w14:textId="77777777" w:rsidR="00445945" w:rsidRPr="00364F7A" w:rsidRDefault="00445945">
            <w:pPr>
              <w:widowControl w:val="0"/>
              <w:autoSpaceDE w:val="0"/>
              <w:autoSpaceDN w:val="0"/>
              <w:adjustRightInd w:val="0"/>
              <w:jc w:val="center"/>
              <w:rPr>
                <w:rFonts w:ascii="Times New Roman" w:hAnsi="Times New Roman" w:cs="Times New Roman Bold"/>
                <w:sz w:val="21"/>
              </w:rPr>
            </w:pPr>
            <w:r w:rsidRPr="00C5151C">
              <w:rPr>
                <w:rFonts w:ascii="Times New Roman" w:eastAsia="Times New Roman" w:hAnsi="Times New Roman" w:cs="Times New Roman"/>
                <w:sz w:val="21"/>
                <w:szCs w:val="21"/>
              </w:rPr>
              <w:t>(6.022)</w:t>
            </w:r>
          </w:p>
        </w:tc>
        <w:tc>
          <w:tcPr>
            <w:tcW w:w="1266" w:type="dxa"/>
            <w:tcBorders>
              <w:top w:val="nil"/>
              <w:left w:val="nil"/>
              <w:bottom w:val="nil"/>
              <w:right w:val="nil"/>
            </w:tcBorders>
          </w:tcPr>
          <w:p w14:paraId="5D1F0C67"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(4.185)</w:t>
            </w:r>
          </w:p>
        </w:tc>
        <w:tc>
          <w:tcPr>
            <w:tcW w:w="1321" w:type="dxa"/>
            <w:tcBorders>
              <w:top w:val="nil"/>
              <w:left w:val="nil"/>
              <w:bottom w:val="nil"/>
              <w:right w:val="nil"/>
            </w:tcBorders>
          </w:tcPr>
          <w:p w14:paraId="0B2BC422" w14:textId="77777777" w:rsidR="00445945" w:rsidRPr="00364F7A" w:rsidRDefault="00445945">
            <w:pPr>
              <w:widowControl w:val="0"/>
              <w:autoSpaceDE w:val="0"/>
              <w:autoSpaceDN w:val="0"/>
              <w:adjustRightInd w:val="0"/>
              <w:jc w:val="center"/>
              <w:rPr>
                <w:rFonts w:ascii="Times New Roman" w:hAnsi="Times New Roman" w:cs="Times New Roman Bold"/>
                <w:sz w:val="21"/>
                <w:lang w:val="fr-FR"/>
              </w:rPr>
            </w:pPr>
            <w:r w:rsidRPr="00C5151C">
              <w:rPr>
                <w:rFonts w:ascii="Times New Roman" w:eastAsia="Times New Roman" w:hAnsi="Times New Roman" w:cs="Times New Roman"/>
                <w:sz w:val="21"/>
                <w:szCs w:val="21"/>
              </w:rPr>
              <w:t>(2.551)</w:t>
            </w:r>
          </w:p>
        </w:tc>
      </w:tr>
      <w:tr w:rsidR="00FE2D11" w:rsidRPr="00364F7A" w14:paraId="0638EA2E" w14:textId="77777777" w:rsidTr="00B605C7">
        <w:trPr>
          <w:jc w:val="center"/>
        </w:trPr>
        <w:tc>
          <w:tcPr>
            <w:tcW w:w="1958" w:type="dxa"/>
            <w:tcBorders>
              <w:top w:val="nil"/>
              <w:left w:val="nil"/>
              <w:bottom w:val="nil"/>
              <w:right w:val="nil"/>
            </w:tcBorders>
          </w:tcPr>
          <w:p w14:paraId="63AB72A5" w14:textId="77777777" w:rsidR="00FE2D11" w:rsidRPr="00364F7A" w:rsidRDefault="00FE2D11">
            <w:pPr>
              <w:widowControl w:val="0"/>
              <w:autoSpaceDE w:val="0"/>
              <w:autoSpaceDN w:val="0"/>
              <w:adjustRightInd w:val="0"/>
              <w:rPr>
                <w:rFonts w:ascii="Times New Roman" w:hAnsi="Times New Roman" w:cs="Times New Roman Bold"/>
                <w:sz w:val="21"/>
              </w:rPr>
            </w:pPr>
          </w:p>
        </w:tc>
        <w:tc>
          <w:tcPr>
            <w:tcW w:w="1436" w:type="dxa"/>
            <w:tcBorders>
              <w:top w:val="nil"/>
              <w:left w:val="nil"/>
              <w:bottom w:val="nil"/>
              <w:right w:val="nil"/>
            </w:tcBorders>
          </w:tcPr>
          <w:p w14:paraId="435A196E" w14:textId="77777777" w:rsidR="00FE2D11" w:rsidRPr="00364F7A" w:rsidRDefault="00FE2D11">
            <w:pPr>
              <w:widowControl w:val="0"/>
              <w:autoSpaceDE w:val="0"/>
              <w:autoSpaceDN w:val="0"/>
              <w:adjustRightInd w:val="0"/>
              <w:jc w:val="center"/>
              <w:rPr>
                <w:rFonts w:ascii="Times New Roman" w:hAnsi="Times New Roman" w:cs="Times New Roman Bold"/>
                <w:sz w:val="21"/>
              </w:rPr>
            </w:pPr>
          </w:p>
        </w:tc>
        <w:tc>
          <w:tcPr>
            <w:tcW w:w="1266" w:type="dxa"/>
            <w:tcBorders>
              <w:top w:val="nil"/>
              <w:left w:val="nil"/>
              <w:bottom w:val="nil"/>
              <w:right w:val="nil"/>
            </w:tcBorders>
          </w:tcPr>
          <w:p w14:paraId="728E639B" w14:textId="77777777" w:rsidR="00FE2D11" w:rsidRPr="00364F7A" w:rsidRDefault="00FE2D11">
            <w:pPr>
              <w:widowControl w:val="0"/>
              <w:autoSpaceDE w:val="0"/>
              <w:autoSpaceDN w:val="0"/>
              <w:adjustRightInd w:val="0"/>
              <w:jc w:val="center"/>
              <w:rPr>
                <w:rFonts w:ascii="Times New Roman" w:hAnsi="Times New Roman" w:cs="Times New Roman Bold"/>
                <w:sz w:val="21"/>
              </w:rPr>
            </w:pPr>
          </w:p>
        </w:tc>
        <w:tc>
          <w:tcPr>
            <w:tcW w:w="1267" w:type="dxa"/>
            <w:tcBorders>
              <w:top w:val="nil"/>
              <w:left w:val="nil"/>
              <w:bottom w:val="nil"/>
              <w:right w:val="nil"/>
            </w:tcBorders>
          </w:tcPr>
          <w:p w14:paraId="5B90188F" w14:textId="77777777" w:rsidR="00FE2D11" w:rsidRPr="00364F7A" w:rsidRDefault="00FE2D11">
            <w:pPr>
              <w:widowControl w:val="0"/>
              <w:autoSpaceDE w:val="0"/>
              <w:autoSpaceDN w:val="0"/>
              <w:adjustRightInd w:val="0"/>
              <w:jc w:val="center"/>
              <w:rPr>
                <w:rFonts w:ascii="Times New Roman" w:hAnsi="Times New Roman" w:cs="Times New Roman Bold"/>
                <w:sz w:val="21"/>
              </w:rPr>
            </w:pPr>
          </w:p>
        </w:tc>
        <w:tc>
          <w:tcPr>
            <w:tcW w:w="1266" w:type="dxa"/>
            <w:tcBorders>
              <w:top w:val="nil"/>
              <w:left w:val="nil"/>
              <w:bottom w:val="nil"/>
              <w:right w:val="nil"/>
            </w:tcBorders>
          </w:tcPr>
          <w:p w14:paraId="420B0B7A" w14:textId="77777777" w:rsidR="00FE2D11" w:rsidRPr="00364F7A" w:rsidRDefault="00FE2D11">
            <w:pPr>
              <w:widowControl w:val="0"/>
              <w:autoSpaceDE w:val="0"/>
              <w:autoSpaceDN w:val="0"/>
              <w:adjustRightInd w:val="0"/>
              <w:jc w:val="center"/>
              <w:rPr>
                <w:rFonts w:ascii="Times New Roman" w:hAnsi="Times New Roman" w:cs="Times New Roman Bold"/>
                <w:sz w:val="21"/>
              </w:rPr>
            </w:pPr>
          </w:p>
        </w:tc>
        <w:tc>
          <w:tcPr>
            <w:tcW w:w="1266" w:type="dxa"/>
            <w:tcBorders>
              <w:top w:val="nil"/>
              <w:left w:val="nil"/>
              <w:bottom w:val="nil"/>
              <w:right w:val="nil"/>
            </w:tcBorders>
          </w:tcPr>
          <w:p w14:paraId="3CC425E1" w14:textId="77777777" w:rsidR="00FE2D11" w:rsidRPr="00364F7A" w:rsidRDefault="00FE2D11">
            <w:pPr>
              <w:widowControl w:val="0"/>
              <w:autoSpaceDE w:val="0"/>
              <w:autoSpaceDN w:val="0"/>
              <w:adjustRightInd w:val="0"/>
              <w:jc w:val="center"/>
              <w:rPr>
                <w:rFonts w:ascii="Times New Roman" w:hAnsi="Times New Roman" w:cs="Times New Roman Bold"/>
                <w:sz w:val="21"/>
              </w:rPr>
            </w:pPr>
          </w:p>
        </w:tc>
        <w:tc>
          <w:tcPr>
            <w:tcW w:w="1321" w:type="dxa"/>
            <w:tcBorders>
              <w:top w:val="nil"/>
              <w:left w:val="nil"/>
              <w:bottom w:val="nil"/>
              <w:right w:val="nil"/>
            </w:tcBorders>
          </w:tcPr>
          <w:p w14:paraId="4BEE0B6B" w14:textId="77777777" w:rsidR="00FE2D11" w:rsidRPr="00364F7A" w:rsidRDefault="00FE2D11">
            <w:pPr>
              <w:widowControl w:val="0"/>
              <w:autoSpaceDE w:val="0"/>
              <w:autoSpaceDN w:val="0"/>
              <w:adjustRightInd w:val="0"/>
              <w:jc w:val="center"/>
              <w:rPr>
                <w:rFonts w:ascii="Times New Roman" w:hAnsi="Times New Roman" w:cs="Times New Roman Bold"/>
                <w:sz w:val="21"/>
              </w:rPr>
            </w:pPr>
          </w:p>
        </w:tc>
      </w:tr>
      <w:tr w:rsidR="00FE2D11" w:rsidRPr="00364F7A" w14:paraId="198F76C9" w14:textId="77777777" w:rsidTr="00B605C7">
        <w:trPr>
          <w:jc w:val="center"/>
        </w:trPr>
        <w:tc>
          <w:tcPr>
            <w:tcW w:w="1958" w:type="dxa"/>
            <w:tcBorders>
              <w:top w:val="nil"/>
              <w:left w:val="nil"/>
              <w:right w:val="nil"/>
            </w:tcBorders>
          </w:tcPr>
          <w:p w14:paraId="507CA62D" w14:textId="77777777" w:rsidR="00FE2D11" w:rsidRPr="00364F7A" w:rsidRDefault="00FE2D11" w:rsidP="00B605C7">
            <w:pPr>
              <w:widowControl w:val="0"/>
              <w:autoSpaceDE w:val="0"/>
              <w:autoSpaceDN w:val="0"/>
              <w:adjustRightInd w:val="0"/>
              <w:jc w:val="right"/>
              <w:rPr>
                <w:rFonts w:ascii="Times New Roman" w:hAnsi="Times New Roman" w:cs="Times New Roman Bold"/>
                <w:sz w:val="21"/>
              </w:rPr>
            </w:pPr>
            <w:r w:rsidRPr="00364F7A">
              <w:rPr>
                <w:rFonts w:ascii="Times New Roman" w:hAnsi="Times New Roman" w:cs="Times New Roman Bold"/>
                <w:sz w:val="21"/>
              </w:rPr>
              <w:t>Province FE</w:t>
            </w:r>
          </w:p>
        </w:tc>
        <w:tc>
          <w:tcPr>
            <w:tcW w:w="1436" w:type="dxa"/>
            <w:tcBorders>
              <w:top w:val="nil"/>
              <w:left w:val="nil"/>
              <w:right w:val="nil"/>
            </w:tcBorders>
          </w:tcPr>
          <w:p w14:paraId="58FFE06A"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266" w:type="dxa"/>
            <w:tcBorders>
              <w:top w:val="nil"/>
              <w:left w:val="nil"/>
              <w:right w:val="nil"/>
            </w:tcBorders>
          </w:tcPr>
          <w:p w14:paraId="6B513B11"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267" w:type="dxa"/>
            <w:tcBorders>
              <w:top w:val="nil"/>
              <w:left w:val="nil"/>
              <w:right w:val="nil"/>
            </w:tcBorders>
          </w:tcPr>
          <w:p w14:paraId="2653DEFB"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266" w:type="dxa"/>
            <w:tcBorders>
              <w:top w:val="nil"/>
              <w:left w:val="nil"/>
              <w:right w:val="nil"/>
            </w:tcBorders>
          </w:tcPr>
          <w:p w14:paraId="7A9E1AEC"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266" w:type="dxa"/>
            <w:tcBorders>
              <w:top w:val="nil"/>
              <w:left w:val="nil"/>
              <w:right w:val="nil"/>
            </w:tcBorders>
          </w:tcPr>
          <w:p w14:paraId="1E7BC47A"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321" w:type="dxa"/>
            <w:tcBorders>
              <w:top w:val="nil"/>
              <w:left w:val="nil"/>
              <w:right w:val="nil"/>
            </w:tcBorders>
          </w:tcPr>
          <w:p w14:paraId="0D2D2FCD"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r>
      <w:tr w:rsidR="00FE2D11" w:rsidRPr="00364F7A" w14:paraId="4453CB5C" w14:textId="77777777" w:rsidTr="00B605C7">
        <w:trPr>
          <w:jc w:val="center"/>
        </w:trPr>
        <w:tc>
          <w:tcPr>
            <w:tcW w:w="1958" w:type="dxa"/>
            <w:tcBorders>
              <w:top w:val="nil"/>
              <w:left w:val="nil"/>
              <w:bottom w:val="single" w:sz="4" w:space="0" w:color="auto"/>
              <w:right w:val="nil"/>
            </w:tcBorders>
          </w:tcPr>
          <w:p w14:paraId="2FCCB00C" w14:textId="77777777" w:rsidR="00FE2D11" w:rsidRPr="00364F7A" w:rsidRDefault="00FE2D11" w:rsidP="00B605C7">
            <w:pPr>
              <w:widowControl w:val="0"/>
              <w:autoSpaceDE w:val="0"/>
              <w:autoSpaceDN w:val="0"/>
              <w:adjustRightInd w:val="0"/>
              <w:jc w:val="right"/>
              <w:rPr>
                <w:rFonts w:ascii="Times New Roman" w:hAnsi="Times New Roman" w:cs="Times New Roman Bold"/>
                <w:sz w:val="21"/>
              </w:rPr>
            </w:pPr>
            <w:r w:rsidRPr="00364F7A">
              <w:rPr>
                <w:rFonts w:ascii="Times New Roman" w:hAnsi="Times New Roman" w:cs="Times New Roman Bold"/>
                <w:sz w:val="21"/>
              </w:rPr>
              <w:t>Year FE</w:t>
            </w:r>
          </w:p>
        </w:tc>
        <w:tc>
          <w:tcPr>
            <w:tcW w:w="1436" w:type="dxa"/>
            <w:tcBorders>
              <w:top w:val="nil"/>
              <w:left w:val="nil"/>
              <w:bottom w:val="single" w:sz="4" w:space="0" w:color="auto"/>
              <w:right w:val="nil"/>
            </w:tcBorders>
          </w:tcPr>
          <w:p w14:paraId="5A8A8A95"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266" w:type="dxa"/>
            <w:tcBorders>
              <w:top w:val="nil"/>
              <w:left w:val="nil"/>
              <w:bottom w:val="single" w:sz="4" w:space="0" w:color="auto"/>
              <w:right w:val="nil"/>
            </w:tcBorders>
          </w:tcPr>
          <w:p w14:paraId="0FF3683F"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267" w:type="dxa"/>
            <w:tcBorders>
              <w:top w:val="nil"/>
              <w:left w:val="nil"/>
              <w:bottom w:val="single" w:sz="4" w:space="0" w:color="auto"/>
              <w:right w:val="nil"/>
            </w:tcBorders>
          </w:tcPr>
          <w:p w14:paraId="07F304DE"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266" w:type="dxa"/>
            <w:tcBorders>
              <w:top w:val="nil"/>
              <w:left w:val="nil"/>
              <w:bottom w:val="single" w:sz="4" w:space="0" w:color="auto"/>
              <w:right w:val="nil"/>
            </w:tcBorders>
          </w:tcPr>
          <w:p w14:paraId="110E732C"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266" w:type="dxa"/>
            <w:tcBorders>
              <w:top w:val="nil"/>
              <w:left w:val="nil"/>
              <w:bottom w:val="single" w:sz="4" w:space="0" w:color="auto"/>
              <w:right w:val="nil"/>
            </w:tcBorders>
          </w:tcPr>
          <w:p w14:paraId="72650D23"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c>
          <w:tcPr>
            <w:tcW w:w="1321" w:type="dxa"/>
            <w:tcBorders>
              <w:top w:val="nil"/>
              <w:left w:val="nil"/>
              <w:bottom w:val="single" w:sz="4" w:space="0" w:color="auto"/>
              <w:right w:val="nil"/>
            </w:tcBorders>
          </w:tcPr>
          <w:p w14:paraId="29B5F3B9"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X</w:t>
            </w:r>
          </w:p>
        </w:tc>
      </w:tr>
      <w:tr w:rsidR="00FE2D11" w:rsidRPr="00364F7A" w14:paraId="335FCFB1" w14:textId="77777777" w:rsidTr="00B605C7">
        <w:trPr>
          <w:jc w:val="center"/>
        </w:trPr>
        <w:tc>
          <w:tcPr>
            <w:tcW w:w="1958" w:type="dxa"/>
            <w:tcBorders>
              <w:top w:val="nil"/>
              <w:left w:val="nil"/>
              <w:right w:val="nil"/>
            </w:tcBorders>
          </w:tcPr>
          <w:p w14:paraId="5DAD6961" w14:textId="77777777" w:rsidR="00FE2D11" w:rsidRPr="00364F7A" w:rsidRDefault="00FE2D11" w:rsidP="00B605C7">
            <w:pPr>
              <w:widowControl w:val="0"/>
              <w:autoSpaceDE w:val="0"/>
              <w:autoSpaceDN w:val="0"/>
              <w:adjustRightInd w:val="0"/>
              <w:rPr>
                <w:rFonts w:ascii="Times New Roman" w:hAnsi="Times New Roman" w:cs="Times New Roman Bold"/>
                <w:sz w:val="21"/>
              </w:rPr>
            </w:pPr>
            <w:r w:rsidRPr="00364F7A">
              <w:rPr>
                <w:rFonts w:ascii="Times New Roman" w:hAnsi="Times New Roman" w:cs="Times New Roman Bold"/>
                <w:sz w:val="21"/>
              </w:rPr>
              <w:t xml:space="preserve">Observations </w:t>
            </w:r>
          </w:p>
        </w:tc>
        <w:tc>
          <w:tcPr>
            <w:tcW w:w="1436" w:type="dxa"/>
            <w:tcBorders>
              <w:top w:val="nil"/>
              <w:left w:val="nil"/>
              <w:right w:val="nil"/>
            </w:tcBorders>
          </w:tcPr>
          <w:p w14:paraId="60B089B9"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186,577</w:t>
            </w:r>
          </w:p>
        </w:tc>
        <w:tc>
          <w:tcPr>
            <w:tcW w:w="1266" w:type="dxa"/>
            <w:tcBorders>
              <w:top w:val="nil"/>
              <w:left w:val="nil"/>
              <w:right w:val="nil"/>
            </w:tcBorders>
          </w:tcPr>
          <w:p w14:paraId="6FA07617" w14:textId="77777777" w:rsidR="00FE2D11" w:rsidRPr="00364F7A" w:rsidRDefault="00FE2D11" w:rsidP="00B605C7">
            <w:pPr>
              <w:jc w:val="center"/>
              <w:rPr>
                <w:rFonts w:ascii="Times New Roman" w:hAnsi="Times New Roman"/>
                <w:sz w:val="21"/>
              </w:rPr>
            </w:pPr>
            <w:r w:rsidRPr="00364F7A">
              <w:rPr>
                <w:rFonts w:ascii="Times New Roman" w:hAnsi="Times New Roman"/>
                <w:sz w:val="21"/>
              </w:rPr>
              <w:t>186,577</w:t>
            </w:r>
          </w:p>
        </w:tc>
        <w:tc>
          <w:tcPr>
            <w:tcW w:w="1267" w:type="dxa"/>
            <w:tcBorders>
              <w:top w:val="nil"/>
              <w:left w:val="nil"/>
              <w:right w:val="nil"/>
            </w:tcBorders>
          </w:tcPr>
          <w:p w14:paraId="79DF422B" w14:textId="77777777" w:rsidR="00FE2D11" w:rsidRPr="00364F7A" w:rsidRDefault="00FE2D11" w:rsidP="00B605C7">
            <w:pPr>
              <w:jc w:val="center"/>
              <w:rPr>
                <w:rFonts w:ascii="Times New Roman" w:hAnsi="Times New Roman"/>
                <w:sz w:val="21"/>
              </w:rPr>
            </w:pPr>
            <w:r w:rsidRPr="00364F7A">
              <w:rPr>
                <w:rFonts w:ascii="Times New Roman" w:hAnsi="Times New Roman"/>
                <w:sz w:val="21"/>
              </w:rPr>
              <w:t>186,577</w:t>
            </w:r>
          </w:p>
        </w:tc>
        <w:tc>
          <w:tcPr>
            <w:tcW w:w="1266" w:type="dxa"/>
            <w:tcBorders>
              <w:top w:val="nil"/>
              <w:left w:val="nil"/>
              <w:right w:val="nil"/>
            </w:tcBorders>
          </w:tcPr>
          <w:p w14:paraId="04FA6888" w14:textId="77777777" w:rsidR="00FE2D11" w:rsidRPr="00364F7A" w:rsidRDefault="00FE2D11" w:rsidP="00B605C7">
            <w:pPr>
              <w:jc w:val="center"/>
              <w:rPr>
                <w:rFonts w:ascii="Times New Roman" w:hAnsi="Times New Roman"/>
                <w:sz w:val="21"/>
              </w:rPr>
            </w:pPr>
            <w:r w:rsidRPr="00364F7A">
              <w:rPr>
                <w:rFonts w:ascii="Times New Roman" w:hAnsi="Times New Roman"/>
                <w:sz w:val="21"/>
              </w:rPr>
              <w:t>186,577</w:t>
            </w:r>
          </w:p>
        </w:tc>
        <w:tc>
          <w:tcPr>
            <w:tcW w:w="1266" w:type="dxa"/>
            <w:tcBorders>
              <w:top w:val="nil"/>
              <w:left w:val="nil"/>
              <w:right w:val="nil"/>
            </w:tcBorders>
          </w:tcPr>
          <w:p w14:paraId="1588D518" w14:textId="77777777" w:rsidR="00FE2D11" w:rsidRPr="00364F7A" w:rsidRDefault="00FE2D11" w:rsidP="00B605C7">
            <w:pPr>
              <w:jc w:val="center"/>
              <w:rPr>
                <w:rFonts w:ascii="Times New Roman" w:hAnsi="Times New Roman"/>
                <w:sz w:val="21"/>
              </w:rPr>
            </w:pPr>
            <w:r w:rsidRPr="00364F7A">
              <w:rPr>
                <w:rFonts w:ascii="Times New Roman" w:hAnsi="Times New Roman"/>
                <w:sz w:val="21"/>
              </w:rPr>
              <w:t>186,577</w:t>
            </w:r>
          </w:p>
        </w:tc>
        <w:tc>
          <w:tcPr>
            <w:tcW w:w="1321" w:type="dxa"/>
            <w:tcBorders>
              <w:top w:val="nil"/>
              <w:left w:val="nil"/>
              <w:right w:val="nil"/>
            </w:tcBorders>
          </w:tcPr>
          <w:p w14:paraId="3D63A939" w14:textId="77777777" w:rsidR="00FE2D11" w:rsidRPr="00364F7A" w:rsidRDefault="00FE2D11">
            <w:pPr>
              <w:widowControl w:val="0"/>
              <w:autoSpaceDE w:val="0"/>
              <w:autoSpaceDN w:val="0"/>
              <w:adjustRightInd w:val="0"/>
              <w:jc w:val="center"/>
              <w:rPr>
                <w:rFonts w:ascii="Times New Roman" w:hAnsi="Times New Roman" w:cs="Times New Roman Bold"/>
                <w:sz w:val="21"/>
                <w:lang w:val="fr-FR"/>
              </w:rPr>
            </w:pPr>
            <w:r w:rsidRPr="00364F7A">
              <w:rPr>
                <w:rFonts w:ascii="Times New Roman" w:hAnsi="Times New Roman" w:cs="Times New Roman Bold"/>
                <w:sz w:val="21"/>
                <w:lang w:val="fr-FR"/>
              </w:rPr>
              <w:t>186,577</w:t>
            </w:r>
          </w:p>
        </w:tc>
      </w:tr>
      <w:tr w:rsidR="00FE2D11" w:rsidRPr="00364F7A" w14:paraId="2B2A83CD" w14:textId="77777777" w:rsidTr="00B605C7">
        <w:trPr>
          <w:jc w:val="center"/>
        </w:trPr>
        <w:tc>
          <w:tcPr>
            <w:tcW w:w="1958" w:type="dxa"/>
            <w:tcBorders>
              <w:bottom w:val="double" w:sz="4" w:space="0" w:color="auto"/>
              <w:right w:val="nil"/>
            </w:tcBorders>
          </w:tcPr>
          <w:p w14:paraId="7DAF86EC" w14:textId="77777777" w:rsidR="00FE2D11" w:rsidRPr="00364F7A" w:rsidRDefault="00FE2D11">
            <w:pPr>
              <w:widowControl w:val="0"/>
              <w:autoSpaceDE w:val="0"/>
              <w:autoSpaceDN w:val="0"/>
              <w:adjustRightInd w:val="0"/>
              <w:rPr>
                <w:rFonts w:ascii="Times New Roman" w:hAnsi="Times New Roman" w:cs="Times New Roman Bold"/>
                <w:sz w:val="21"/>
              </w:rPr>
            </w:pPr>
            <w:r w:rsidRPr="00364F7A">
              <w:rPr>
                <w:rFonts w:ascii="Times New Roman" w:hAnsi="Times New Roman" w:cs="Times New Roman Bold"/>
                <w:sz w:val="21"/>
              </w:rPr>
              <w:t>R-squared</w:t>
            </w:r>
          </w:p>
        </w:tc>
        <w:tc>
          <w:tcPr>
            <w:tcW w:w="1436" w:type="dxa"/>
            <w:tcBorders>
              <w:left w:val="nil"/>
              <w:bottom w:val="double" w:sz="4" w:space="0" w:color="auto"/>
              <w:right w:val="nil"/>
            </w:tcBorders>
          </w:tcPr>
          <w:p w14:paraId="51D812D4"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0.1</w:t>
            </w:r>
            <w:r w:rsidR="00815C5C">
              <w:rPr>
                <w:rFonts w:ascii="Times New Roman" w:hAnsi="Times New Roman" w:cs="Times New Roman Bold"/>
                <w:sz w:val="21"/>
              </w:rPr>
              <w:t>38</w:t>
            </w:r>
          </w:p>
        </w:tc>
        <w:tc>
          <w:tcPr>
            <w:tcW w:w="1266" w:type="dxa"/>
            <w:tcBorders>
              <w:left w:val="nil"/>
              <w:bottom w:val="double" w:sz="4" w:space="0" w:color="auto"/>
              <w:right w:val="nil"/>
            </w:tcBorders>
          </w:tcPr>
          <w:p w14:paraId="69573C09"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0.0</w:t>
            </w:r>
            <w:r w:rsidR="00815C5C">
              <w:rPr>
                <w:rFonts w:ascii="Times New Roman" w:hAnsi="Times New Roman" w:cs="Times New Roman Bold"/>
                <w:sz w:val="21"/>
              </w:rPr>
              <w:t>79</w:t>
            </w:r>
          </w:p>
        </w:tc>
        <w:tc>
          <w:tcPr>
            <w:tcW w:w="1267" w:type="dxa"/>
            <w:tcBorders>
              <w:left w:val="nil"/>
              <w:bottom w:val="double" w:sz="4" w:space="0" w:color="auto"/>
              <w:right w:val="nil"/>
            </w:tcBorders>
          </w:tcPr>
          <w:p w14:paraId="52A70A1F"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0.0</w:t>
            </w:r>
            <w:r w:rsidR="00815C5C">
              <w:rPr>
                <w:rFonts w:ascii="Times New Roman" w:hAnsi="Times New Roman" w:cs="Times New Roman Bold"/>
                <w:sz w:val="21"/>
              </w:rPr>
              <w:t>59</w:t>
            </w:r>
          </w:p>
        </w:tc>
        <w:tc>
          <w:tcPr>
            <w:tcW w:w="1266" w:type="dxa"/>
            <w:tcBorders>
              <w:left w:val="nil"/>
              <w:bottom w:val="double" w:sz="4" w:space="0" w:color="auto"/>
              <w:right w:val="nil"/>
            </w:tcBorders>
          </w:tcPr>
          <w:p w14:paraId="6D3C33D5"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0.1</w:t>
            </w:r>
            <w:r w:rsidR="00815C5C">
              <w:rPr>
                <w:rFonts w:ascii="Times New Roman" w:hAnsi="Times New Roman" w:cs="Times New Roman Bold"/>
                <w:sz w:val="21"/>
              </w:rPr>
              <w:t>04</w:t>
            </w:r>
          </w:p>
        </w:tc>
        <w:tc>
          <w:tcPr>
            <w:tcW w:w="1266" w:type="dxa"/>
            <w:tcBorders>
              <w:left w:val="nil"/>
              <w:bottom w:val="double" w:sz="4" w:space="0" w:color="auto"/>
              <w:right w:val="nil"/>
            </w:tcBorders>
          </w:tcPr>
          <w:p w14:paraId="399D53C9" w14:textId="77777777" w:rsidR="00FE2D11" w:rsidRPr="00364F7A" w:rsidRDefault="00FE2D11">
            <w:pPr>
              <w:widowControl w:val="0"/>
              <w:autoSpaceDE w:val="0"/>
              <w:autoSpaceDN w:val="0"/>
              <w:adjustRightInd w:val="0"/>
              <w:jc w:val="center"/>
              <w:rPr>
                <w:rFonts w:ascii="Times New Roman" w:hAnsi="Times New Roman" w:cs="Times New Roman Bold"/>
                <w:sz w:val="21"/>
              </w:rPr>
            </w:pPr>
            <w:r w:rsidRPr="00364F7A">
              <w:rPr>
                <w:rFonts w:ascii="Times New Roman" w:hAnsi="Times New Roman" w:cs="Times New Roman Bold"/>
                <w:sz w:val="21"/>
              </w:rPr>
              <w:t>0.002</w:t>
            </w:r>
          </w:p>
        </w:tc>
        <w:tc>
          <w:tcPr>
            <w:tcW w:w="1321" w:type="dxa"/>
            <w:tcBorders>
              <w:left w:val="nil"/>
              <w:bottom w:val="double" w:sz="4" w:space="0" w:color="auto"/>
            </w:tcBorders>
          </w:tcPr>
          <w:p w14:paraId="63A424F4" w14:textId="77777777" w:rsidR="00FE2D11" w:rsidRPr="00364F7A" w:rsidRDefault="00FE2D11">
            <w:pPr>
              <w:widowControl w:val="0"/>
              <w:autoSpaceDE w:val="0"/>
              <w:autoSpaceDN w:val="0"/>
              <w:adjustRightInd w:val="0"/>
              <w:jc w:val="center"/>
              <w:rPr>
                <w:rFonts w:ascii="Times New Roman" w:hAnsi="Times New Roman" w:cs="Times New Roman Bold"/>
                <w:sz w:val="21"/>
                <w:lang w:val="fr-FR"/>
              </w:rPr>
            </w:pPr>
            <w:r w:rsidRPr="00364F7A">
              <w:rPr>
                <w:rFonts w:ascii="Times New Roman" w:hAnsi="Times New Roman" w:cs="Times New Roman Bold"/>
                <w:sz w:val="21"/>
                <w:lang w:val="fr-FR"/>
              </w:rPr>
              <w:t>0.003</w:t>
            </w:r>
          </w:p>
        </w:tc>
      </w:tr>
    </w:tbl>
    <w:p w14:paraId="190F1D2D" w14:textId="77777777" w:rsidR="00FE2D11" w:rsidRPr="00702114" w:rsidRDefault="00FE2D11" w:rsidP="00B605C7">
      <w:pPr>
        <w:widowControl w:val="0"/>
        <w:autoSpaceDE w:val="0"/>
        <w:autoSpaceDN w:val="0"/>
        <w:adjustRightInd w:val="0"/>
        <w:rPr>
          <w:rFonts w:ascii="Times New Roman" w:hAnsi="Times New Roman" w:cs="Times New Roman Bold"/>
          <w:sz w:val="18"/>
        </w:rPr>
      </w:pPr>
      <w:r w:rsidRPr="00702114">
        <w:rPr>
          <w:rFonts w:ascii="Times New Roman" w:hAnsi="Times New Roman" w:cs="Times New Roman Bold"/>
          <w:sz w:val="18"/>
        </w:rPr>
        <w:t>[a] Robust standard errors in par</w:t>
      </w:r>
      <w:r w:rsidR="00390D05">
        <w:rPr>
          <w:rFonts w:ascii="Times New Roman" w:hAnsi="Times New Roman" w:cs="Times New Roman Bold"/>
          <w:sz w:val="18"/>
        </w:rPr>
        <w:t>e</w:t>
      </w:r>
      <w:r w:rsidRPr="00702114">
        <w:rPr>
          <w:rFonts w:ascii="Times New Roman" w:hAnsi="Times New Roman" w:cs="Times New Roman Bold"/>
          <w:sz w:val="18"/>
        </w:rPr>
        <w:t xml:space="preserve">ntheses. </w:t>
      </w:r>
    </w:p>
    <w:p w14:paraId="73DF08AF" w14:textId="77777777" w:rsidR="00FE2D11" w:rsidRPr="00702114" w:rsidRDefault="00FE2D11" w:rsidP="00B605C7">
      <w:pPr>
        <w:widowControl w:val="0"/>
        <w:autoSpaceDE w:val="0"/>
        <w:autoSpaceDN w:val="0"/>
        <w:adjustRightInd w:val="0"/>
        <w:rPr>
          <w:rFonts w:ascii="Times New Roman" w:hAnsi="Times New Roman" w:cs="Times New Roman Bold"/>
          <w:sz w:val="18"/>
        </w:rPr>
      </w:pPr>
      <w:r w:rsidRPr="00702114">
        <w:rPr>
          <w:rFonts w:ascii="Times New Roman" w:hAnsi="Times New Roman" w:cs="Times New Roman Bold"/>
          <w:sz w:val="18"/>
        </w:rPr>
        <w:t>[b] All income and expenditure variables are expressed in dollars of 2002</w:t>
      </w:r>
    </w:p>
    <w:p w14:paraId="4E5D0A66" w14:textId="77777777" w:rsidR="00FE2D11" w:rsidRPr="008921B0" w:rsidRDefault="00FE2D11" w:rsidP="00B605C7">
      <w:pPr>
        <w:widowControl w:val="0"/>
        <w:autoSpaceDE w:val="0"/>
        <w:autoSpaceDN w:val="0"/>
        <w:adjustRightInd w:val="0"/>
        <w:rPr>
          <w:rFonts w:ascii="Times New Roman" w:hAnsi="Times New Roman" w:cs="Times New Roman Bold"/>
          <w:sz w:val="18"/>
          <w:lang w:val="en-US"/>
        </w:rPr>
      </w:pPr>
      <w:r w:rsidRPr="00702114">
        <w:rPr>
          <w:rFonts w:ascii="Times New Roman" w:hAnsi="Times New Roman" w:cs="Times New Roman Bold"/>
          <w:sz w:val="18"/>
        </w:rPr>
        <w:t>[c] All regressions are estimated using sampling</w:t>
      </w:r>
      <w:r w:rsidRPr="008921B0">
        <w:rPr>
          <w:rFonts w:ascii="Times New Roman" w:hAnsi="Times New Roman" w:cs="Times New Roman Bold"/>
          <w:sz w:val="18"/>
          <w:lang w:val="en-US"/>
        </w:rPr>
        <w:t xml:space="preserve"> weights</w:t>
      </w:r>
    </w:p>
    <w:p w14:paraId="6264C963" w14:textId="77777777" w:rsidR="00FE2D11" w:rsidRPr="008921B0" w:rsidRDefault="00FE2D11" w:rsidP="00B605C7">
      <w:pPr>
        <w:widowControl w:val="0"/>
        <w:autoSpaceDE w:val="0"/>
        <w:autoSpaceDN w:val="0"/>
        <w:adjustRightInd w:val="0"/>
        <w:rPr>
          <w:rFonts w:ascii="Times New Roman" w:hAnsi="Times New Roman" w:cs="Times New Roman Bold"/>
          <w:sz w:val="18"/>
          <w:lang w:val="en-US"/>
        </w:rPr>
      </w:pPr>
      <w:r w:rsidRPr="008921B0">
        <w:rPr>
          <w:rFonts w:ascii="Times New Roman" w:hAnsi="Times New Roman" w:cs="Times New Roman Bold"/>
          <w:sz w:val="18"/>
          <w:lang w:val="en-US"/>
        </w:rPr>
        <w:t xml:space="preserve">[d] Data from the Survey of Household </w:t>
      </w:r>
      <w:r w:rsidR="00052AA1">
        <w:rPr>
          <w:rFonts w:ascii="Times New Roman" w:hAnsi="Times New Roman" w:cs="Times New Roman Bold"/>
          <w:sz w:val="18"/>
          <w:lang w:val="en-US"/>
        </w:rPr>
        <w:t>Spending</w:t>
      </w:r>
      <w:r w:rsidRPr="008921B0">
        <w:rPr>
          <w:rFonts w:ascii="Times New Roman" w:hAnsi="Times New Roman" w:cs="Times New Roman Bold"/>
          <w:sz w:val="18"/>
          <w:lang w:val="en-US"/>
        </w:rPr>
        <w:t>, excluding observations for territories</w:t>
      </w:r>
    </w:p>
    <w:p w14:paraId="4F8ECF1A" w14:textId="77777777" w:rsidR="00FE2D11" w:rsidRPr="008921B0" w:rsidRDefault="00FE2D11" w:rsidP="00B605C7">
      <w:pPr>
        <w:widowControl w:val="0"/>
        <w:autoSpaceDE w:val="0"/>
        <w:autoSpaceDN w:val="0"/>
        <w:adjustRightInd w:val="0"/>
        <w:rPr>
          <w:rFonts w:ascii="Times New Roman" w:hAnsi="Times New Roman" w:cs="Times New Roman Bold"/>
          <w:b/>
          <w:sz w:val="22"/>
          <w:lang w:val="en-US"/>
        </w:rPr>
      </w:pPr>
      <w:r w:rsidRPr="008921B0">
        <w:rPr>
          <w:rFonts w:ascii="Times New Roman" w:hAnsi="Times New Roman" w:cs="Times New Roman Bold"/>
          <w:b/>
          <w:sz w:val="22"/>
          <w:lang w:val="en-US"/>
        </w:rPr>
        <w:br w:type="page"/>
      </w:r>
    </w:p>
    <w:p w14:paraId="34AC071E" w14:textId="77777777" w:rsidR="00FE2D11" w:rsidRDefault="00FE2D11" w:rsidP="00B605C7">
      <w:pPr>
        <w:widowControl w:val="0"/>
        <w:autoSpaceDE w:val="0"/>
        <w:autoSpaceDN w:val="0"/>
        <w:adjustRightInd w:val="0"/>
        <w:rPr>
          <w:rFonts w:ascii="Times New Roman" w:hAnsi="Times New Roman" w:cs="Times New Roman Bold"/>
          <w:b/>
          <w:sz w:val="22"/>
        </w:rPr>
      </w:pPr>
      <w:r w:rsidRPr="008921B0">
        <w:rPr>
          <w:rFonts w:ascii="Times New Roman" w:hAnsi="Times New Roman" w:cs="Times New Roman Bold"/>
          <w:b/>
          <w:sz w:val="22"/>
          <w:lang w:val="en-US"/>
        </w:rPr>
        <w:lastRenderedPageBreak/>
        <w:t xml:space="preserve">Table </w:t>
      </w:r>
      <w:r w:rsidR="004D5D27">
        <w:rPr>
          <w:rFonts w:ascii="Times New Roman" w:hAnsi="Times New Roman" w:cs="Times New Roman Bold"/>
          <w:b/>
          <w:sz w:val="22"/>
          <w:lang w:val="en-US"/>
        </w:rPr>
        <w:t>8</w:t>
      </w:r>
      <w:r w:rsidRPr="008921B0">
        <w:rPr>
          <w:rFonts w:ascii="Times New Roman" w:hAnsi="Times New Roman" w:cs="Times New Roman Bold"/>
          <w:b/>
          <w:sz w:val="22"/>
          <w:lang w:val="en-US"/>
        </w:rPr>
        <w:t xml:space="preserve"> : </w:t>
      </w:r>
      <w:r>
        <w:rPr>
          <w:rFonts w:ascii="Times New Roman" w:hAnsi="Times New Roman" w:cs="Times New Roman Bold"/>
          <w:b/>
          <w:sz w:val="22"/>
        </w:rPr>
        <w:t>H</w:t>
      </w:r>
      <w:r w:rsidRPr="00702114">
        <w:rPr>
          <w:rFonts w:ascii="Times New Roman" w:hAnsi="Times New Roman" w:cs="Times New Roman Bold"/>
          <w:b/>
          <w:sz w:val="22"/>
        </w:rPr>
        <w:t xml:space="preserve">ousehold </w:t>
      </w:r>
      <w:proofErr w:type="spellStart"/>
      <w:r>
        <w:rPr>
          <w:rFonts w:ascii="Times New Roman" w:hAnsi="Times New Roman" w:cs="Times New Roman Bold"/>
          <w:b/>
          <w:sz w:val="22"/>
        </w:rPr>
        <w:t>fractiles</w:t>
      </w:r>
      <w:proofErr w:type="spellEnd"/>
      <w:r>
        <w:rPr>
          <w:rFonts w:ascii="Times New Roman" w:hAnsi="Times New Roman" w:cs="Times New Roman Bold"/>
          <w:b/>
          <w:sz w:val="22"/>
        </w:rPr>
        <w:t xml:space="preserve"> on health expenditure, with interactions between year effects </w:t>
      </w:r>
    </w:p>
    <w:tbl>
      <w:tblPr>
        <w:tblW w:w="10072" w:type="dxa"/>
        <w:jc w:val="center"/>
        <w:tblLayout w:type="fixed"/>
        <w:tblCellMar>
          <w:left w:w="75" w:type="dxa"/>
          <w:right w:w="75" w:type="dxa"/>
        </w:tblCellMar>
        <w:tblLook w:val="0000" w:firstRow="0" w:lastRow="0" w:firstColumn="0" w:lastColumn="0" w:noHBand="0" w:noVBand="0"/>
      </w:tblPr>
      <w:tblGrid>
        <w:gridCol w:w="2041"/>
        <w:gridCol w:w="1338"/>
        <w:gridCol w:w="1339"/>
        <w:gridCol w:w="1338"/>
        <w:gridCol w:w="1339"/>
        <w:gridCol w:w="1338"/>
        <w:gridCol w:w="1339"/>
      </w:tblGrid>
      <w:tr w:rsidR="00FE2D11" w:rsidRPr="001477D9" w14:paraId="29DE4822" w14:textId="77777777" w:rsidTr="00B76046">
        <w:trPr>
          <w:jc w:val="center"/>
        </w:trPr>
        <w:tc>
          <w:tcPr>
            <w:tcW w:w="2041" w:type="dxa"/>
            <w:tcBorders>
              <w:top w:val="double" w:sz="4" w:space="0" w:color="auto"/>
              <w:left w:val="nil"/>
              <w:bottom w:val="nil"/>
              <w:right w:val="nil"/>
            </w:tcBorders>
          </w:tcPr>
          <w:p w14:paraId="4699C83D" w14:textId="77777777" w:rsidR="00FE2D11" w:rsidRPr="001477D9" w:rsidRDefault="00FE2D11">
            <w:pPr>
              <w:widowControl w:val="0"/>
              <w:autoSpaceDE w:val="0"/>
              <w:autoSpaceDN w:val="0"/>
              <w:adjustRightInd w:val="0"/>
              <w:rPr>
                <w:rFonts w:ascii="Times New Roman" w:hAnsi="Times New Roman" w:cs="Times New Roman Bold"/>
                <w:b/>
                <w:sz w:val="21"/>
              </w:rPr>
            </w:pPr>
          </w:p>
        </w:tc>
        <w:tc>
          <w:tcPr>
            <w:tcW w:w="1338" w:type="dxa"/>
            <w:tcBorders>
              <w:top w:val="double" w:sz="4" w:space="0" w:color="auto"/>
              <w:left w:val="nil"/>
              <w:bottom w:val="nil"/>
              <w:right w:val="nil"/>
            </w:tcBorders>
          </w:tcPr>
          <w:p w14:paraId="14A3AACC"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(1)</w:t>
            </w:r>
          </w:p>
        </w:tc>
        <w:tc>
          <w:tcPr>
            <w:tcW w:w="1339" w:type="dxa"/>
            <w:tcBorders>
              <w:top w:val="double" w:sz="4" w:space="0" w:color="auto"/>
              <w:left w:val="nil"/>
              <w:bottom w:val="nil"/>
              <w:right w:val="nil"/>
            </w:tcBorders>
          </w:tcPr>
          <w:p w14:paraId="65DC1765"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(2)</w:t>
            </w:r>
          </w:p>
        </w:tc>
        <w:tc>
          <w:tcPr>
            <w:tcW w:w="1338" w:type="dxa"/>
            <w:tcBorders>
              <w:top w:val="double" w:sz="4" w:space="0" w:color="auto"/>
              <w:left w:val="nil"/>
              <w:bottom w:val="nil"/>
              <w:right w:val="nil"/>
            </w:tcBorders>
          </w:tcPr>
          <w:p w14:paraId="477A5BE0"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(3)</w:t>
            </w:r>
          </w:p>
        </w:tc>
        <w:tc>
          <w:tcPr>
            <w:tcW w:w="1339" w:type="dxa"/>
            <w:tcBorders>
              <w:top w:val="double" w:sz="4" w:space="0" w:color="auto"/>
              <w:left w:val="nil"/>
              <w:bottom w:val="nil"/>
              <w:right w:val="nil"/>
            </w:tcBorders>
          </w:tcPr>
          <w:p w14:paraId="3C238694"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(4)</w:t>
            </w:r>
          </w:p>
        </w:tc>
        <w:tc>
          <w:tcPr>
            <w:tcW w:w="1338" w:type="dxa"/>
            <w:tcBorders>
              <w:top w:val="double" w:sz="4" w:space="0" w:color="auto"/>
              <w:left w:val="nil"/>
              <w:bottom w:val="nil"/>
              <w:right w:val="nil"/>
            </w:tcBorders>
          </w:tcPr>
          <w:p w14:paraId="39EEAC50"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(5)</w:t>
            </w:r>
          </w:p>
        </w:tc>
        <w:tc>
          <w:tcPr>
            <w:tcW w:w="1339" w:type="dxa"/>
            <w:tcBorders>
              <w:top w:val="double" w:sz="4" w:space="0" w:color="auto"/>
              <w:left w:val="nil"/>
              <w:bottom w:val="nil"/>
              <w:right w:val="nil"/>
            </w:tcBorders>
          </w:tcPr>
          <w:p w14:paraId="14555D05"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(6)</w:t>
            </w:r>
          </w:p>
        </w:tc>
      </w:tr>
      <w:tr w:rsidR="00FE2D11" w:rsidRPr="001477D9" w14:paraId="46341B52" w14:textId="77777777" w:rsidTr="00B76046">
        <w:trPr>
          <w:jc w:val="center"/>
        </w:trPr>
        <w:tc>
          <w:tcPr>
            <w:tcW w:w="2041" w:type="dxa"/>
            <w:tcBorders>
              <w:top w:val="nil"/>
              <w:left w:val="nil"/>
              <w:bottom w:val="single" w:sz="4" w:space="0" w:color="auto"/>
              <w:right w:val="nil"/>
            </w:tcBorders>
          </w:tcPr>
          <w:p w14:paraId="4F82067C" w14:textId="77777777" w:rsidR="00FE2D11" w:rsidRPr="001477D9" w:rsidRDefault="00FE2D11">
            <w:pPr>
              <w:widowControl w:val="0"/>
              <w:autoSpaceDE w:val="0"/>
              <w:autoSpaceDN w:val="0"/>
              <w:adjustRightInd w:val="0"/>
              <w:rPr>
                <w:rFonts w:ascii="Times New Roman" w:hAnsi="Times New Roman" w:cs="Times New Roman Bold"/>
                <w:b/>
                <w:sz w:val="21"/>
              </w:rPr>
            </w:pPr>
          </w:p>
        </w:tc>
        <w:tc>
          <w:tcPr>
            <w:tcW w:w="1338" w:type="dxa"/>
            <w:tcBorders>
              <w:top w:val="nil"/>
              <w:left w:val="nil"/>
              <w:bottom w:val="single" w:sz="4" w:space="0" w:color="auto"/>
              <w:right w:val="nil"/>
            </w:tcBorders>
          </w:tcPr>
          <w:p w14:paraId="4A3F9D7C"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Health care</w:t>
            </w:r>
          </w:p>
        </w:tc>
        <w:tc>
          <w:tcPr>
            <w:tcW w:w="1339" w:type="dxa"/>
            <w:tcBorders>
              <w:top w:val="nil"/>
              <w:left w:val="nil"/>
              <w:bottom w:val="single" w:sz="4" w:space="0" w:color="auto"/>
              <w:right w:val="nil"/>
            </w:tcBorders>
          </w:tcPr>
          <w:p w14:paraId="0589811B" w14:textId="77777777" w:rsidR="00FE2D11" w:rsidRPr="001477D9" w:rsidRDefault="00FE2D11" w:rsidP="00B605C7">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Direct health </w:t>
            </w:r>
          </w:p>
          <w:p w14:paraId="072AA13C" w14:textId="77777777" w:rsidR="00FE2D11" w:rsidRPr="001477D9" w:rsidRDefault="00FE2D11" w:rsidP="00B605C7">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care costs </w:t>
            </w:r>
          </w:p>
        </w:tc>
        <w:tc>
          <w:tcPr>
            <w:tcW w:w="1338" w:type="dxa"/>
            <w:tcBorders>
              <w:top w:val="nil"/>
              <w:left w:val="nil"/>
              <w:bottom w:val="single" w:sz="4" w:space="0" w:color="auto"/>
              <w:right w:val="nil"/>
            </w:tcBorders>
          </w:tcPr>
          <w:p w14:paraId="097825A9"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Prescription </w:t>
            </w:r>
          </w:p>
          <w:p w14:paraId="614973F9"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drugs</w:t>
            </w:r>
          </w:p>
        </w:tc>
        <w:tc>
          <w:tcPr>
            <w:tcW w:w="1339" w:type="dxa"/>
            <w:tcBorders>
              <w:top w:val="nil"/>
              <w:left w:val="nil"/>
              <w:bottom w:val="single" w:sz="4" w:space="0" w:color="auto"/>
              <w:right w:val="nil"/>
            </w:tcBorders>
          </w:tcPr>
          <w:p w14:paraId="59F2FE68"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Private</w:t>
            </w:r>
          </w:p>
          <w:p w14:paraId="5A16CBA6"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 xml:space="preserve"> insurance</w:t>
            </w:r>
          </w:p>
        </w:tc>
        <w:tc>
          <w:tcPr>
            <w:tcW w:w="1338" w:type="dxa"/>
            <w:tcBorders>
              <w:top w:val="nil"/>
              <w:left w:val="nil"/>
              <w:bottom w:val="single" w:sz="4" w:space="0" w:color="auto"/>
              <w:right w:val="nil"/>
            </w:tcBorders>
          </w:tcPr>
          <w:p w14:paraId="378F806A"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Hospital &amp; residential facilities</w:t>
            </w:r>
          </w:p>
        </w:tc>
        <w:tc>
          <w:tcPr>
            <w:tcW w:w="1339" w:type="dxa"/>
            <w:tcBorders>
              <w:top w:val="nil"/>
              <w:left w:val="nil"/>
              <w:bottom w:val="single" w:sz="4" w:space="0" w:color="auto"/>
              <w:right w:val="nil"/>
            </w:tcBorders>
          </w:tcPr>
          <w:p w14:paraId="173E2592" w14:textId="77777777" w:rsidR="00FE2D11" w:rsidRPr="001477D9" w:rsidRDefault="00FE2D11">
            <w:pPr>
              <w:widowControl w:val="0"/>
              <w:autoSpaceDE w:val="0"/>
              <w:autoSpaceDN w:val="0"/>
              <w:adjustRightInd w:val="0"/>
              <w:jc w:val="center"/>
              <w:rPr>
                <w:rFonts w:ascii="Times New Roman" w:hAnsi="Times New Roman" w:cs="Times New Roman Bold"/>
                <w:sz w:val="21"/>
              </w:rPr>
            </w:pPr>
            <w:r w:rsidRPr="001477D9">
              <w:rPr>
                <w:rFonts w:ascii="Times New Roman" w:hAnsi="Times New Roman" w:cs="Times New Roman Bold"/>
                <w:sz w:val="21"/>
              </w:rPr>
              <w:t>Physician care</w:t>
            </w:r>
          </w:p>
        </w:tc>
      </w:tr>
      <w:tr w:rsidR="00330E0D" w:rsidRPr="00C14FA5" w14:paraId="11E6D39C" w14:textId="77777777" w:rsidTr="00B76046">
        <w:trPr>
          <w:jc w:val="center"/>
        </w:trPr>
        <w:tc>
          <w:tcPr>
            <w:tcW w:w="2041" w:type="dxa"/>
            <w:tcBorders>
              <w:top w:val="nil"/>
              <w:left w:val="nil"/>
              <w:bottom w:val="nil"/>
              <w:right w:val="nil"/>
            </w:tcBorders>
          </w:tcPr>
          <w:p w14:paraId="5808E4FD"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sidRPr="00C14FA5">
              <w:rPr>
                <w:rFonts w:ascii="Times New Roman" w:hAnsi="Times New Roman" w:cs="Times New Roman Bold"/>
                <w:sz w:val="21"/>
              </w:rPr>
              <w:t>Top 10%</w:t>
            </w:r>
          </w:p>
        </w:tc>
        <w:tc>
          <w:tcPr>
            <w:tcW w:w="1338" w:type="dxa"/>
            <w:tcBorders>
              <w:top w:val="nil"/>
              <w:left w:val="nil"/>
              <w:bottom w:val="nil"/>
              <w:right w:val="nil"/>
            </w:tcBorders>
          </w:tcPr>
          <w:p w14:paraId="6845B3B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637.213***</w:t>
            </w:r>
          </w:p>
        </w:tc>
        <w:tc>
          <w:tcPr>
            <w:tcW w:w="1339" w:type="dxa"/>
            <w:tcBorders>
              <w:top w:val="nil"/>
              <w:left w:val="nil"/>
              <w:bottom w:val="nil"/>
              <w:right w:val="nil"/>
            </w:tcBorders>
          </w:tcPr>
          <w:p w14:paraId="550BA22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375.369***</w:t>
            </w:r>
          </w:p>
        </w:tc>
        <w:tc>
          <w:tcPr>
            <w:tcW w:w="1338" w:type="dxa"/>
            <w:tcBorders>
              <w:top w:val="nil"/>
              <w:left w:val="nil"/>
              <w:bottom w:val="nil"/>
              <w:right w:val="nil"/>
            </w:tcBorders>
          </w:tcPr>
          <w:p w14:paraId="3A59BBD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-21.519</w:t>
            </w:r>
          </w:p>
        </w:tc>
        <w:tc>
          <w:tcPr>
            <w:tcW w:w="1339" w:type="dxa"/>
            <w:tcBorders>
              <w:top w:val="nil"/>
              <w:left w:val="nil"/>
              <w:bottom w:val="nil"/>
              <w:right w:val="nil"/>
            </w:tcBorders>
          </w:tcPr>
          <w:p w14:paraId="1F880DF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217.736***</w:t>
            </w:r>
          </w:p>
        </w:tc>
        <w:tc>
          <w:tcPr>
            <w:tcW w:w="1338" w:type="dxa"/>
            <w:tcBorders>
              <w:top w:val="nil"/>
              <w:left w:val="nil"/>
              <w:bottom w:val="nil"/>
              <w:right w:val="nil"/>
            </w:tcBorders>
          </w:tcPr>
          <w:p w14:paraId="418D3F1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19.969</w:t>
            </w:r>
          </w:p>
        </w:tc>
        <w:tc>
          <w:tcPr>
            <w:tcW w:w="1339" w:type="dxa"/>
            <w:tcBorders>
              <w:top w:val="nil"/>
              <w:left w:val="nil"/>
              <w:bottom w:val="nil"/>
              <w:right w:val="nil"/>
            </w:tcBorders>
          </w:tcPr>
          <w:p w14:paraId="62B9EDD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32.245*</w:t>
            </w:r>
          </w:p>
        </w:tc>
      </w:tr>
      <w:tr w:rsidR="00330E0D" w:rsidRPr="00C14FA5" w14:paraId="59029188" w14:textId="77777777" w:rsidTr="00B76046">
        <w:trPr>
          <w:jc w:val="center"/>
        </w:trPr>
        <w:tc>
          <w:tcPr>
            <w:tcW w:w="2041" w:type="dxa"/>
            <w:tcBorders>
              <w:top w:val="nil"/>
              <w:left w:val="nil"/>
              <w:bottom w:val="nil"/>
              <w:right w:val="nil"/>
            </w:tcBorders>
          </w:tcPr>
          <w:p w14:paraId="5F50D479"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p>
        </w:tc>
        <w:tc>
          <w:tcPr>
            <w:tcW w:w="1338" w:type="dxa"/>
            <w:tcBorders>
              <w:top w:val="nil"/>
              <w:left w:val="nil"/>
              <w:bottom w:val="nil"/>
              <w:right w:val="nil"/>
            </w:tcBorders>
          </w:tcPr>
          <w:p w14:paraId="3AF406C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(92.697)</w:t>
            </w:r>
          </w:p>
        </w:tc>
        <w:tc>
          <w:tcPr>
            <w:tcW w:w="1339" w:type="dxa"/>
            <w:tcBorders>
              <w:top w:val="nil"/>
              <w:left w:val="nil"/>
              <w:bottom w:val="nil"/>
              <w:right w:val="nil"/>
            </w:tcBorders>
          </w:tcPr>
          <w:p w14:paraId="3EB45AC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(72.907)</w:t>
            </w:r>
          </w:p>
        </w:tc>
        <w:tc>
          <w:tcPr>
            <w:tcW w:w="1338" w:type="dxa"/>
            <w:tcBorders>
              <w:top w:val="nil"/>
              <w:left w:val="nil"/>
              <w:bottom w:val="nil"/>
              <w:right w:val="nil"/>
            </w:tcBorders>
          </w:tcPr>
          <w:p w14:paraId="280A77E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(20.121)</w:t>
            </w:r>
          </w:p>
        </w:tc>
        <w:tc>
          <w:tcPr>
            <w:tcW w:w="1339" w:type="dxa"/>
            <w:tcBorders>
              <w:top w:val="nil"/>
              <w:left w:val="nil"/>
              <w:bottom w:val="nil"/>
              <w:right w:val="nil"/>
            </w:tcBorders>
          </w:tcPr>
          <w:p w14:paraId="34A5BD7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(40.760)</w:t>
            </w:r>
          </w:p>
        </w:tc>
        <w:tc>
          <w:tcPr>
            <w:tcW w:w="1338" w:type="dxa"/>
            <w:tcBorders>
              <w:top w:val="nil"/>
              <w:left w:val="nil"/>
              <w:bottom w:val="nil"/>
              <w:right w:val="nil"/>
            </w:tcBorders>
          </w:tcPr>
          <w:p w14:paraId="5561758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(14.242)</w:t>
            </w:r>
          </w:p>
        </w:tc>
        <w:tc>
          <w:tcPr>
            <w:tcW w:w="1339" w:type="dxa"/>
            <w:tcBorders>
              <w:top w:val="nil"/>
              <w:left w:val="nil"/>
              <w:bottom w:val="nil"/>
              <w:right w:val="nil"/>
            </w:tcBorders>
          </w:tcPr>
          <w:p w14:paraId="16E7E32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(19.002)</w:t>
            </w:r>
          </w:p>
        </w:tc>
      </w:tr>
      <w:tr w:rsidR="00330E0D" w:rsidRPr="00C14FA5" w14:paraId="7CEA76A6" w14:textId="77777777" w:rsidTr="00B76046">
        <w:trPr>
          <w:trHeight w:val="279"/>
          <w:jc w:val="center"/>
        </w:trPr>
        <w:tc>
          <w:tcPr>
            <w:tcW w:w="2041" w:type="dxa"/>
            <w:tcBorders>
              <w:top w:val="nil"/>
              <w:left w:val="nil"/>
              <w:bottom w:val="nil"/>
              <w:right w:val="nil"/>
            </w:tcBorders>
          </w:tcPr>
          <w:p w14:paraId="5295EEFD"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sidRPr="00C14FA5">
              <w:rPr>
                <w:rFonts w:ascii="Times New Roman" w:hAnsi="Times New Roman" w:cs="Times New Roman Bold"/>
                <w:sz w:val="21"/>
              </w:rPr>
              <w:t>51-90pctile</w:t>
            </w:r>
          </w:p>
        </w:tc>
        <w:tc>
          <w:tcPr>
            <w:tcW w:w="1338" w:type="dxa"/>
            <w:tcBorders>
              <w:top w:val="nil"/>
              <w:left w:val="nil"/>
              <w:bottom w:val="nil"/>
              <w:right w:val="nil"/>
            </w:tcBorders>
          </w:tcPr>
          <w:p w14:paraId="5CFE3EE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292.969***</w:t>
            </w:r>
          </w:p>
        </w:tc>
        <w:tc>
          <w:tcPr>
            <w:tcW w:w="1339" w:type="dxa"/>
            <w:tcBorders>
              <w:top w:val="nil"/>
              <w:left w:val="nil"/>
              <w:bottom w:val="nil"/>
              <w:right w:val="nil"/>
            </w:tcBorders>
          </w:tcPr>
          <w:p w14:paraId="20C0A38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152.711***</w:t>
            </w:r>
          </w:p>
        </w:tc>
        <w:tc>
          <w:tcPr>
            <w:tcW w:w="1338" w:type="dxa"/>
            <w:tcBorders>
              <w:top w:val="nil"/>
              <w:left w:val="nil"/>
              <w:bottom w:val="nil"/>
              <w:right w:val="nil"/>
            </w:tcBorders>
          </w:tcPr>
          <w:p w14:paraId="194D2F1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-27.788**</w:t>
            </w:r>
          </w:p>
        </w:tc>
        <w:tc>
          <w:tcPr>
            <w:tcW w:w="1339" w:type="dxa"/>
            <w:tcBorders>
              <w:top w:val="nil"/>
              <w:left w:val="nil"/>
              <w:bottom w:val="nil"/>
              <w:right w:val="nil"/>
            </w:tcBorders>
          </w:tcPr>
          <w:p w14:paraId="4113FA5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108.680***</w:t>
            </w:r>
          </w:p>
        </w:tc>
        <w:tc>
          <w:tcPr>
            <w:tcW w:w="1338" w:type="dxa"/>
            <w:tcBorders>
              <w:top w:val="nil"/>
              <w:left w:val="nil"/>
              <w:bottom w:val="nil"/>
              <w:right w:val="nil"/>
            </w:tcBorders>
          </w:tcPr>
          <w:p w14:paraId="3677C0E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8.933**</w:t>
            </w:r>
          </w:p>
        </w:tc>
        <w:tc>
          <w:tcPr>
            <w:tcW w:w="1339" w:type="dxa"/>
            <w:tcBorders>
              <w:top w:val="nil"/>
              <w:left w:val="nil"/>
              <w:bottom w:val="nil"/>
              <w:right w:val="nil"/>
            </w:tcBorders>
          </w:tcPr>
          <w:p w14:paraId="2B30744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2.865</w:t>
            </w:r>
          </w:p>
        </w:tc>
      </w:tr>
      <w:tr w:rsidR="00330E0D" w:rsidRPr="00C14FA5" w14:paraId="776CDEAF" w14:textId="77777777" w:rsidTr="00B76046">
        <w:trPr>
          <w:trHeight w:val="278"/>
          <w:jc w:val="center"/>
        </w:trPr>
        <w:tc>
          <w:tcPr>
            <w:tcW w:w="2041" w:type="dxa"/>
            <w:tcBorders>
              <w:top w:val="nil"/>
              <w:left w:val="nil"/>
              <w:bottom w:val="nil"/>
              <w:right w:val="nil"/>
            </w:tcBorders>
          </w:tcPr>
          <w:p w14:paraId="49D6C5DA"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p>
        </w:tc>
        <w:tc>
          <w:tcPr>
            <w:tcW w:w="1338" w:type="dxa"/>
            <w:tcBorders>
              <w:top w:val="nil"/>
              <w:left w:val="nil"/>
              <w:bottom w:val="nil"/>
              <w:right w:val="nil"/>
            </w:tcBorders>
          </w:tcPr>
          <w:p w14:paraId="4F71064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(38.221)</w:t>
            </w:r>
          </w:p>
        </w:tc>
        <w:tc>
          <w:tcPr>
            <w:tcW w:w="1339" w:type="dxa"/>
            <w:tcBorders>
              <w:top w:val="nil"/>
              <w:left w:val="nil"/>
              <w:bottom w:val="nil"/>
              <w:right w:val="nil"/>
            </w:tcBorders>
          </w:tcPr>
          <w:p w14:paraId="3E0B841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(32.164)</w:t>
            </w:r>
          </w:p>
        </w:tc>
        <w:tc>
          <w:tcPr>
            <w:tcW w:w="1338" w:type="dxa"/>
            <w:tcBorders>
              <w:top w:val="nil"/>
              <w:left w:val="nil"/>
              <w:bottom w:val="nil"/>
              <w:right w:val="nil"/>
            </w:tcBorders>
          </w:tcPr>
          <w:p w14:paraId="5AD7A1E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(11.968)</w:t>
            </w:r>
          </w:p>
        </w:tc>
        <w:tc>
          <w:tcPr>
            <w:tcW w:w="1339" w:type="dxa"/>
            <w:tcBorders>
              <w:top w:val="nil"/>
              <w:left w:val="nil"/>
              <w:bottom w:val="nil"/>
              <w:right w:val="nil"/>
            </w:tcBorders>
          </w:tcPr>
          <w:p w14:paraId="1D6AE73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(15.037)</w:t>
            </w:r>
          </w:p>
        </w:tc>
        <w:tc>
          <w:tcPr>
            <w:tcW w:w="1338" w:type="dxa"/>
            <w:tcBorders>
              <w:top w:val="nil"/>
              <w:left w:val="nil"/>
              <w:bottom w:val="nil"/>
              <w:right w:val="nil"/>
            </w:tcBorders>
          </w:tcPr>
          <w:p w14:paraId="29343F8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(4.009)</w:t>
            </w:r>
          </w:p>
        </w:tc>
        <w:tc>
          <w:tcPr>
            <w:tcW w:w="1339" w:type="dxa"/>
            <w:tcBorders>
              <w:top w:val="nil"/>
              <w:left w:val="nil"/>
              <w:bottom w:val="nil"/>
              <w:right w:val="nil"/>
            </w:tcBorders>
          </w:tcPr>
          <w:p w14:paraId="547714F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(3.039)</w:t>
            </w:r>
          </w:p>
        </w:tc>
      </w:tr>
      <w:tr w:rsidR="00330E0D" w:rsidRPr="00C14FA5" w14:paraId="4CA6B392" w14:textId="77777777" w:rsidTr="00B76046">
        <w:trPr>
          <w:trHeight w:val="278"/>
          <w:jc w:val="center"/>
        </w:trPr>
        <w:tc>
          <w:tcPr>
            <w:tcW w:w="2041" w:type="dxa"/>
            <w:tcBorders>
              <w:top w:val="nil"/>
              <w:left w:val="nil"/>
              <w:bottom w:val="nil"/>
              <w:right w:val="nil"/>
            </w:tcBorders>
          </w:tcPr>
          <w:p w14:paraId="26A7E94B"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Pr>
                <w:rFonts w:ascii="Times New Roman" w:hAnsi="Times New Roman" w:cs="Times New Roman Bold"/>
                <w:sz w:val="21"/>
              </w:rPr>
              <w:t>Bottom 20%</w:t>
            </w:r>
          </w:p>
        </w:tc>
        <w:tc>
          <w:tcPr>
            <w:tcW w:w="1338" w:type="dxa"/>
            <w:tcBorders>
              <w:top w:val="nil"/>
              <w:left w:val="nil"/>
              <w:bottom w:val="nil"/>
              <w:right w:val="nil"/>
            </w:tcBorders>
          </w:tcPr>
          <w:p w14:paraId="12ADB6B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-278.557***</w:t>
            </w:r>
          </w:p>
        </w:tc>
        <w:tc>
          <w:tcPr>
            <w:tcW w:w="1339" w:type="dxa"/>
            <w:tcBorders>
              <w:top w:val="nil"/>
              <w:left w:val="nil"/>
              <w:bottom w:val="nil"/>
              <w:right w:val="nil"/>
            </w:tcBorders>
          </w:tcPr>
          <w:p w14:paraId="2D4672F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-157.153***</w:t>
            </w:r>
          </w:p>
        </w:tc>
        <w:tc>
          <w:tcPr>
            <w:tcW w:w="1338" w:type="dxa"/>
            <w:tcBorders>
              <w:top w:val="nil"/>
              <w:left w:val="nil"/>
              <w:bottom w:val="nil"/>
              <w:right w:val="nil"/>
            </w:tcBorders>
          </w:tcPr>
          <w:p w14:paraId="02B5B00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-18.595</w:t>
            </w:r>
          </w:p>
        </w:tc>
        <w:tc>
          <w:tcPr>
            <w:tcW w:w="1339" w:type="dxa"/>
            <w:tcBorders>
              <w:top w:val="nil"/>
              <w:left w:val="nil"/>
              <w:bottom w:val="nil"/>
              <w:right w:val="nil"/>
            </w:tcBorders>
          </w:tcPr>
          <w:p w14:paraId="0F2E896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-87.885***</w:t>
            </w:r>
          </w:p>
        </w:tc>
        <w:tc>
          <w:tcPr>
            <w:tcW w:w="1338" w:type="dxa"/>
            <w:tcBorders>
              <w:top w:val="nil"/>
              <w:left w:val="nil"/>
              <w:bottom w:val="nil"/>
              <w:right w:val="nil"/>
            </w:tcBorders>
          </w:tcPr>
          <w:p w14:paraId="075B241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-0.527</w:t>
            </w:r>
          </w:p>
        </w:tc>
        <w:tc>
          <w:tcPr>
            <w:tcW w:w="1339" w:type="dxa"/>
            <w:tcBorders>
              <w:top w:val="nil"/>
              <w:left w:val="nil"/>
              <w:bottom w:val="nil"/>
              <w:right w:val="nil"/>
            </w:tcBorders>
          </w:tcPr>
          <w:p w14:paraId="4E84831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-2.260</w:t>
            </w:r>
          </w:p>
        </w:tc>
      </w:tr>
      <w:tr w:rsidR="00330E0D" w:rsidRPr="00C14FA5" w14:paraId="54400A00" w14:textId="77777777" w:rsidTr="00B76046">
        <w:trPr>
          <w:trHeight w:val="278"/>
          <w:jc w:val="center"/>
        </w:trPr>
        <w:tc>
          <w:tcPr>
            <w:tcW w:w="2041" w:type="dxa"/>
            <w:tcBorders>
              <w:top w:val="nil"/>
              <w:left w:val="nil"/>
              <w:bottom w:val="nil"/>
              <w:right w:val="nil"/>
            </w:tcBorders>
          </w:tcPr>
          <w:p w14:paraId="3243BF2F"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p>
        </w:tc>
        <w:tc>
          <w:tcPr>
            <w:tcW w:w="1338" w:type="dxa"/>
            <w:tcBorders>
              <w:top w:val="nil"/>
              <w:left w:val="nil"/>
              <w:bottom w:val="nil"/>
              <w:right w:val="nil"/>
            </w:tcBorders>
          </w:tcPr>
          <w:p w14:paraId="6C0A2B1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(32.916)</w:t>
            </w:r>
          </w:p>
        </w:tc>
        <w:tc>
          <w:tcPr>
            <w:tcW w:w="1339" w:type="dxa"/>
            <w:tcBorders>
              <w:top w:val="nil"/>
              <w:left w:val="nil"/>
              <w:bottom w:val="nil"/>
              <w:right w:val="nil"/>
            </w:tcBorders>
          </w:tcPr>
          <w:p w14:paraId="5D22FF7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(29.213)</w:t>
            </w:r>
          </w:p>
        </w:tc>
        <w:tc>
          <w:tcPr>
            <w:tcW w:w="1338" w:type="dxa"/>
            <w:tcBorders>
              <w:top w:val="nil"/>
              <w:left w:val="nil"/>
              <w:bottom w:val="nil"/>
              <w:right w:val="nil"/>
            </w:tcBorders>
          </w:tcPr>
          <w:p w14:paraId="22AF85C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(13.230)</w:t>
            </w:r>
          </w:p>
        </w:tc>
        <w:tc>
          <w:tcPr>
            <w:tcW w:w="1339" w:type="dxa"/>
            <w:tcBorders>
              <w:top w:val="nil"/>
              <w:left w:val="nil"/>
              <w:bottom w:val="nil"/>
              <w:right w:val="nil"/>
            </w:tcBorders>
          </w:tcPr>
          <w:p w14:paraId="42ABB4F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(11.598)</w:t>
            </w:r>
          </w:p>
        </w:tc>
        <w:tc>
          <w:tcPr>
            <w:tcW w:w="1338" w:type="dxa"/>
            <w:tcBorders>
              <w:top w:val="nil"/>
              <w:left w:val="nil"/>
              <w:bottom w:val="nil"/>
              <w:right w:val="nil"/>
            </w:tcBorders>
          </w:tcPr>
          <w:p w14:paraId="504AAF9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(5.400)</w:t>
            </w:r>
          </w:p>
        </w:tc>
        <w:tc>
          <w:tcPr>
            <w:tcW w:w="1339" w:type="dxa"/>
            <w:tcBorders>
              <w:top w:val="nil"/>
              <w:left w:val="nil"/>
              <w:bottom w:val="nil"/>
              <w:right w:val="nil"/>
            </w:tcBorders>
          </w:tcPr>
          <w:p w14:paraId="5C3E11D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(2.390)</w:t>
            </w:r>
          </w:p>
        </w:tc>
      </w:tr>
      <w:tr w:rsidR="00330E0D" w:rsidRPr="00C14FA5" w14:paraId="5E7B0A9B" w14:textId="77777777" w:rsidTr="00B76046">
        <w:trPr>
          <w:jc w:val="center"/>
        </w:trPr>
        <w:tc>
          <w:tcPr>
            <w:tcW w:w="2041" w:type="dxa"/>
            <w:tcBorders>
              <w:top w:val="nil"/>
              <w:left w:val="nil"/>
              <w:bottom w:val="nil"/>
              <w:right w:val="nil"/>
            </w:tcBorders>
          </w:tcPr>
          <w:p w14:paraId="37CC7D1D"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  x  1998</w:t>
            </w:r>
          </w:p>
        </w:tc>
        <w:tc>
          <w:tcPr>
            <w:tcW w:w="1338" w:type="dxa"/>
            <w:tcBorders>
              <w:top w:val="nil"/>
              <w:left w:val="nil"/>
              <w:bottom w:val="nil"/>
              <w:right w:val="nil"/>
            </w:tcBorders>
          </w:tcPr>
          <w:p w14:paraId="3AE8969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-62.049</w:t>
            </w:r>
          </w:p>
        </w:tc>
        <w:tc>
          <w:tcPr>
            <w:tcW w:w="1339" w:type="dxa"/>
            <w:tcBorders>
              <w:top w:val="nil"/>
              <w:left w:val="nil"/>
              <w:bottom w:val="nil"/>
              <w:right w:val="nil"/>
            </w:tcBorders>
          </w:tcPr>
          <w:p w14:paraId="07E58BD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-57.932</w:t>
            </w:r>
          </w:p>
        </w:tc>
        <w:tc>
          <w:tcPr>
            <w:tcW w:w="1338" w:type="dxa"/>
            <w:tcBorders>
              <w:top w:val="nil"/>
              <w:left w:val="nil"/>
              <w:bottom w:val="nil"/>
              <w:right w:val="nil"/>
            </w:tcBorders>
          </w:tcPr>
          <w:p w14:paraId="0C31F24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-13.188</w:t>
            </w:r>
          </w:p>
        </w:tc>
        <w:tc>
          <w:tcPr>
            <w:tcW w:w="1339" w:type="dxa"/>
            <w:tcBorders>
              <w:top w:val="nil"/>
              <w:left w:val="nil"/>
              <w:bottom w:val="nil"/>
              <w:right w:val="nil"/>
            </w:tcBorders>
          </w:tcPr>
          <w:p w14:paraId="7327377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9.724</w:t>
            </w:r>
          </w:p>
        </w:tc>
        <w:tc>
          <w:tcPr>
            <w:tcW w:w="1338" w:type="dxa"/>
            <w:tcBorders>
              <w:top w:val="nil"/>
              <w:left w:val="nil"/>
              <w:bottom w:val="nil"/>
              <w:right w:val="nil"/>
            </w:tcBorders>
          </w:tcPr>
          <w:p w14:paraId="4288F07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-21.741</w:t>
            </w:r>
          </w:p>
        </w:tc>
        <w:tc>
          <w:tcPr>
            <w:tcW w:w="1339" w:type="dxa"/>
            <w:tcBorders>
              <w:top w:val="nil"/>
              <w:left w:val="nil"/>
              <w:bottom w:val="nil"/>
              <w:right w:val="nil"/>
            </w:tcBorders>
          </w:tcPr>
          <w:p w14:paraId="1A7D92F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-25.755</w:t>
            </w:r>
          </w:p>
        </w:tc>
      </w:tr>
      <w:tr w:rsidR="00330E0D" w:rsidRPr="00C14FA5" w14:paraId="6EF96D72" w14:textId="77777777" w:rsidTr="00B76046">
        <w:trPr>
          <w:jc w:val="center"/>
        </w:trPr>
        <w:tc>
          <w:tcPr>
            <w:tcW w:w="2041" w:type="dxa"/>
            <w:tcBorders>
              <w:top w:val="nil"/>
              <w:left w:val="nil"/>
              <w:bottom w:val="nil"/>
              <w:right w:val="nil"/>
            </w:tcBorders>
          </w:tcPr>
          <w:p w14:paraId="3152BB18"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4DE058F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(103.781)</w:t>
            </w:r>
          </w:p>
        </w:tc>
        <w:tc>
          <w:tcPr>
            <w:tcW w:w="1339" w:type="dxa"/>
            <w:tcBorders>
              <w:top w:val="nil"/>
              <w:left w:val="nil"/>
              <w:bottom w:val="nil"/>
              <w:right w:val="nil"/>
            </w:tcBorders>
          </w:tcPr>
          <w:p w14:paraId="32C0EB7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(84.372)</w:t>
            </w:r>
          </w:p>
        </w:tc>
        <w:tc>
          <w:tcPr>
            <w:tcW w:w="1338" w:type="dxa"/>
            <w:tcBorders>
              <w:top w:val="nil"/>
              <w:left w:val="nil"/>
              <w:bottom w:val="nil"/>
              <w:right w:val="nil"/>
            </w:tcBorders>
          </w:tcPr>
          <w:p w14:paraId="2E1727B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(30.577)</w:t>
            </w:r>
          </w:p>
        </w:tc>
        <w:tc>
          <w:tcPr>
            <w:tcW w:w="1339" w:type="dxa"/>
            <w:tcBorders>
              <w:top w:val="nil"/>
              <w:left w:val="nil"/>
              <w:bottom w:val="nil"/>
              <w:right w:val="nil"/>
            </w:tcBorders>
          </w:tcPr>
          <w:p w14:paraId="495BD41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(50.005)</w:t>
            </w:r>
          </w:p>
        </w:tc>
        <w:tc>
          <w:tcPr>
            <w:tcW w:w="1338" w:type="dxa"/>
            <w:tcBorders>
              <w:top w:val="nil"/>
              <w:left w:val="nil"/>
              <w:bottom w:val="nil"/>
              <w:right w:val="nil"/>
            </w:tcBorders>
          </w:tcPr>
          <w:p w14:paraId="62E3BE0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(13.927)</w:t>
            </w:r>
          </w:p>
        </w:tc>
        <w:tc>
          <w:tcPr>
            <w:tcW w:w="1339" w:type="dxa"/>
            <w:tcBorders>
              <w:top w:val="nil"/>
              <w:left w:val="nil"/>
              <w:bottom w:val="nil"/>
              <w:right w:val="nil"/>
            </w:tcBorders>
          </w:tcPr>
          <w:p w14:paraId="55FD3C2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(22.677)</w:t>
            </w:r>
          </w:p>
        </w:tc>
      </w:tr>
      <w:tr w:rsidR="00330E0D" w:rsidRPr="00C14FA5" w14:paraId="0345152B" w14:textId="77777777" w:rsidTr="00B76046">
        <w:trPr>
          <w:jc w:val="center"/>
        </w:trPr>
        <w:tc>
          <w:tcPr>
            <w:tcW w:w="2041" w:type="dxa"/>
            <w:tcBorders>
              <w:top w:val="nil"/>
              <w:left w:val="nil"/>
              <w:bottom w:val="nil"/>
              <w:right w:val="nil"/>
            </w:tcBorders>
          </w:tcPr>
          <w:p w14:paraId="71E8A0FA"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10 %  x  1999</w:t>
            </w:r>
          </w:p>
        </w:tc>
        <w:tc>
          <w:tcPr>
            <w:tcW w:w="1338" w:type="dxa"/>
            <w:tcBorders>
              <w:top w:val="nil"/>
              <w:left w:val="nil"/>
              <w:bottom w:val="nil"/>
              <w:right w:val="nil"/>
            </w:tcBorders>
          </w:tcPr>
          <w:p w14:paraId="04748CB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-60.475</w:t>
            </w:r>
          </w:p>
        </w:tc>
        <w:tc>
          <w:tcPr>
            <w:tcW w:w="1339" w:type="dxa"/>
            <w:tcBorders>
              <w:top w:val="nil"/>
              <w:left w:val="nil"/>
              <w:bottom w:val="nil"/>
              <w:right w:val="nil"/>
            </w:tcBorders>
          </w:tcPr>
          <w:p w14:paraId="0645E4C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-37.234</w:t>
            </w:r>
          </w:p>
        </w:tc>
        <w:tc>
          <w:tcPr>
            <w:tcW w:w="1338" w:type="dxa"/>
            <w:tcBorders>
              <w:top w:val="nil"/>
              <w:left w:val="nil"/>
              <w:bottom w:val="nil"/>
              <w:right w:val="nil"/>
            </w:tcBorders>
          </w:tcPr>
          <w:p w14:paraId="4266598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-40.231*</w:t>
            </w:r>
          </w:p>
        </w:tc>
        <w:tc>
          <w:tcPr>
            <w:tcW w:w="1339" w:type="dxa"/>
            <w:tcBorders>
              <w:top w:val="nil"/>
              <w:left w:val="nil"/>
              <w:bottom w:val="nil"/>
              <w:right w:val="nil"/>
            </w:tcBorders>
          </w:tcPr>
          <w:p w14:paraId="6B860CA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8.447</w:t>
            </w:r>
          </w:p>
        </w:tc>
        <w:tc>
          <w:tcPr>
            <w:tcW w:w="1338" w:type="dxa"/>
            <w:tcBorders>
              <w:top w:val="nil"/>
              <w:left w:val="nil"/>
              <w:bottom w:val="nil"/>
              <w:right w:val="nil"/>
            </w:tcBorders>
          </w:tcPr>
          <w:p w14:paraId="109F3BE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-14.239</w:t>
            </w:r>
          </w:p>
        </w:tc>
        <w:tc>
          <w:tcPr>
            <w:tcW w:w="1339" w:type="dxa"/>
            <w:tcBorders>
              <w:top w:val="nil"/>
              <w:left w:val="nil"/>
              <w:bottom w:val="nil"/>
              <w:right w:val="nil"/>
            </w:tcBorders>
          </w:tcPr>
          <w:p w14:paraId="47C8F3F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-18.785</w:t>
            </w:r>
          </w:p>
        </w:tc>
      </w:tr>
      <w:tr w:rsidR="00330E0D" w:rsidRPr="005B36B1" w14:paraId="6EB84B02" w14:textId="77777777" w:rsidTr="00B76046">
        <w:trPr>
          <w:jc w:val="center"/>
        </w:trPr>
        <w:tc>
          <w:tcPr>
            <w:tcW w:w="2041" w:type="dxa"/>
            <w:tcBorders>
              <w:top w:val="nil"/>
              <w:left w:val="nil"/>
              <w:bottom w:val="nil"/>
              <w:right w:val="nil"/>
            </w:tcBorders>
          </w:tcPr>
          <w:p w14:paraId="0C49C773"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05753C6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(113.691)</w:t>
            </w:r>
          </w:p>
        </w:tc>
        <w:tc>
          <w:tcPr>
            <w:tcW w:w="1339" w:type="dxa"/>
            <w:tcBorders>
              <w:top w:val="nil"/>
              <w:left w:val="nil"/>
              <w:bottom w:val="nil"/>
              <w:right w:val="nil"/>
            </w:tcBorders>
          </w:tcPr>
          <w:p w14:paraId="7D9C148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(95.328)</w:t>
            </w:r>
          </w:p>
        </w:tc>
        <w:tc>
          <w:tcPr>
            <w:tcW w:w="1338" w:type="dxa"/>
            <w:tcBorders>
              <w:top w:val="nil"/>
              <w:left w:val="nil"/>
              <w:bottom w:val="nil"/>
              <w:right w:val="nil"/>
            </w:tcBorders>
          </w:tcPr>
          <w:p w14:paraId="67CC620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(24.414)</w:t>
            </w:r>
          </w:p>
        </w:tc>
        <w:tc>
          <w:tcPr>
            <w:tcW w:w="1339" w:type="dxa"/>
            <w:tcBorders>
              <w:top w:val="nil"/>
              <w:left w:val="nil"/>
              <w:bottom w:val="nil"/>
              <w:right w:val="nil"/>
            </w:tcBorders>
          </w:tcPr>
          <w:p w14:paraId="26DA6BF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(52.960)</w:t>
            </w:r>
          </w:p>
        </w:tc>
        <w:tc>
          <w:tcPr>
            <w:tcW w:w="1338" w:type="dxa"/>
            <w:tcBorders>
              <w:top w:val="nil"/>
              <w:left w:val="nil"/>
              <w:bottom w:val="nil"/>
              <w:right w:val="nil"/>
            </w:tcBorders>
          </w:tcPr>
          <w:p w14:paraId="246C6AA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(12.975)</w:t>
            </w:r>
          </w:p>
        </w:tc>
        <w:tc>
          <w:tcPr>
            <w:tcW w:w="1339" w:type="dxa"/>
            <w:tcBorders>
              <w:top w:val="nil"/>
              <w:left w:val="nil"/>
              <w:bottom w:val="nil"/>
              <w:right w:val="nil"/>
            </w:tcBorders>
          </w:tcPr>
          <w:p w14:paraId="6E452C1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(21.513)</w:t>
            </w:r>
          </w:p>
        </w:tc>
      </w:tr>
      <w:tr w:rsidR="00330E0D" w:rsidRPr="00C14FA5" w14:paraId="75C4F528" w14:textId="77777777" w:rsidTr="00B76046">
        <w:trPr>
          <w:jc w:val="center"/>
        </w:trPr>
        <w:tc>
          <w:tcPr>
            <w:tcW w:w="2041" w:type="dxa"/>
            <w:tcBorders>
              <w:top w:val="nil"/>
              <w:left w:val="nil"/>
              <w:bottom w:val="nil"/>
              <w:right w:val="nil"/>
            </w:tcBorders>
          </w:tcPr>
          <w:p w14:paraId="2F228CD4"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10 %  x  2000</w:t>
            </w:r>
          </w:p>
        </w:tc>
        <w:tc>
          <w:tcPr>
            <w:tcW w:w="1338" w:type="dxa"/>
            <w:tcBorders>
              <w:top w:val="nil"/>
              <w:left w:val="nil"/>
              <w:bottom w:val="nil"/>
              <w:right w:val="nil"/>
            </w:tcBorders>
          </w:tcPr>
          <w:p w14:paraId="5B8179A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115.439</w:t>
            </w:r>
          </w:p>
        </w:tc>
        <w:tc>
          <w:tcPr>
            <w:tcW w:w="1339" w:type="dxa"/>
            <w:tcBorders>
              <w:top w:val="nil"/>
              <w:left w:val="nil"/>
              <w:bottom w:val="nil"/>
              <w:right w:val="nil"/>
            </w:tcBorders>
          </w:tcPr>
          <w:p w14:paraId="1124F74E"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-56.055</w:t>
            </w:r>
          </w:p>
        </w:tc>
        <w:tc>
          <w:tcPr>
            <w:tcW w:w="1338" w:type="dxa"/>
            <w:tcBorders>
              <w:top w:val="nil"/>
              <w:left w:val="nil"/>
              <w:bottom w:val="nil"/>
              <w:right w:val="nil"/>
            </w:tcBorders>
          </w:tcPr>
          <w:p w14:paraId="5230139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-23.411</w:t>
            </w:r>
          </w:p>
        </w:tc>
        <w:tc>
          <w:tcPr>
            <w:tcW w:w="1339" w:type="dxa"/>
            <w:tcBorders>
              <w:top w:val="nil"/>
              <w:left w:val="nil"/>
              <w:bottom w:val="nil"/>
              <w:right w:val="nil"/>
            </w:tcBorders>
          </w:tcPr>
          <w:p w14:paraId="196BB6A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204.063**</w:t>
            </w:r>
          </w:p>
        </w:tc>
        <w:tc>
          <w:tcPr>
            <w:tcW w:w="1338" w:type="dxa"/>
            <w:tcBorders>
              <w:top w:val="nil"/>
              <w:left w:val="nil"/>
              <w:bottom w:val="nil"/>
              <w:right w:val="nil"/>
            </w:tcBorders>
          </w:tcPr>
          <w:p w14:paraId="544A429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-44.499*</w:t>
            </w:r>
          </w:p>
        </w:tc>
        <w:tc>
          <w:tcPr>
            <w:tcW w:w="1339" w:type="dxa"/>
            <w:tcBorders>
              <w:top w:val="nil"/>
              <w:left w:val="nil"/>
              <w:bottom w:val="nil"/>
              <w:right w:val="nil"/>
            </w:tcBorders>
          </w:tcPr>
          <w:p w14:paraId="3FE9573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-23.743</w:t>
            </w:r>
          </w:p>
        </w:tc>
      </w:tr>
      <w:tr w:rsidR="00330E0D" w:rsidRPr="00C14FA5" w14:paraId="2C60C77E" w14:textId="77777777" w:rsidTr="00B76046">
        <w:trPr>
          <w:jc w:val="center"/>
        </w:trPr>
        <w:tc>
          <w:tcPr>
            <w:tcW w:w="2041" w:type="dxa"/>
            <w:tcBorders>
              <w:top w:val="nil"/>
              <w:left w:val="nil"/>
              <w:bottom w:val="nil"/>
              <w:right w:val="nil"/>
            </w:tcBorders>
          </w:tcPr>
          <w:p w14:paraId="1FFE079A"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6F76736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(143.620)</w:t>
            </w:r>
          </w:p>
        </w:tc>
        <w:tc>
          <w:tcPr>
            <w:tcW w:w="1339" w:type="dxa"/>
            <w:tcBorders>
              <w:top w:val="nil"/>
              <w:left w:val="nil"/>
              <w:bottom w:val="nil"/>
              <w:right w:val="nil"/>
            </w:tcBorders>
          </w:tcPr>
          <w:p w14:paraId="2E35920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(105.625)</w:t>
            </w:r>
          </w:p>
        </w:tc>
        <w:tc>
          <w:tcPr>
            <w:tcW w:w="1338" w:type="dxa"/>
            <w:tcBorders>
              <w:top w:val="nil"/>
              <w:left w:val="nil"/>
              <w:bottom w:val="nil"/>
              <w:right w:val="nil"/>
            </w:tcBorders>
          </w:tcPr>
          <w:p w14:paraId="582EFFB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(31.538)</w:t>
            </w:r>
          </w:p>
        </w:tc>
        <w:tc>
          <w:tcPr>
            <w:tcW w:w="1339" w:type="dxa"/>
            <w:tcBorders>
              <w:top w:val="nil"/>
              <w:left w:val="nil"/>
              <w:bottom w:val="nil"/>
              <w:right w:val="nil"/>
            </w:tcBorders>
          </w:tcPr>
          <w:p w14:paraId="1E14D0A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(80.372)</w:t>
            </w:r>
          </w:p>
        </w:tc>
        <w:tc>
          <w:tcPr>
            <w:tcW w:w="1338" w:type="dxa"/>
            <w:tcBorders>
              <w:top w:val="nil"/>
              <w:left w:val="nil"/>
              <w:bottom w:val="nil"/>
              <w:right w:val="nil"/>
            </w:tcBorders>
          </w:tcPr>
          <w:p w14:paraId="1F960B0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(25.140)</w:t>
            </w:r>
          </w:p>
        </w:tc>
        <w:tc>
          <w:tcPr>
            <w:tcW w:w="1339" w:type="dxa"/>
            <w:tcBorders>
              <w:top w:val="nil"/>
              <w:left w:val="nil"/>
              <w:bottom w:val="nil"/>
              <w:right w:val="nil"/>
            </w:tcBorders>
          </w:tcPr>
          <w:p w14:paraId="5A31323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(22.642)</w:t>
            </w:r>
          </w:p>
        </w:tc>
      </w:tr>
      <w:tr w:rsidR="00330E0D" w:rsidRPr="00C14FA5" w14:paraId="28CD111A" w14:textId="77777777" w:rsidTr="00B76046">
        <w:trPr>
          <w:jc w:val="center"/>
        </w:trPr>
        <w:tc>
          <w:tcPr>
            <w:tcW w:w="2041" w:type="dxa"/>
            <w:tcBorders>
              <w:top w:val="nil"/>
              <w:left w:val="nil"/>
              <w:bottom w:val="nil"/>
              <w:right w:val="nil"/>
            </w:tcBorders>
          </w:tcPr>
          <w:p w14:paraId="17D2003F"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w:t>
            </w:r>
            <w:r>
              <w:rPr>
                <w:rFonts w:ascii="Times New Roman" w:hAnsi="Times New Roman" w:cs="Times New Roman Bold"/>
                <w:sz w:val="21"/>
                <w:lang w:val="fr-FR"/>
              </w:rPr>
              <w:t>%</w:t>
            </w:r>
            <w:r w:rsidRPr="00C14FA5">
              <w:rPr>
                <w:rFonts w:ascii="Times New Roman" w:hAnsi="Times New Roman" w:cs="Times New Roman Bold"/>
                <w:sz w:val="21"/>
                <w:lang w:val="fr-FR"/>
              </w:rPr>
              <w:t xml:space="preserve">  x  2001</w:t>
            </w:r>
          </w:p>
        </w:tc>
        <w:tc>
          <w:tcPr>
            <w:tcW w:w="1338" w:type="dxa"/>
            <w:tcBorders>
              <w:top w:val="nil"/>
              <w:left w:val="nil"/>
              <w:bottom w:val="nil"/>
              <w:right w:val="nil"/>
            </w:tcBorders>
          </w:tcPr>
          <w:p w14:paraId="6E6031B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24.600</w:t>
            </w:r>
          </w:p>
        </w:tc>
        <w:tc>
          <w:tcPr>
            <w:tcW w:w="1339" w:type="dxa"/>
            <w:tcBorders>
              <w:top w:val="nil"/>
              <w:left w:val="nil"/>
              <w:bottom w:val="nil"/>
              <w:right w:val="nil"/>
            </w:tcBorders>
          </w:tcPr>
          <w:p w14:paraId="7B5F7E6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-72.903</w:t>
            </w:r>
          </w:p>
        </w:tc>
        <w:tc>
          <w:tcPr>
            <w:tcW w:w="1338" w:type="dxa"/>
            <w:tcBorders>
              <w:top w:val="nil"/>
              <w:left w:val="nil"/>
              <w:bottom w:val="nil"/>
              <w:right w:val="nil"/>
            </w:tcBorders>
          </w:tcPr>
          <w:p w14:paraId="1982636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-8.149</w:t>
            </w:r>
          </w:p>
        </w:tc>
        <w:tc>
          <w:tcPr>
            <w:tcW w:w="1339" w:type="dxa"/>
            <w:tcBorders>
              <w:top w:val="nil"/>
              <w:left w:val="nil"/>
              <w:bottom w:val="nil"/>
              <w:right w:val="nil"/>
            </w:tcBorders>
          </w:tcPr>
          <w:p w14:paraId="3A2D5D9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145.298**</w:t>
            </w:r>
          </w:p>
        </w:tc>
        <w:tc>
          <w:tcPr>
            <w:tcW w:w="1338" w:type="dxa"/>
            <w:tcBorders>
              <w:top w:val="nil"/>
              <w:left w:val="nil"/>
              <w:bottom w:val="nil"/>
              <w:right w:val="nil"/>
            </w:tcBorders>
          </w:tcPr>
          <w:p w14:paraId="796C092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-7.990</w:t>
            </w:r>
          </w:p>
        </w:tc>
        <w:tc>
          <w:tcPr>
            <w:tcW w:w="1339" w:type="dxa"/>
            <w:tcBorders>
              <w:top w:val="nil"/>
              <w:left w:val="nil"/>
              <w:bottom w:val="nil"/>
              <w:right w:val="nil"/>
            </w:tcBorders>
          </w:tcPr>
          <w:p w14:paraId="40A8DA5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-19.290</w:t>
            </w:r>
          </w:p>
        </w:tc>
      </w:tr>
      <w:tr w:rsidR="00330E0D" w:rsidRPr="00C14FA5" w14:paraId="5EB360D8" w14:textId="77777777" w:rsidTr="00B76046">
        <w:trPr>
          <w:jc w:val="center"/>
        </w:trPr>
        <w:tc>
          <w:tcPr>
            <w:tcW w:w="2041" w:type="dxa"/>
            <w:tcBorders>
              <w:top w:val="nil"/>
              <w:left w:val="nil"/>
              <w:bottom w:val="nil"/>
              <w:right w:val="nil"/>
            </w:tcBorders>
          </w:tcPr>
          <w:p w14:paraId="5E15CF96"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05C98FB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(121.723)</w:t>
            </w:r>
          </w:p>
        </w:tc>
        <w:tc>
          <w:tcPr>
            <w:tcW w:w="1339" w:type="dxa"/>
            <w:tcBorders>
              <w:top w:val="nil"/>
              <w:left w:val="nil"/>
              <w:bottom w:val="nil"/>
              <w:right w:val="nil"/>
            </w:tcBorders>
          </w:tcPr>
          <w:p w14:paraId="209B8B1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(95.115)</w:t>
            </w:r>
          </w:p>
        </w:tc>
        <w:tc>
          <w:tcPr>
            <w:tcW w:w="1338" w:type="dxa"/>
            <w:tcBorders>
              <w:top w:val="nil"/>
              <w:left w:val="nil"/>
              <w:bottom w:val="nil"/>
              <w:right w:val="nil"/>
            </w:tcBorders>
          </w:tcPr>
          <w:p w14:paraId="0A32E35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(29.578)</w:t>
            </w:r>
          </w:p>
        </w:tc>
        <w:tc>
          <w:tcPr>
            <w:tcW w:w="1339" w:type="dxa"/>
            <w:tcBorders>
              <w:top w:val="nil"/>
              <w:left w:val="nil"/>
              <w:bottom w:val="nil"/>
              <w:right w:val="nil"/>
            </w:tcBorders>
          </w:tcPr>
          <w:p w14:paraId="5D495EF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(70.757)</w:t>
            </w:r>
          </w:p>
        </w:tc>
        <w:tc>
          <w:tcPr>
            <w:tcW w:w="1338" w:type="dxa"/>
            <w:tcBorders>
              <w:top w:val="nil"/>
              <w:left w:val="nil"/>
              <w:bottom w:val="nil"/>
              <w:right w:val="nil"/>
            </w:tcBorders>
          </w:tcPr>
          <w:p w14:paraId="62CD376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(13.485)</w:t>
            </w:r>
          </w:p>
        </w:tc>
        <w:tc>
          <w:tcPr>
            <w:tcW w:w="1339" w:type="dxa"/>
            <w:tcBorders>
              <w:top w:val="nil"/>
              <w:left w:val="nil"/>
              <w:bottom w:val="nil"/>
              <w:right w:val="nil"/>
            </w:tcBorders>
          </w:tcPr>
          <w:p w14:paraId="75D3F03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(22.739)</w:t>
            </w:r>
          </w:p>
        </w:tc>
      </w:tr>
      <w:tr w:rsidR="00330E0D" w:rsidRPr="00C14FA5" w14:paraId="3BA99CE5" w14:textId="77777777" w:rsidTr="00B76046">
        <w:trPr>
          <w:jc w:val="center"/>
        </w:trPr>
        <w:tc>
          <w:tcPr>
            <w:tcW w:w="2041" w:type="dxa"/>
            <w:tcBorders>
              <w:top w:val="nil"/>
              <w:left w:val="nil"/>
              <w:bottom w:val="nil"/>
              <w:right w:val="nil"/>
            </w:tcBorders>
          </w:tcPr>
          <w:p w14:paraId="229729D8"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w:t>
            </w:r>
            <w:r>
              <w:rPr>
                <w:rFonts w:ascii="Times New Roman" w:hAnsi="Times New Roman" w:cs="Times New Roman Bold"/>
                <w:sz w:val="21"/>
                <w:lang w:val="fr-FR"/>
              </w:rPr>
              <w:t>%</w:t>
            </w:r>
            <w:r w:rsidRPr="00C14FA5">
              <w:rPr>
                <w:rFonts w:ascii="Times New Roman" w:hAnsi="Times New Roman" w:cs="Times New Roman Bold"/>
                <w:sz w:val="21"/>
                <w:lang w:val="fr-FR"/>
              </w:rPr>
              <w:t xml:space="preserve">  x  2002</w:t>
            </w:r>
          </w:p>
        </w:tc>
        <w:tc>
          <w:tcPr>
            <w:tcW w:w="1338" w:type="dxa"/>
            <w:tcBorders>
              <w:top w:val="nil"/>
              <w:left w:val="nil"/>
              <w:bottom w:val="nil"/>
              <w:right w:val="nil"/>
            </w:tcBorders>
          </w:tcPr>
          <w:p w14:paraId="1C2D021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14.616</w:t>
            </w:r>
          </w:p>
        </w:tc>
        <w:tc>
          <w:tcPr>
            <w:tcW w:w="1339" w:type="dxa"/>
            <w:tcBorders>
              <w:top w:val="nil"/>
              <w:left w:val="nil"/>
              <w:bottom w:val="nil"/>
              <w:right w:val="nil"/>
            </w:tcBorders>
          </w:tcPr>
          <w:p w14:paraId="05B6C05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26.951</w:t>
            </w:r>
          </w:p>
        </w:tc>
        <w:tc>
          <w:tcPr>
            <w:tcW w:w="1338" w:type="dxa"/>
            <w:tcBorders>
              <w:top w:val="nil"/>
              <w:left w:val="nil"/>
              <w:bottom w:val="nil"/>
              <w:right w:val="nil"/>
            </w:tcBorders>
          </w:tcPr>
          <w:p w14:paraId="4EFCBC9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-58.342*</w:t>
            </w:r>
          </w:p>
        </w:tc>
        <w:tc>
          <w:tcPr>
            <w:tcW w:w="1339" w:type="dxa"/>
            <w:tcBorders>
              <w:top w:val="nil"/>
              <w:left w:val="nil"/>
              <w:bottom w:val="nil"/>
              <w:right w:val="nil"/>
            </w:tcBorders>
          </w:tcPr>
          <w:p w14:paraId="50DBCC8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50.621</w:t>
            </w:r>
          </w:p>
        </w:tc>
        <w:tc>
          <w:tcPr>
            <w:tcW w:w="1338" w:type="dxa"/>
            <w:tcBorders>
              <w:top w:val="nil"/>
              <w:left w:val="nil"/>
              <w:bottom w:val="nil"/>
              <w:right w:val="nil"/>
            </w:tcBorders>
          </w:tcPr>
          <w:p w14:paraId="1B42A24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-17.507</w:t>
            </w:r>
          </w:p>
        </w:tc>
        <w:tc>
          <w:tcPr>
            <w:tcW w:w="1339" w:type="dxa"/>
            <w:tcBorders>
              <w:top w:val="nil"/>
              <w:left w:val="nil"/>
              <w:bottom w:val="nil"/>
              <w:right w:val="nil"/>
            </w:tcBorders>
          </w:tcPr>
          <w:p w14:paraId="66573C1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5.939</w:t>
            </w:r>
          </w:p>
        </w:tc>
      </w:tr>
      <w:tr w:rsidR="00330E0D" w:rsidRPr="00C14FA5" w14:paraId="2879BF32" w14:textId="77777777" w:rsidTr="00B76046">
        <w:trPr>
          <w:jc w:val="center"/>
        </w:trPr>
        <w:tc>
          <w:tcPr>
            <w:tcW w:w="2041" w:type="dxa"/>
            <w:tcBorders>
              <w:top w:val="nil"/>
              <w:left w:val="nil"/>
              <w:bottom w:val="nil"/>
              <w:right w:val="nil"/>
            </w:tcBorders>
          </w:tcPr>
          <w:p w14:paraId="74F4C2CC"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6CE2027E"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(115.432)</w:t>
            </w:r>
          </w:p>
        </w:tc>
        <w:tc>
          <w:tcPr>
            <w:tcW w:w="1339" w:type="dxa"/>
            <w:tcBorders>
              <w:top w:val="nil"/>
              <w:left w:val="nil"/>
              <w:bottom w:val="nil"/>
              <w:right w:val="nil"/>
            </w:tcBorders>
          </w:tcPr>
          <w:p w14:paraId="35869BA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(98.767)</w:t>
            </w:r>
          </w:p>
        </w:tc>
        <w:tc>
          <w:tcPr>
            <w:tcW w:w="1338" w:type="dxa"/>
            <w:tcBorders>
              <w:top w:val="nil"/>
              <w:left w:val="nil"/>
              <w:bottom w:val="nil"/>
              <w:right w:val="nil"/>
            </w:tcBorders>
          </w:tcPr>
          <w:p w14:paraId="080F181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(31.288)</w:t>
            </w:r>
          </w:p>
        </w:tc>
        <w:tc>
          <w:tcPr>
            <w:tcW w:w="1339" w:type="dxa"/>
            <w:tcBorders>
              <w:top w:val="nil"/>
              <w:left w:val="nil"/>
              <w:bottom w:val="nil"/>
              <w:right w:val="nil"/>
            </w:tcBorders>
          </w:tcPr>
          <w:p w14:paraId="461BCE7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(55.628)</w:t>
            </w:r>
          </w:p>
        </w:tc>
        <w:tc>
          <w:tcPr>
            <w:tcW w:w="1338" w:type="dxa"/>
            <w:tcBorders>
              <w:top w:val="nil"/>
              <w:left w:val="nil"/>
              <w:bottom w:val="nil"/>
              <w:right w:val="nil"/>
            </w:tcBorders>
          </w:tcPr>
          <w:p w14:paraId="33CCC09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(14.602)</w:t>
            </w:r>
          </w:p>
        </w:tc>
        <w:tc>
          <w:tcPr>
            <w:tcW w:w="1339" w:type="dxa"/>
            <w:tcBorders>
              <w:top w:val="nil"/>
              <w:left w:val="nil"/>
              <w:bottom w:val="nil"/>
              <w:right w:val="nil"/>
            </w:tcBorders>
          </w:tcPr>
          <w:p w14:paraId="51042E8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(25.459)</w:t>
            </w:r>
          </w:p>
        </w:tc>
      </w:tr>
      <w:tr w:rsidR="00330E0D" w:rsidRPr="00C14FA5" w14:paraId="33CAE3F8" w14:textId="77777777" w:rsidTr="00B76046">
        <w:trPr>
          <w:jc w:val="center"/>
        </w:trPr>
        <w:tc>
          <w:tcPr>
            <w:tcW w:w="2041" w:type="dxa"/>
            <w:tcBorders>
              <w:top w:val="nil"/>
              <w:left w:val="nil"/>
              <w:bottom w:val="nil"/>
              <w:right w:val="nil"/>
            </w:tcBorders>
          </w:tcPr>
          <w:p w14:paraId="61A8A5F2"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w:t>
            </w:r>
            <w:r>
              <w:rPr>
                <w:rFonts w:ascii="Times New Roman" w:hAnsi="Times New Roman" w:cs="Times New Roman Bold"/>
                <w:sz w:val="21"/>
                <w:lang w:val="fr-FR"/>
              </w:rPr>
              <w:t>%</w:t>
            </w:r>
            <w:r w:rsidRPr="00C14FA5">
              <w:rPr>
                <w:rFonts w:ascii="Times New Roman" w:hAnsi="Times New Roman" w:cs="Times New Roman Bold"/>
                <w:sz w:val="21"/>
                <w:lang w:val="fr-FR"/>
              </w:rPr>
              <w:t xml:space="preserve">  x  2003</w:t>
            </w:r>
          </w:p>
        </w:tc>
        <w:tc>
          <w:tcPr>
            <w:tcW w:w="1338" w:type="dxa"/>
            <w:tcBorders>
              <w:top w:val="nil"/>
              <w:left w:val="nil"/>
              <w:bottom w:val="nil"/>
              <w:right w:val="nil"/>
            </w:tcBorders>
          </w:tcPr>
          <w:p w14:paraId="1DF32B6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335.484**</w:t>
            </w:r>
          </w:p>
        </w:tc>
        <w:tc>
          <w:tcPr>
            <w:tcW w:w="1339" w:type="dxa"/>
            <w:tcBorders>
              <w:top w:val="nil"/>
              <w:left w:val="nil"/>
              <w:bottom w:val="nil"/>
              <w:right w:val="nil"/>
            </w:tcBorders>
          </w:tcPr>
          <w:p w14:paraId="14D3E26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220.476</w:t>
            </w:r>
          </w:p>
        </w:tc>
        <w:tc>
          <w:tcPr>
            <w:tcW w:w="1338" w:type="dxa"/>
            <w:tcBorders>
              <w:top w:val="nil"/>
              <w:left w:val="nil"/>
              <w:bottom w:val="nil"/>
              <w:right w:val="nil"/>
            </w:tcBorders>
          </w:tcPr>
          <w:p w14:paraId="1FA0A1A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-19.886</w:t>
            </w:r>
          </w:p>
        </w:tc>
        <w:tc>
          <w:tcPr>
            <w:tcW w:w="1339" w:type="dxa"/>
            <w:tcBorders>
              <w:top w:val="nil"/>
              <w:left w:val="nil"/>
              <w:bottom w:val="nil"/>
              <w:right w:val="nil"/>
            </w:tcBorders>
          </w:tcPr>
          <w:p w14:paraId="7065FAD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172.782**</w:t>
            </w:r>
          </w:p>
        </w:tc>
        <w:tc>
          <w:tcPr>
            <w:tcW w:w="1338" w:type="dxa"/>
            <w:tcBorders>
              <w:top w:val="nil"/>
              <w:left w:val="nil"/>
              <w:bottom w:val="nil"/>
              <w:right w:val="nil"/>
            </w:tcBorders>
          </w:tcPr>
          <w:p w14:paraId="1354603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25.078</w:t>
            </w:r>
          </w:p>
        </w:tc>
        <w:tc>
          <w:tcPr>
            <w:tcW w:w="1339" w:type="dxa"/>
            <w:tcBorders>
              <w:top w:val="nil"/>
              <w:left w:val="nil"/>
              <w:bottom w:val="nil"/>
              <w:right w:val="nil"/>
            </w:tcBorders>
          </w:tcPr>
          <w:p w14:paraId="26FC300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18.707</w:t>
            </w:r>
          </w:p>
        </w:tc>
      </w:tr>
      <w:tr w:rsidR="00330E0D" w:rsidRPr="00C14FA5" w14:paraId="25C212C6" w14:textId="77777777" w:rsidTr="00B76046">
        <w:trPr>
          <w:jc w:val="center"/>
        </w:trPr>
        <w:tc>
          <w:tcPr>
            <w:tcW w:w="2041" w:type="dxa"/>
            <w:tcBorders>
              <w:top w:val="nil"/>
              <w:left w:val="nil"/>
              <w:bottom w:val="nil"/>
              <w:right w:val="nil"/>
            </w:tcBorders>
          </w:tcPr>
          <w:p w14:paraId="099864C2"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365E1AC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(169.873)</w:t>
            </w:r>
          </w:p>
        </w:tc>
        <w:tc>
          <w:tcPr>
            <w:tcW w:w="1339" w:type="dxa"/>
            <w:tcBorders>
              <w:top w:val="nil"/>
              <w:left w:val="nil"/>
              <w:bottom w:val="nil"/>
              <w:right w:val="nil"/>
            </w:tcBorders>
          </w:tcPr>
          <w:p w14:paraId="533615E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(147.641)</w:t>
            </w:r>
          </w:p>
        </w:tc>
        <w:tc>
          <w:tcPr>
            <w:tcW w:w="1338" w:type="dxa"/>
            <w:tcBorders>
              <w:top w:val="nil"/>
              <w:left w:val="nil"/>
              <w:bottom w:val="nil"/>
              <w:right w:val="nil"/>
            </w:tcBorders>
          </w:tcPr>
          <w:p w14:paraId="5CF29E3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(33.673)</w:t>
            </w:r>
          </w:p>
        </w:tc>
        <w:tc>
          <w:tcPr>
            <w:tcW w:w="1339" w:type="dxa"/>
            <w:tcBorders>
              <w:top w:val="nil"/>
              <w:left w:val="nil"/>
              <w:bottom w:val="nil"/>
              <w:right w:val="nil"/>
            </w:tcBorders>
          </w:tcPr>
          <w:p w14:paraId="62ADCF9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(74.973)</w:t>
            </w:r>
          </w:p>
        </w:tc>
        <w:tc>
          <w:tcPr>
            <w:tcW w:w="1338" w:type="dxa"/>
            <w:tcBorders>
              <w:top w:val="nil"/>
              <w:left w:val="nil"/>
              <w:bottom w:val="nil"/>
              <w:right w:val="nil"/>
            </w:tcBorders>
          </w:tcPr>
          <w:p w14:paraId="4101EBF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(41.116)</w:t>
            </w:r>
          </w:p>
        </w:tc>
        <w:tc>
          <w:tcPr>
            <w:tcW w:w="1339" w:type="dxa"/>
            <w:tcBorders>
              <w:top w:val="nil"/>
              <w:left w:val="nil"/>
              <w:bottom w:val="nil"/>
              <w:right w:val="nil"/>
            </w:tcBorders>
          </w:tcPr>
          <w:p w14:paraId="01C60BD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(34.483)</w:t>
            </w:r>
          </w:p>
        </w:tc>
      </w:tr>
      <w:tr w:rsidR="00330E0D" w:rsidRPr="00C14FA5" w14:paraId="5773DA5E" w14:textId="77777777" w:rsidTr="00B76046">
        <w:trPr>
          <w:jc w:val="center"/>
        </w:trPr>
        <w:tc>
          <w:tcPr>
            <w:tcW w:w="2041" w:type="dxa"/>
            <w:tcBorders>
              <w:top w:val="nil"/>
              <w:left w:val="nil"/>
              <w:bottom w:val="nil"/>
              <w:right w:val="nil"/>
            </w:tcBorders>
          </w:tcPr>
          <w:p w14:paraId="21570895"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w:t>
            </w:r>
            <w:r>
              <w:rPr>
                <w:rFonts w:ascii="Times New Roman" w:hAnsi="Times New Roman" w:cs="Times New Roman Bold"/>
                <w:sz w:val="21"/>
                <w:lang w:val="fr-FR"/>
              </w:rPr>
              <w:t>%</w:t>
            </w:r>
            <w:r w:rsidRPr="00C14FA5">
              <w:rPr>
                <w:rFonts w:ascii="Times New Roman" w:hAnsi="Times New Roman" w:cs="Times New Roman Bold"/>
                <w:sz w:val="21"/>
                <w:lang w:val="fr-FR"/>
              </w:rPr>
              <w:t xml:space="preserve">  x  2004</w:t>
            </w:r>
          </w:p>
        </w:tc>
        <w:tc>
          <w:tcPr>
            <w:tcW w:w="1338" w:type="dxa"/>
            <w:tcBorders>
              <w:top w:val="nil"/>
              <w:left w:val="nil"/>
              <w:bottom w:val="nil"/>
              <w:right w:val="nil"/>
            </w:tcBorders>
          </w:tcPr>
          <w:p w14:paraId="22F0EDA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272.008*</w:t>
            </w:r>
          </w:p>
        </w:tc>
        <w:tc>
          <w:tcPr>
            <w:tcW w:w="1339" w:type="dxa"/>
            <w:tcBorders>
              <w:top w:val="nil"/>
              <w:left w:val="nil"/>
              <w:bottom w:val="nil"/>
              <w:right w:val="nil"/>
            </w:tcBorders>
          </w:tcPr>
          <w:p w14:paraId="0FDA225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171.027</w:t>
            </w:r>
          </w:p>
        </w:tc>
        <w:tc>
          <w:tcPr>
            <w:tcW w:w="1338" w:type="dxa"/>
            <w:tcBorders>
              <w:top w:val="nil"/>
              <w:left w:val="nil"/>
              <w:bottom w:val="nil"/>
              <w:right w:val="nil"/>
            </w:tcBorders>
          </w:tcPr>
          <w:p w14:paraId="3E645B6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-23.907</w:t>
            </w:r>
          </w:p>
        </w:tc>
        <w:tc>
          <w:tcPr>
            <w:tcW w:w="1339" w:type="dxa"/>
            <w:tcBorders>
              <w:top w:val="nil"/>
              <w:left w:val="nil"/>
              <w:bottom w:val="nil"/>
              <w:right w:val="nil"/>
            </w:tcBorders>
          </w:tcPr>
          <w:p w14:paraId="2B13DC5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142.278**</w:t>
            </w:r>
          </w:p>
        </w:tc>
        <w:tc>
          <w:tcPr>
            <w:tcW w:w="1338" w:type="dxa"/>
            <w:tcBorders>
              <w:top w:val="nil"/>
              <w:left w:val="nil"/>
              <w:bottom w:val="nil"/>
              <w:right w:val="nil"/>
            </w:tcBorders>
          </w:tcPr>
          <w:p w14:paraId="33F969A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-17.739</w:t>
            </w:r>
          </w:p>
        </w:tc>
        <w:tc>
          <w:tcPr>
            <w:tcW w:w="1339" w:type="dxa"/>
            <w:tcBorders>
              <w:top w:val="nil"/>
              <w:left w:val="nil"/>
              <w:bottom w:val="nil"/>
              <w:right w:val="nil"/>
            </w:tcBorders>
          </w:tcPr>
          <w:p w14:paraId="0256CFF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-18.475</w:t>
            </w:r>
          </w:p>
        </w:tc>
      </w:tr>
      <w:tr w:rsidR="00330E0D" w:rsidRPr="00C14FA5" w14:paraId="40F58CA7" w14:textId="77777777" w:rsidTr="00B76046">
        <w:trPr>
          <w:jc w:val="center"/>
        </w:trPr>
        <w:tc>
          <w:tcPr>
            <w:tcW w:w="2041" w:type="dxa"/>
            <w:tcBorders>
              <w:top w:val="nil"/>
              <w:left w:val="nil"/>
              <w:bottom w:val="nil"/>
              <w:right w:val="nil"/>
            </w:tcBorders>
          </w:tcPr>
          <w:p w14:paraId="128D1A20"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4A2FFD2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(145.344)</w:t>
            </w:r>
          </w:p>
        </w:tc>
        <w:tc>
          <w:tcPr>
            <w:tcW w:w="1339" w:type="dxa"/>
            <w:tcBorders>
              <w:top w:val="nil"/>
              <w:left w:val="nil"/>
              <w:bottom w:val="nil"/>
              <w:right w:val="nil"/>
            </w:tcBorders>
          </w:tcPr>
          <w:p w14:paraId="2E100F4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(121.687)</w:t>
            </w:r>
          </w:p>
        </w:tc>
        <w:tc>
          <w:tcPr>
            <w:tcW w:w="1338" w:type="dxa"/>
            <w:tcBorders>
              <w:top w:val="nil"/>
              <w:left w:val="nil"/>
              <w:bottom w:val="nil"/>
              <w:right w:val="nil"/>
            </w:tcBorders>
          </w:tcPr>
          <w:p w14:paraId="3927A4A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(39.781)</w:t>
            </w:r>
          </w:p>
        </w:tc>
        <w:tc>
          <w:tcPr>
            <w:tcW w:w="1339" w:type="dxa"/>
            <w:tcBorders>
              <w:top w:val="nil"/>
              <w:left w:val="nil"/>
              <w:bottom w:val="nil"/>
              <w:right w:val="nil"/>
            </w:tcBorders>
          </w:tcPr>
          <w:p w14:paraId="40E5B1C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(66.588)</w:t>
            </w:r>
          </w:p>
        </w:tc>
        <w:tc>
          <w:tcPr>
            <w:tcW w:w="1338" w:type="dxa"/>
            <w:tcBorders>
              <w:top w:val="nil"/>
              <w:left w:val="nil"/>
              <w:bottom w:val="nil"/>
              <w:right w:val="nil"/>
            </w:tcBorders>
          </w:tcPr>
          <w:p w14:paraId="46E10D5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(20.488)</w:t>
            </w:r>
          </w:p>
        </w:tc>
        <w:tc>
          <w:tcPr>
            <w:tcW w:w="1339" w:type="dxa"/>
            <w:tcBorders>
              <w:top w:val="nil"/>
              <w:left w:val="nil"/>
              <w:bottom w:val="nil"/>
              <w:right w:val="nil"/>
            </w:tcBorders>
          </w:tcPr>
          <w:p w14:paraId="42C9560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(24.025)</w:t>
            </w:r>
          </w:p>
        </w:tc>
      </w:tr>
      <w:tr w:rsidR="00330E0D" w:rsidRPr="00C14FA5" w14:paraId="44C69974" w14:textId="77777777" w:rsidTr="00B76046">
        <w:trPr>
          <w:jc w:val="center"/>
        </w:trPr>
        <w:tc>
          <w:tcPr>
            <w:tcW w:w="2041" w:type="dxa"/>
            <w:tcBorders>
              <w:top w:val="nil"/>
              <w:left w:val="nil"/>
              <w:bottom w:val="nil"/>
              <w:right w:val="nil"/>
            </w:tcBorders>
          </w:tcPr>
          <w:p w14:paraId="2721BB29"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w:t>
            </w:r>
            <w:r>
              <w:rPr>
                <w:rFonts w:ascii="Times New Roman" w:hAnsi="Times New Roman" w:cs="Times New Roman Bold"/>
                <w:sz w:val="21"/>
                <w:lang w:val="fr-FR"/>
              </w:rPr>
              <w:t>%</w:t>
            </w:r>
            <w:r w:rsidRPr="00C14FA5">
              <w:rPr>
                <w:rFonts w:ascii="Times New Roman" w:hAnsi="Times New Roman" w:cs="Times New Roman Bold"/>
                <w:sz w:val="21"/>
                <w:lang w:val="fr-FR"/>
              </w:rPr>
              <w:t xml:space="preserve">  x  2005</w:t>
            </w:r>
          </w:p>
        </w:tc>
        <w:tc>
          <w:tcPr>
            <w:tcW w:w="1338" w:type="dxa"/>
            <w:tcBorders>
              <w:top w:val="nil"/>
              <w:left w:val="nil"/>
              <w:bottom w:val="nil"/>
              <w:right w:val="nil"/>
            </w:tcBorders>
          </w:tcPr>
          <w:p w14:paraId="5415DB3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345.811**</w:t>
            </w:r>
          </w:p>
        </w:tc>
        <w:tc>
          <w:tcPr>
            <w:tcW w:w="1339" w:type="dxa"/>
            <w:tcBorders>
              <w:top w:val="nil"/>
              <w:left w:val="nil"/>
              <w:bottom w:val="nil"/>
              <w:right w:val="nil"/>
            </w:tcBorders>
          </w:tcPr>
          <w:p w14:paraId="658816E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207.452*</w:t>
            </w:r>
          </w:p>
        </w:tc>
        <w:tc>
          <w:tcPr>
            <w:tcW w:w="1338" w:type="dxa"/>
            <w:tcBorders>
              <w:top w:val="nil"/>
              <w:left w:val="nil"/>
              <w:bottom w:val="nil"/>
              <w:right w:val="nil"/>
            </w:tcBorders>
          </w:tcPr>
          <w:p w14:paraId="30E3D67E"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-48.217</w:t>
            </w:r>
          </w:p>
        </w:tc>
        <w:tc>
          <w:tcPr>
            <w:tcW w:w="1339" w:type="dxa"/>
            <w:tcBorders>
              <w:top w:val="nil"/>
              <w:left w:val="nil"/>
              <w:bottom w:val="nil"/>
              <w:right w:val="nil"/>
            </w:tcBorders>
          </w:tcPr>
          <w:p w14:paraId="2FA85E3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175.257**</w:t>
            </w:r>
          </w:p>
        </w:tc>
        <w:tc>
          <w:tcPr>
            <w:tcW w:w="1338" w:type="dxa"/>
            <w:tcBorders>
              <w:top w:val="nil"/>
              <w:left w:val="nil"/>
              <w:bottom w:val="nil"/>
              <w:right w:val="nil"/>
            </w:tcBorders>
          </w:tcPr>
          <w:p w14:paraId="69323D0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-17.583</w:t>
            </w:r>
          </w:p>
        </w:tc>
        <w:tc>
          <w:tcPr>
            <w:tcW w:w="1339" w:type="dxa"/>
            <w:tcBorders>
              <w:top w:val="nil"/>
              <w:left w:val="nil"/>
              <w:bottom w:val="nil"/>
              <w:right w:val="nil"/>
            </w:tcBorders>
          </w:tcPr>
          <w:p w14:paraId="475C8E2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15.205</w:t>
            </w:r>
          </w:p>
        </w:tc>
      </w:tr>
      <w:tr w:rsidR="00330E0D" w:rsidRPr="00C14FA5" w14:paraId="34A57BEC" w14:textId="77777777" w:rsidTr="00B76046">
        <w:trPr>
          <w:jc w:val="center"/>
        </w:trPr>
        <w:tc>
          <w:tcPr>
            <w:tcW w:w="2041" w:type="dxa"/>
            <w:tcBorders>
              <w:top w:val="nil"/>
              <w:left w:val="nil"/>
              <w:bottom w:val="nil"/>
              <w:right w:val="nil"/>
            </w:tcBorders>
          </w:tcPr>
          <w:p w14:paraId="11F9D9D3"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39262F9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(157.186)</w:t>
            </w:r>
          </w:p>
        </w:tc>
        <w:tc>
          <w:tcPr>
            <w:tcW w:w="1339" w:type="dxa"/>
            <w:tcBorders>
              <w:top w:val="nil"/>
              <w:left w:val="nil"/>
              <w:bottom w:val="nil"/>
              <w:right w:val="nil"/>
            </w:tcBorders>
          </w:tcPr>
          <w:p w14:paraId="08FCC00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(125.060)</w:t>
            </w:r>
          </w:p>
        </w:tc>
        <w:tc>
          <w:tcPr>
            <w:tcW w:w="1338" w:type="dxa"/>
            <w:tcBorders>
              <w:top w:val="nil"/>
              <w:left w:val="nil"/>
              <w:bottom w:val="nil"/>
              <w:right w:val="nil"/>
            </w:tcBorders>
          </w:tcPr>
          <w:p w14:paraId="6360606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(29.827)</w:t>
            </w:r>
          </w:p>
        </w:tc>
        <w:tc>
          <w:tcPr>
            <w:tcW w:w="1339" w:type="dxa"/>
            <w:tcBorders>
              <w:top w:val="nil"/>
              <w:left w:val="nil"/>
              <w:bottom w:val="nil"/>
              <w:right w:val="nil"/>
            </w:tcBorders>
          </w:tcPr>
          <w:p w14:paraId="03602E2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(74.583)</w:t>
            </w:r>
          </w:p>
        </w:tc>
        <w:tc>
          <w:tcPr>
            <w:tcW w:w="1338" w:type="dxa"/>
            <w:tcBorders>
              <w:top w:val="nil"/>
              <w:left w:val="nil"/>
              <w:bottom w:val="nil"/>
              <w:right w:val="nil"/>
            </w:tcBorders>
          </w:tcPr>
          <w:p w14:paraId="1BD7985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(19.301)</w:t>
            </w:r>
          </w:p>
        </w:tc>
        <w:tc>
          <w:tcPr>
            <w:tcW w:w="1339" w:type="dxa"/>
            <w:tcBorders>
              <w:top w:val="nil"/>
              <w:left w:val="nil"/>
              <w:bottom w:val="nil"/>
              <w:right w:val="nil"/>
            </w:tcBorders>
          </w:tcPr>
          <w:p w14:paraId="38FBF2F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(28.582)</w:t>
            </w:r>
          </w:p>
        </w:tc>
      </w:tr>
      <w:tr w:rsidR="00330E0D" w:rsidRPr="00C14FA5" w14:paraId="39DEBB19" w14:textId="77777777" w:rsidTr="00B76046">
        <w:trPr>
          <w:jc w:val="center"/>
        </w:trPr>
        <w:tc>
          <w:tcPr>
            <w:tcW w:w="2041" w:type="dxa"/>
            <w:tcBorders>
              <w:top w:val="nil"/>
              <w:left w:val="nil"/>
              <w:bottom w:val="nil"/>
              <w:right w:val="nil"/>
            </w:tcBorders>
          </w:tcPr>
          <w:p w14:paraId="4B8FE66C"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w:t>
            </w:r>
            <w:r>
              <w:rPr>
                <w:rFonts w:ascii="Times New Roman" w:hAnsi="Times New Roman" w:cs="Times New Roman Bold"/>
                <w:sz w:val="21"/>
                <w:lang w:val="fr-FR"/>
              </w:rPr>
              <w:t>%</w:t>
            </w:r>
            <w:r w:rsidRPr="00C14FA5">
              <w:rPr>
                <w:rFonts w:ascii="Times New Roman" w:hAnsi="Times New Roman" w:cs="Times New Roman Bold"/>
                <w:sz w:val="21"/>
                <w:lang w:val="fr-FR"/>
              </w:rPr>
              <w:t xml:space="preserve">  x  2006</w:t>
            </w:r>
          </w:p>
        </w:tc>
        <w:tc>
          <w:tcPr>
            <w:tcW w:w="1338" w:type="dxa"/>
            <w:tcBorders>
              <w:top w:val="nil"/>
              <w:left w:val="nil"/>
              <w:bottom w:val="nil"/>
              <w:right w:val="nil"/>
            </w:tcBorders>
          </w:tcPr>
          <w:p w14:paraId="6A87A75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491.517***</w:t>
            </w:r>
          </w:p>
        </w:tc>
        <w:tc>
          <w:tcPr>
            <w:tcW w:w="1339" w:type="dxa"/>
            <w:tcBorders>
              <w:top w:val="nil"/>
              <w:left w:val="nil"/>
              <w:bottom w:val="nil"/>
              <w:right w:val="nil"/>
            </w:tcBorders>
          </w:tcPr>
          <w:p w14:paraId="712B498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291.375**</w:t>
            </w:r>
          </w:p>
        </w:tc>
        <w:tc>
          <w:tcPr>
            <w:tcW w:w="1338" w:type="dxa"/>
            <w:tcBorders>
              <w:top w:val="nil"/>
              <w:left w:val="nil"/>
              <w:bottom w:val="nil"/>
              <w:right w:val="nil"/>
            </w:tcBorders>
          </w:tcPr>
          <w:p w14:paraId="24AFF41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-19.407</w:t>
            </w:r>
          </w:p>
        </w:tc>
        <w:tc>
          <w:tcPr>
            <w:tcW w:w="1339" w:type="dxa"/>
            <w:tcBorders>
              <w:top w:val="nil"/>
              <w:left w:val="nil"/>
              <w:bottom w:val="nil"/>
              <w:right w:val="nil"/>
            </w:tcBorders>
          </w:tcPr>
          <w:p w14:paraId="0D33032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216.471***</w:t>
            </w:r>
          </w:p>
        </w:tc>
        <w:tc>
          <w:tcPr>
            <w:tcW w:w="1338" w:type="dxa"/>
            <w:tcBorders>
              <w:top w:val="nil"/>
              <w:left w:val="nil"/>
              <w:bottom w:val="nil"/>
              <w:right w:val="nil"/>
            </w:tcBorders>
          </w:tcPr>
          <w:p w14:paraId="790B990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18.119</w:t>
            </w:r>
          </w:p>
        </w:tc>
        <w:tc>
          <w:tcPr>
            <w:tcW w:w="1339" w:type="dxa"/>
            <w:tcBorders>
              <w:top w:val="nil"/>
              <w:left w:val="nil"/>
              <w:bottom w:val="nil"/>
              <w:right w:val="nil"/>
            </w:tcBorders>
          </w:tcPr>
          <w:p w14:paraId="4CFA501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12.150</w:t>
            </w:r>
          </w:p>
        </w:tc>
      </w:tr>
      <w:tr w:rsidR="00330E0D" w:rsidRPr="00C14FA5" w14:paraId="487DFE8A" w14:textId="77777777" w:rsidTr="00B76046">
        <w:trPr>
          <w:jc w:val="center"/>
        </w:trPr>
        <w:tc>
          <w:tcPr>
            <w:tcW w:w="2041" w:type="dxa"/>
            <w:tcBorders>
              <w:top w:val="nil"/>
              <w:left w:val="nil"/>
              <w:bottom w:val="nil"/>
              <w:right w:val="nil"/>
            </w:tcBorders>
          </w:tcPr>
          <w:p w14:paraId="30BC91E3"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4D35893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(169.340)</w:t>
            </w:r>
          </w:p>
        </w:tc>
        <w:tc>
          <w:tcPr>
            <w:tcW w:w="1339" w:type="dxa"/>
            <w:tcBorders>
              <w:top w:val="nil"/>
              <w:left w:val="nil"/>
              <w:bottom w:val="nil"/>
              <w:right w:val="nil"/>
            </w:tcBorders>
          </w:tcPr>
          <w:p w14:paraId="19DD84A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(140.542)</w:t>
            </w:r>
          </w:p>
        </w:tc>
        <w:tc>
          <w:tcPr>
            <w:tcW w:w="1338" w:type="dxa"/>
            <w:tcBorders>
              <w:top w:val="nil"/>
              <w:left w:val="nil"/>
              <w:bottom w:val="nil"/>
              <w:right w:val="nil"/>
            </w:tcBorders>
          </w:tcPr>
          <w:p w14:paraId="6235EE2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(43.437)</w:t>
            </w:r>
          </w:p>
        </w:tc>
        <w:tc>
          <w:tcPr>
            <w:tcW w:w="1339" w:type="dxa"/>
            <w:tcBorders>
              <w:top w:val="nil"/>
              <w:left w:val="nil"/>
              <w:bottom w:val="nil"/>
              <w:right w:val="nil"/>
            </w:tcBorders>
          </w:tcPr>
          <w:p w14:paraId="49FF1E7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(72.061)</w:t>
            </w:r>
          </w:p>
        </w:tc>
        <w:tc>
          <w:tcPr>
            <w:tcW w:w="1338" w:type="dxa"/>
            <w:tcBorders>
              <w:top w:val="nil"/>
              <w:left w:val="nil"/>
              <w:bottom w:val="nil"/>
              <w:right w:val="nil"/>
            </w:tcBorders>
          </w:tcPr>
          <w:p w14:paraId="5B3FDD0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(35.256)</w:t>
            </w:r>
          </w:p>
        </w:tc>
        <w:tc>
          <w:tcPr>
            <w:tcW w:w="1339" w:type="dxa"/>
            <w:tcBorders>
              <w:top w:val="nil"/>
              <w:left w:val="nil"/>
              <w:bottom w:val="nil"/>
              <w:right w:val="nil"/>
            </w:tcBorders>
          </w:tcPr>
          <w:p w14:paraId="3C0FE2D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(36.296)</w:t>
            </w:r>
          </w:p>
        </w:tc>
      </w:tr>
      <w:tr w:rsidR="00330E0D" w:rsidRPr="00C14FA5" w14:paraId="63B29E22" w14:textId="77777777" w:rsidTr="00B76046">
        <w:trPr>
          <w:jc w:val="center"/>
        </w:trPr>
        <w:tc>
          <w:tcPr>
            <w:tcW w:w="2041" w:type="dxa"/>
            <w:tcBorders>
              <w:top w:val="nil"/>
              <w:left w:val="nil"/>
              <w:bottom w:val="nil"/>
              <w:right w:val="nil"/>
            </w:tcBorders>
          </w:tcPr>
          <w:p w14:paraId="249AC2F6"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w:t>
            </w:r>
            <w:r>
              <w:rPr>
                <w:rFonts w:ascii="Times New Roman" w:hAnsi="Times New Roman" w:cs="Times New Roman Bold"/>
                <w:sz w:val="21"/>
                <w:lang w:val="fr-FR"/>
              </w:rPr>
              <w:t>%</w:t>
            </w:r>
            <w:r w:rsidRPr="00C14FA5">
              <w:rPr>
                <w:rFonts w:ascii="Times New Roman" w:hAnsi="Times New Roman" w:cs="Times New Roman Bold"/>
                <w:sz w:val="21"/>
                <w:lang w:val="fr-FR"/>
              </w:rPr>
              <w:t xml:space="preserve">  x  2007</w:t>
            </w:r>
          </w:p>
        </w:tc>
        <w:tc>
          <w:tcPr>
            <w:tcW w:w="1338" w:type="dxa"/>
            <w:tcBorders>
              <w:top w:val="nil"/>
              <w:left w:val="nil"/>
              <w:bottom w:val="nil"/>
              <w:right w:val="nil"/>
            </w:tcBorders>
          </w:tcPr>
          <w:p w14:paraId="60360E2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59.384</w:t>
            </w:r>
          </w:p>
        </w:tc>
        <w:tc>
          <w:tcPr>
            <w:tcW w:w="1339" w:type="dxa"/>
            <w:tcBorders>
              <w:top w:val="nil"/>
              <w:left w:val="nil"/>
              <w:bottom w:val="nil"/>
              <w:right w:val="nil"/>
            </w:tcBorders>
          </w:tcPr>
          <w:p w14:paraId="14C94C7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-27.392</w:t>
            </w:r>
          </w:p>
        </w:tc>
        <w:tc>
          <w:tcPr>
            <w:tcW w:w="1338" w:type="dxa"/>
            <w:tcBorders>
              <w:top w:val="nil"/>
              <w:left w:val="nil"/>
              <w:bottom w:val="nil"/>
              <w:right w:val="nil"/>
            </w:tcBorders>
          </w:tcPr>
          <w:p w14:paraId="0986BBA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-82.795**</w:t>
            </w:r>
          </w:p>
        </w:tc>
        <w:tc>
          <w:tcPr>
            <w:tcW w:w="1339" w:type="dxa"/>
            <w:tcBorders>
              <w:top w:val="nil"/>
              <w:left w:val="nil"/>
              <w:bottom w:val="nil"/>
              <w:right w:val="nil"/>
            </w:tcBorders>
          </w:tcPr>
          <w:p w14:paraId="10D9FABE"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132.080*</w:t>
            </w:r>
          </w:p>
        </w:tc>
        <w:tc>
          <w:tcPr>
            <w:tcW w:w="1338" w:type="dxa"/>
            <w:tcBorders>
              <w:top w:val="nil"/>
              <w:left w:val="nil"/>
              <w:bottom w:val="nil"/>
              <w:right w:val="nil"/>
            </w:tcBorders>
          </w:tcPr>
          <w:p w14:paraId="1575154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-36.796</w:t>
            </w:r>
          </w:p>
        </w:tc>
        <w:tc>
          <w:tcPr>
            <w:tcW w:w="1339" w:type="dxa"/>
            <w:tcBorders>
              <w:top w:val="nil"/>
              <w:left w:val="nil"/>
              <w:bottom w:val="nil"/>
              <w:right w:val="nil"/>
            </w:tcBorders>
          </w:tcPr>
          <w:p w14:paraId="47BE1ED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-18.538</w:t>
            </w:r>
          </w:p>
        </w:tc>
      </w:tr>
      <w:tr w:rsidR="00330E0D" w:rsidRPr="00C14FA5" w14:paraId="602CDF34" w14:textId="77777777" w:rsidTr="00B76046">
        <w:trPr>
          <w:jc w:val="center"/>
        </w:trPr>
        <w:tc>
          <w:tcPr>
            <w:tcW w:w="2041" w:type="dxa"/>
            <w:tcBorders>
              <w:top w:val="nil"/>
              <w:left w:val="nil"/>
              <w:bottom w:val="nil"/>
              <w:right w:val="nil"/>
            </w:tcBorders>
          </w:tcPr>
          <w:p w14:paraId="566971BD"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263D556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(140.286)</w:t>
            </w:r>
          </w:p>
        </w:tc>
        <w:tc>
          <w:tcPr>
            <w:tcW w:w="1339" w:type="dxa"/>
            <w:tcBorders>
              <w:top w:val="nil"/>
              <w:left w:val="nil"/>
              <w:bottom w:val="nil"/>
              <w:right w:val="nil"/>
            </w:tcBorders>
          </w:tcPr>
          <w:p w14:paraId="1A01051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(106.263)</w:t>
            </w:r>
          </w:p>
        </w:tc>
        <w:tc>
          <w:tcPr>
            <w:tcW w:w="1338" w:type="dxa"/>
            <w:tcBorders>
              <w:top w:val="nil"/>
              <w:left w:val="nil"/>
              <w:bottom w:val="nil"/>
              <w:right w:val="nil"/>
            </w:tcBorders>
          </w:tcPr>
          <w:p w14:paraId="342C11B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(32.634)</w:t>
            </w:r>
          </w:p>
        </w:tc>
        <w:tc>
          <w:tcPr>
            <w:tcW w:w="1339" w:type="dxa"/>
            <w:tcBorders>
              <w:top w:val="nil"/>
              <w:left w:val="nil"/>
              <w:bottom w:val="nil"/>
              <w:right w:val="nil"/>
            </w:tcBorders>
          </w:tcPr>
          <w:p w14:paraId="19AFE68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(72.123)</w:t>
            </w:r>
          </w:p>
        </w:tc>
        <w:tc>
          <w:tcPr>
            <w:tcW w:w="1338" w:type="dxa"/>
            <w:tcBorders>
              <w:top w:val="nil"/>
              <w:left w:val="nil"/>
              <w:bottom w:val="nil"/>
              <w:right w:val="nil"/>
            </w:tcBorders>
          </w:tcPr>
          <w:p w14:paraId="0C2BB57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(24.750)</w:t>
            </w:r>
          </w:p>
        </w:tc>
        <w:tc>
          <w:tcPr>
            <w:tcW w:w="1339" w:type="dxa"/>
            <w:tcBorders>
              <w:top w:val="nil"/>
              <w:left w:val="nil"/>
              <w:bottom w:val="nil"/>
              <w:right w:val="nil"/>
            </w:tcBorders>
          </w:tcPr>
          <w:p w14:paraId="03DD69B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(21.004)</w:t>
            </w:r>
          </w:p>
        </w:tc>
      </w:tr>
      <w:tr w:rsidR="00330E0D" w:rsidRPr="00C14FA5" w14:paraId="0413D935" w14:textId="77777777" w:rsidTr="00B76046">
        <w:trPr>
          <w:jc w:val="center"/>
        </w:trPr>
        <w:tc>
          <w:tcPr>
            <w:tcW w:w="2041" w:type="dxa"/>
            <w:tcBorders>
              <w:top w:val="nil"/>
              <w:left w:val="nil"/>
              <w:bottom w:val="nil"/>
              <w:right w:val="nil"/>
            </w:tcBorders>
          </w:tcPr>
          <w:p w14:paraId="347BAC4D"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w:t>
            </w:r>
            <w:r>
              <w:rPr>
                <w:rFonts w:ascii="Times New Roman" w:hAnsi="Times New Roman" w:cs="Times New Roman Bold"/>
                <w:sz w:val="21"/>
                <w:lang w:val="fr-FR"/>
              </w:rPr>
              <w:t>%</w:t>
            </w:r>
            <w:r w:rsidRPr="00C14FA5">
              <w:rPr>
                <w:rFonts w:ascii="Times New Roman" w:hAnsi="Times New Roman" w:cs="Times New Roman Bold"/>
                <w:sz w:val="21"/>
                <w:lang w:val="fr-FR"/>
              </w:rPr>
              <w:t xml:space="preserve">  x  2008</w:t>
            </w:r>
          </w:p>
        </w:tc>
        <w:tc>
          <w:tcPr>
            <w:tcW w:w="1338" w:type="dxa"/>
            <w:tcBorders>
              <w:top w:val="nil"/>
              <w:left w:val="nil"/>
              <w:bottom w:val="nil"/>
              <w:right w:val="nil"/>
            </w:tcBorders>
          </w:tcPr>
          <w:p w14:paraId="078DDAB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445.009*</w:t>
            </w:r>
          </w:p>
        </w:tc>
        <w:tc>
          <w:tcPr>
            <w:tcW w:w="1339" w:type="dxa"/>
            <w:tcBorders>
              <w:top w:val="nil"/>
              <w:left w:val="nil"/>
              <w:bottom w:val="nil"/>
              <w:right w:val="nil"/>
            </w:tcBorders>
          </w:tcPr>
          <w:p w14:paraId="680C890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282.060</w:t>
            </w:r>
          </w:p>
        </w:tc>
        <w:tc>
          <w:tcPr>
            <w:tcW w:w="1338" w:type="dxa"/>
            <w:tcBorders>
              <w:top w:val="nil"/>
              <w:left w:val="nil"/>
              <w:bottom w:val="nil"/>
              <w:right w:val="nil"/>
            </w:tcBorders>
          </w:tcPr>
          <w:p w14:paraId="43F1B69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-103.169***</w:t>
            </w:r>
          </w:p>
        </w:tc>
        <w:tc>
          <w:tcPr>
            <w:tcW w:w="1339" w:type="dxa"/>
            <w:tcBorders>
              <w:top w:val="nil"/>
              <w:left w:val="nil"/>
              <w:bottom w:val="nil"/>
              <w:right w:val="nil"/>
            </w:tcBorders>
          </w:tcPr>
          <w:p w14:paraId="2AF7CCE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225.357***</w:t>
            </w:r>
          </w:p>
        </w:tc>
        <w:tc>
          <w:tcPr>
            <w:tcW w:w="1338" w:type="dxa"/>
            <w:tcBorders>
              <w:top w:val="nil"/>
              <w:left w:val="nil"/>
              <w:bottom w:val="nil"/>
              <w:right w:val="nil"/>
            </w:tcBorders>
          </w:tcPr>
          <w:p w14:paraId="7F7B826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-65.222**</w:t>
            </w:r>
          </w:p>
        </w:tc>
        <w:tc>
          <w:tcPr>
            <w:tcW w:w="1339" w:type="dxa"/>
            <w:tcBorders>
              <w:top w:val="nil"/>
              <w:left w:val="nil"/>
              <w:bottom w:val="nil"/>
              <w:right w:val="nil"/>
            </w:tcBorders>
          </w:tcPr>
          <w:p w14:paraId="404722EE"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24.306</w:t>
            </w:r>
          </w:p>
        </w:tc>
      </w:tr>
      <w:tr w:rsidR="00330E0D" w:rsidRPr="00C14FA5" w14:paraId="65328099" w14:textId="77777777" w:rsidTr="00B76046">
        <w:trPr>
          <w:jc w:val="center"/>
        </w:trPr>
        <w:tc>
          <w:tcPr>
            <w:tcW w:w="2041" w:type="dxa"/>
            <w:tcBorders>
              <w:top w:val="nil"/>
              <w:left w:val="nil"/>
              <w:bottom w:val="nil"/>
              <w:right w:val="nil"/>
            </w:tcBorders>
          </w:tcPr>
          <w:p w14:paraId="08808A71"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p>
        </w:tc>
        <w:tc>
          <w:tcPr>
            <w:tcW w:w="1338" w:type="dxa"/>
            <w:tcBorders>
              <w:top w:val="nil"/>
              <w:left w:val="nil"/>
              <w:bottom w:val="nil"/>
              <w:right w:val="nil"/>
            </w:tcBorders>
          </w:tcPr>
          <w:p w14:paraId="464BCFC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(245.808)</w:t>
            </w:r>
          </w:p>
        </w:tc>
        <w:tc>
          <w:tcPr>
            <w:tcW w:w="1339" w:type="dxa"/>
            <w:tcBorders>
              <w:top w:val="nil"/>
              <w:left w:val="nil"/>
              <w:bottom w:val="nil"/>
              <w:right w:val="nil"/>
            </w:tcBorders>
          </w:tcPr>
          <w:p w14:paraId="656E6D5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(221.480)</w:t>
            </w:r>
          </w:p>
        </w:tc>
        <w:tc>
          <w:tcPr>
            <w:tcW w:w="1338" w:type="dxa"/>
            <w:tcBorders>
              <w:top w:val="nil"/>
              <w:left w:val="nil"/>
              <w:bottom w:val="nil"/>
              <w:right w:val="nil"/>
            </w:tcBorders>
          </w:tcPr>
          <w:p w14:paraId="5864917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(31.794)</w:t>
            </w:r>
          </w:p>
        </w:tc>
        <w:tc>
          <w:tcPr>
            <w:tcW w:w="1339" w:type="dxa"/>
            <w:tcBorders>
              <w:top w:val="nil"/>
              <w:left w:val="nil"/>
              <w:bottom w:val="nil"/>
              <w:right w:val="nil"/>
            </w:tcBorders>
          </w:tcPr>
          <w:p w14:paraId="252D88A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(79.154)</w:t>
            </w:r>
          </w:p>
        </w:tc>
        <w:tc>
          <w:tcPr>
            <w:tcW w:w="1338" w:type="dxa"/>
            <w:tcBorders>
              <w:top w:val="nil"/>
              <w:left w:val="nil"/>
              <w:bottom w:val="nil"/>
              <w:right w:val="nil"/>
            </w:tcBorders>
          </w:tcPr>
          <w:p w14:paraId="5EE0434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(30.354)</w:t>
            </w:r>
          </w:p>
        </w:tc>
        <w:tc>
          <w:tcPr>
            <w:tcW w:w="1339" w:type="dxa"/>
            <w:tcBorders>
              <w:top w:val="nil"/>
              <w:left w:val="nil"/>
              <w:bottom w:val="nil"/>
              <w:right w:val="nil"/>
            </w:tcBorders>
          </w:tcPr>
          <w:p w14:paraId="5C813DF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(37.790)</w:t>
            </w:r>
          </w:p>
        </w:tc>
      </w:tr>
      <w:tr w:rsidR="00330E0D" w:rsidRPr="00C14FA5" w14:paraId="6E9A17B9" w14:textId="77777777" w:rsidTr="00B76046">
        <w:trPr>
          <w:jc w:val="center"/>
        </w:trPr>
        <w:tc>
          <w:tcPr>
            <w:tcW w:w="2041" w:type="dxa"/>
            <w:tcBorders>
              <w:top w:val="nil"/>
              <w:left w:val="nil"/>
              <w:bottom w:val="nil"/>
              <w:right w:val="nil"/>
            </w:tcBorders>
          </w:tcPr>
          <w:p w14:paraId="5D7C47F2"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lang w:val="fr-FR"/>
              </w:rPr>
            </w:pPr>
            <w:r w:rsidRPr="00C14FA5">
              <w:rPr>
                <w:rFonts w:ascii="Times New Roman" w:hAnsi="Times New Roman" w:cs="Times New Roman Bold"/>
                <w:sz w:val="21"/>
                <w:lang w:val="fr-FR"/>
              </w:rPr>
              <w:t>Top 10</w:t>
            </w:r>
            <w:r>
              <w:rPr>
                <w:rFonts w:ascii="Times New Roman" w:hAnsi="Times New Roman" w:cs="Times New Roman Bold"/>
                <w:sz w:val="21"/>
                <w:lang w:val="fr-FR"/>
              </w:rPr>
              <w:t>%</w:t>
            </w:r>
            <w:r w:rsidRPr="00C14FA5">
              <w:rPr>
                <w:rFonts w:ascii="Times New Roman" w:hAnsi="Times New Roman" w:cs="Times New Roman Bold"/>
                <w:sz w:val="21"/>
                <w:lang w:val="fr-FR"/>
              </w:rPr>
              <w:t xml:space="preserve">  x  2009</w:t>
            </w:r>
          </w:p>
        </w:tc>
        <w:tc>
          <w:tcPr>
            <w:tcW w:w="1338" w:type="dxa"/>
            <w:tcBorders>
              <w:top w:val="nil"/>
              <w:left w:val="nil"/>
              <w:bottom w:val="nil"/>
              <w:right w:val="nil"/>
            </w:tcBorders>
          </w:tcPr>
          <w:p w14:paraId="03E0EB0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413.635*</w:t>
            </w:r>
          </w:p>
        </w:tc>
        <w:tc>
          <w:tcPr>
            <w:tcW w:w="1339" w:type="dxa"/>
            <w:tcBorders>
              <w:top w:val="nil"/>
              <w:left w:val="nil"/>
              <w:bottom w:val="nil"/>
              <w:right w:val="nil"/>
            </w:tcBorders>
          </w:tcPr>
          <w:p w14:paraId="66A441E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387.806*</w:t>
            </w:r>
          </w:p>
        </w:tc>
        <w:tc>
          <w:tcPr>
            <w:tcW w:w="1338" w:type="dxa"/>
            <w:tcBorders>
              <w:top w:val="nil"/>
              <w:left w:val="nil"/>
              <w:bottom w:val="nil"/>
              <w:right w:val="nil"/>
            </w:tcBorders>
          </w:tcPr>
          <w:p w14:paraId="4681322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-68.192*</w:t>
            </w:r>
          </w:p>
        </w:tc>
        <w:tc>
          <w:tcPr>
            <w:tcW w:w="1339" w:type="dxa"/>
            <w:tcBorders>
              <w:top w:val="nil"/>
              <w:left w:val="nil"/>
              <w:bottom w:val="nil"/>
              <w:right w:val="nil"/>
            </w:tcBorders>
          </w:tcPr>
          <w:p w14:paraId="656CF57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102.546</w:t>
            </w:r>
          </w:p>
        </w:tc>
        <w:tc>
          <w:tcPr>
            <w:tcW w:w="1338" w:type="dxa"/>
            <w:tcBorders>
              <w:top w:val="nil"/>
              <w:left w:val="nil"/>
              <w:bottom w:val="nil"/>
              <w:right w:val="nil"/>
            </w:tcBorders>
          </w:tcPr>
          <w:p w14:paraId="2011385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-29.471*</w:t>
            </w:r>
          </w:p>
        </w:tc>
        <w:tc>
          <w:tcPr>
            <w:tcW w:w="1339" w:type="dxa"/>
            <w:tcBorders>
              <w:top w:val="nil"/>
              <w:left w:val="nil"/>
              <w:bottom w:val="nil"/>
              <w:right w:val="nil"/>
            </w:tcBorders>
          </w:tcPr>
          <w:p w14:paraId="4FAB02D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-11.830</w:t>
            </w:r>
          </w:p>
        </w:tc>
      </w:tr>
      <w:tr w:rsidR="00330E0D" w:rsidRPr="00C14FA5" w14:paraId="7A5980B6" w14:textId="77777777" w:rsidTr="00B76046">
        <w:trPr>
          <w:jc w:val="center"/>
        </w:trPr>
        <w:tc>
          <w:tcPr>
            <w:tcW w:w="2041" w:type="dxa"/>
            <w:tcBorders>
              <w:top w:val="nil"/>
              <w:left w:val="nil"/>
              <w:bottom w:val="nil"/>
              <w:right w:val="nil"/>
            </w:tcBorders>
          </w:tcPr>
          <w:p w14:paraId="288D17EF" w14:textId="77777777" w:rsidR="00330E0D" w:rsidRPr="00C14FA5" w:rsidRDefault="00330E0D">
            <w:pPr>
              <w:widowControl w:val="0"/>
              <w:autoSpaceDE w:val="0"/>
              <w:autoSpaceDN w:val="0"/>
              <w:adjustRightInd w:val="0"/>
              <w:rPr>
                <w:rFonts w:ascii="Times New Roman" w:hAnsi="Times New Roman" w:cs="Times New Roman Bold"/>
                <w:sz w:val="21"/>
                <w:lang w:val="fr-FR"/>
              </w:rPr>
            </w:pPr>
          </w:p>
        </w:tc>
        <w:tc>
          <w:tcPr>
            <w:tcW w:w="1338" w:type="dxa"/>
            <w:tcBorders>
              <w:top w:val="nil"/>
              <w:left w:val="nil"/>
              <w:bottom w:val="nil"/>
              <w:right w:val="nil"/>
            </w:tcBorders>
          </w:tcPr>
          <w:p w14:paraId="47DBEBE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(224.753)</w:t>
            </w:r>
          </w:p>
        </w:tc>
        <w:tc>
          <w:tcPr>
            <w:tcW w:w="1339" w:type="dxa"/>
            <w:tcBorders>
              <w:top w:val="nil"/>
              <w:left w:val="nil"/>
              <w:bottom w:val="nil"/>
              <w:right w:val="nil"/>
            </w:tcBorders>
          </w:tcPr>
          <w:p w14:paraId="5AF548E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(205.116)</w:t>
            </w:r>
          </w:p>
        </w:tc>
        <w:tc>
          <w:tcPr>
            <w:tcW w:w="1338" w:type="dxa"/>
            <w:tcBorders>
              <w:top w:val="nil"/>
              <w:left w:val="nil"/>
              <w:bottom w:val="nil"/>
              <w:right w:val="nil"/>
            </w:tcBorders>
          </w:tcPr>
          <w:p w14:paraId="0EFB36F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(36.500)</w:t>
            </w:r>
          </w:p>
        </w:tc>
        <w:tc>
          <w:tcPr>
            <w:tcW w:w="1339" w:type="dxa"/>
            <w:tcBorders>
              <w:top w:val="nil"/>
              <w:left w:val="nil"/>
              <w:bottom w:val="nil"/>
              <w:right w:val="nil"/>
            </w:tcBorders>
          </w:tcPr>
          <w:p w14:paraId="5678622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(70.324)</w:t>
            </w:r>
          </w:p>
        </w:tc>
        <w:tc>
          <w:tcPr>
            <w:tcW w:w="1338" w:type="dxa"/>
            <w:tcBorders>
              <w:top w:val="nil"/>
              <w:left w:val="nil"/>
              <w:bottom w:val="nil"/>
              <w:right w:val="nil"/>
            </w:tcBorders>
          </w:tcPr>
          <w:p w14:paraId="635AED8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(15.808)</w:t>
            </w:r>
          </w:p>
        </w:tc>
        <w:tc>
          <w:tcPr>
            <w:tcW w:w="1339" w:type="dxa"/>
            <w:tcBorders>
              <w:top w:val="nil"/>
              <w:left w:val="nil"/>
              <w:bottom w:val="nil"/>
              <w:right w:val="nil"/>
            </w:tcBorders>
          </w:tcPr>
          <w:p w14:paraId="3258239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(23.780)</w:t>
            </w:r>
          </w:p>
        </w:tc>
      </w:tr>
      <w:tr w:rsidR="00330E0D" w:rsidRPr="00C14FA5" w14:paraId="0673F70D" w14:textId="77777777" w:rsidTr="00B76046">
        <w:trPr>
          <w:jc w:val="center"/>
        </w:trPr>
        <w:tc>
          <w:tcPr>
            <w:tcW w:w="2041" w:type="dxa"/>
            <w:tcBorders>
              <w:top w:val="nil"/>
              <w:left w:val="nil"/>
              <w:bottom w:val="nil"/>
              <w:right w:val="nil"/>
            </w:tcBorders>
          </w:tcPr>
          <w:p w14:paraId="56ABBCCD"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Pr>
                <w:rFonts w:ascii="Times New Roman" w:hAnsi="Times New Roman" w:cs="Times New Roman Bold"/>
                <w:sz w:val="21"/>
              </w:rPr>
              <w:t>T</w:t>
            </w:r>
            <w:r w:rsidRPr="00C14FA5">
              <w:rPr>
                <w:rFonts w:ascii="Times New Roman" w:hAnsi="Times New Roman" w:cs="Times New Roman Bold"/>
                <w:sz w:val="21"/>
              </w:rPr>
              <w:t>otal income ($K)</w:t>
            </w:r>
          </w:p>
        </w:tc>
        <w:tc>
          <w:tcPr>
            <w:tcW w:w="1338" w:type="dxa"/>
            <w:tcBorders>
              <w:top w:val="nil"/>
              <w:left w:val="nil"/>
              <w:bottom w:val="nil"/>
              <w:right w:val="nil"/>
            </w:tcBorders>
          </w:tcPr>
          <w:p w14:paraId="1576F9E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2.972***</w:t>
            </w:r>
          </w:p>
        </w:tc>
        <w:tc>
          <w:tcPr>
            <w:tcW w:w="1339" w:type="dxa"/>
            <w:tcBorders>
              <w:top w:val="nil"/>
              <w:left w:val="nil"/>
              <w:bottom w:val="nil"/>
              <w:right w:val="nil"/>
            </w:tcBorders>
          </w:tcPr>
          <w:p w14:paraId="105D452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1.895***</w:t>
            </w:r>
          </w:p>
        </w:tc>
        <w:tc>
          <w:tcPr>
            <w:tcW w:w="1338" w:type="dxa"/>
            <w:tcBorders>
              <w:top w:val="nil"/>
              <w:left w:val="nil"/>
              <w:bottom w:val="nil"/>
              <w:right w:val="nil"/>
            </w:tcBorders>
          </w:tcPr>
          <w:p w14:paraId="6532617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0.035</w:t>
            </w:r>
          </w:p>
        </w:tc>
        <w:tc>
          <w:tcPr>
            <w:tcW w:w="1339" w:type="dxa"/>
            <w:tcBorders>
              <w:top w:val="nil"/>
              <w:left w:val="nil"/>
              <w:bottom w:val="nil"/>
              <w:right w:val="nil"/>
            </w:tcBorders>
          </w:tcPr>
          <w:p w14:paraId="58D15DC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1.046***</w:t>
            </w:r>
          </w:p>
        </w:tc>
        <w:tc>
          <w:tcPr>
            <w:tcW w:w="1338" w:type="dxa"/>
            <w:tcBorders>
              <w:top w:val="nil"/>
              <w:left w:val="nil"/>
              <w:bottom w:val="nil"/>
              <w:right w:val="nil"/>
            </w:tcBorders>
          </w:tcPr>
          <w:p w14:paraId="730795C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0.001</w:t>
            </w:r>
          </w:p>
        </w:tc>
        <w:tc>
          <w:tcPr>
            <w:tcW w:w="1339" w:type="dxa"/>
            <w:tcBorders>
              <w:top w:val="nil"/>
              <w:left w:val="nil"/>
              <w:bottom w:val="nil"/>
              <w:right w:val="nil"/>
            </w:tcBorders>
          </w:tcPr>
          <w:p w14:paraId="050AB2A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0.036</w:t>
            </w:r>
          </w:p>
        </w:tc>
      </w:tr>
      <w:tr w:rsidR="00330E0D" w:rsidRPr="00C14FA5" w14:paraId="6D3F0984" w14:textId="77777777" w:rsidTr="00B76046">
        <w:trPr>
          <w:jc w:val="center"/>
        </w:trPr>
        <w:tc>
          <w:tcPr>
            <w:tcW w:w="2041" w:type="dxa"/>
            <w:tcBorders>
              <w:top w:val="nil"/>
              <w:left w:val="nil"/>
              <w:bottom w:val="nil"/>
              <w:right w:val="nil"/>
            </w:tcBorders>
          </w:tcPr>
          <w:p w14:paraId="29D96D6A"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p>
        </w:tc>
        <w:tc>
          <w:tcPr>
            <w:tcW w:w="1338" w:type="dxa"/>
            <w:tcBorders>
              <w:top w:val="nil"/>
              <w:left w:val="nil"/>
              <w:bottom w:val="nil"/>
              <w:right w:val="nil"/>
            </w:tcBorders>
          </w:tcPr>
          <w:p w14:paraId="15473E1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(0.512)</w:t>
            </w:r>
          </w:p>
        </w:tc>
        <w:tc>
          <w:tcPr>
            <w:tcW w:w="1339" w:type="dxa"/>
            <w:tcBorders>
              <w:top w:val="nil"/>
              <w:left w:val="nil"/>
              <w:bottom w:val="nil"/>
              <w:right w:val="nil"/>
            </w:tcBorders>
          </w:tcPr>
          <w:p w14:paraId="6926F11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(0.359)</w:t>
            </w:r>
          </w:p>
        </w:tc>
        <w:tc>
          <w:tcPr>
            <w:tcW w:w="1338" w:type="dxa"/>
            <w:tcBorders>
              <w:top w:val="nil"/>
              <w:left w:val="nil"/>
              <w:bottom w:val="nil"/>
              <w:right w:val="nil"/>
            </w:tcBorders>
          </w:tcPr>
          <w:p w14:paraId="15FC0AA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(0.071)</w:t>
            </w:r>
          </w:p>
        </w:tc>
        <w:tc>
          <w:tcPr>
            <w:tcW w:w="1339" w:type="dxa"/>
            <w:tcBorders>
              <w:top w:val="nil"/>
              <w:left w:val="nil"/>
              <w:bottom w:val="nil"/>
              <w:right w:val="nil"/>
            </w:tcBorders>
          </w:tcPr>
          <w:p w14:paraId="01314F7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(0.204)</w:t>
            </w:r>
          </w:p>
        </w:tc>
        <w:tc>
          <w:tcPr>
            <w:tcW w:w="1338" w:type="dxa"/>
            <w:tcBorders>
              <w:top w:val="nil"/>
              <w:left w:val="nil"/>
              <w:bottom w:val="nil"/>
              <w:right w:val="nil"/>
            </w:tcBorders>
          </w:tcPr>
          <w:p w14:paraId="5BC2FEF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(0.057)</w:t>
            </w:r>
          </w:p>
        </w:tc>
        <w:tc>
          <w:tcPr>
            <w:tcW w:w="1339" w:type="dxa"/>
            <w:tcBorders>
              <w:top w:val="nil"/>
              <w:left w:val="nil"/>
              <w:bottom w:val="nil"/>
              <w:right w:val="nil"/>
            </w:tcBorders>
          </w:tcPr>
          <w:p w14:paraId="62BC4F6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(0.031)</w:t>
            </w:r>
          </w:p>
        </w:tc>
      </w:tr>
      <w:tr w:rsidR="00330E0D" w:rsidRPr="00C14FA5" w14:paraId="4F0D0C81" w14:textId="77777777" w:rsidTr="00B76046">
        <w:trPr>
          <w:jc w:val="center"/>
        </w:trPr>
        <w:tc>
          <w:tcPr>
            <w:tcW w:w="2041" w:type="dxa"/>
            <w:tcBorders>
              <w:top w:val="nil"/>
              <w:left w:val="nil"/>
              <w:bottom w:val="nil"/>
              <w:right w:val="nil"/>
            </w:tcBorders>
          </w:tcPr>
          <w:p w14:paraId="265D0AC2"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sidRPr="00C14FA5">
              <w:rPr>
                <w:rFonts w:ascii="Times New Roman" w:hAnsi="Times New Roman" w:cs="Times New Roman Bold"/>
                <w:sz w:val="21"/>
              </w:rPr>
              <w:t>Number of 65+</w:t>
            </w:r>
          </w:p>
        </w:tc>
        <w:tc>
          <w:tcPr>
            <w:tcW w:w="1338" w:type="dxa"/>
            <w:tcBorders>
              <w:top w:val="nil"/>
              <w:left w:val="nil"/>
              <w:bottom w:val="nil"/>
              <w:right w:val="nil"/>
            </w:tcBorders>
          </w:tcPr>
          <w:p w14:paraId="5A728D6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425.406***</w:t>
            </w:r>
          </w:p>
        </w:tc>
        <w:tc>
          <w:tcPr>
            <w:tcW w:w="1339" w:type="dxa"/>
            <w:tcBorders>
              <w:top w:val="nil"/>
              <w:left w:val="nil"/>
              <w:bottom w:val="nil"/>
              <w:right w:val="nil"/>
            </w:tcBorders>
          </w:tcPr>
          <w:p w14:paraId="77A80CA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380.486***</w:t>
            </w:r>
          </w:p>
        </w:tc>
        <w:tc>
          <w:tcPr>
            <w:tcW w:w="1338" w:type="dxa"/>
            <w:tcBorders>
              <w:top w:val="nil"/>
              <w:left w:val="nil"/>
              <w:bottom w:val="nil"/>
              <w:right w:val="nil"/>
            </w:tcBorders>
          </w:tcPr>
          <w:p w14:paraId="04FA20CA"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153.759***</w:t>
            </w:r>
          </w:p>
        </w:tc>
        <w:tc>
          <w:tcPr>
            <w:tcW w:w="1339" w:type="dxa"/>
            <w:tcBorders>
              <w:top w:val="nil"/>
              <w:left w:val="nil"/>
              <w:bottom w:val="nil"/>
              <w:right w:val="nil"/>
            </w:tcBorders>
          </w:tcPr>
          <w:p w14:paraId="0AC888D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3.241</w:t>
            </w:r>
          </w:p>
        </w:tc>
        <w:tc>
          <w:tcPr>
            <w:tcW w:w="1338" w:type="dxa"/>
            <w:tcBorders>
              <w:top w:val="nil"/>
              <w:left w:val="nil"/>
              <w:bottom w:val="nil"/>
              <w:right w:val="nil"/>
            </w:tcBorders>
          </w:tcPr>
          <w:p w14:paraId="4A35DD4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20.492***</w:t>
            </w:r>
          </w:p>
        </w:tc>
        <w:tc>
          <w:tcPr>
            <w:tcW w:w="1339" w:type="dxa"/>
            <w:tcBorders>
              <w:top w:val="nil"/>
              <w:left w:val="nil"/>
              <w:bottom w:val="nil"/>
              <w:right w:val="nil"/>
            </w:tcBorders>
          </w:tcPr>
          <w:p w14:paraId="0F76790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5.028**</w:t>
            </w:r>
          </w:p>
        </w:tc>
      </w:tr>
      <w:tr w:rsidR="00330E0D" w:rsidRPr="00C14FA5" w14:paraId="38040541" w14:textId="77777777" w:rsidTr="00B76046">
        <w:trPr>
          <w:jc w:val="center"/>
        </w:trPr>
        <w:tc>
          <w:tcPr>
            <w:tcW w:w="2041" w:type="dxa"/>
            <w:tcBorders>
              <w:top w:val="nil"/>
              <w:left w:val="nil"/>
              <w:bottom w:val="nil"/>
              <w:right w:val="nil"/>
            </w:tcBorders>
          </w:tcPr>
          <w:p w14:paraId="42A59558"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p>
        </w:tc>
        <w:tc>
          <w:tcPr>
            <w:tcW w:w="1338" w:type="dxa"/>
            <w:tcBorders>
              <w:top w:val="nil"/>
              <w:left w:val="nil"/>
              <w:bottom w:val="nil"/>
              <w:right w:val="nil"/>
            </w:tcBorders>
          </w:tcPr>
          <w:p w14:paraId="655F1AB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(12.847)</w:t>
            </w:r>
          </w:p>
        </w:tc>
        <w:tc>
          <w:tcPr>
            <w:tcW w:w="1339" w:type="dxa"/>
            <w:tcBorders>
              <w:top w:val="nil"/>
              <w:left w:val="nil"/>
              <w:bottom w:val="nil"/>
              <w:right w:val="nil"/>
            </w:tcBorders>
          </w:tcPr>
          <w:p w14:paraId="0C9014AE"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(11.483)</w:t>
            </w:r>
          </w:p>
        </w:tc>
        <w:tc>
          <w:tcPr>
            <w:tcW w:w="1338" w:type="dxa"/>
            <w:tcBorders>
              <w:top w:val="nil"/>
              <w:left w:val="nil"/>
              <w:bottom w:val="nil"/>
              <w:right w:val="nil"/>
            </w:tcBorders>
          </w:tcPr>
          <w:p w14:paraId="0E760DE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(3.855)</w:t>
            </w:r>
          </w:p>
        </w:tc>
        <w:tc>
          <w:tcPr>
            <w:tcW w:w="1339" w:type="dxa"/>
            <w:tcBorders>
              <w:top w:val="nil"/>
              <w:left w:val="nil"/>
              <w:bottom w:val="nil"/>
              <w:right w:val="nil"/>
            </w:tcBorders>
          </w:tcPr>
          <w:p w14:paraId="62006E0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(4.306)</w:t>
            </w:r>
          </w:p>
        </w:tc>
        <w:tc>
          <w:tcPr>
            <w:tcW w:w="1338" w:type="dxa"/>
            <w:tcBorders>
              <w:top w:val="nil"/>
              <w:left w:val="nil"/>
              <w:bottom w:val="nil"/>
              <w:right w:val="nil"/>
            </w:tcBorders>
          </w:tcPr>
          <w:p w14:paraId="458AAA5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(2.969)</w:t>
            </w:r>
          </w:p>
        </w:tc>
        <w:tc>
          <w:tcPr>
            <w:tcW w:w="1339" w:type="dxa"/>
            <w:tcBorders>
              <w:top w:val="nil"/>
              <w:left w:val="nil"/>
              <w:bottom w:val="nil"/>
              <w:right w:val="nil"/>
            </w:tcBorders>
          </w:tcPr>
          <w:p w14:paraId="73B669C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(2.216)</w:t>
            </w:r>
          </w:p>
        </w:tc>
      </w:tr>
      <w:tr w:rsidR="00330E0D" w:rsidRPr="00C14FA5" w14:paraId="38FEFC56" w14:textId="77777777" w:rsidTr="00B76046">
        <w:trPr>
          <w:jc w:val="center"/>
        </w:trPr>
        <w:tc>
          <w:tcPr>
            <w:tcW w:w="2041" w:type="dxa"/>
            <w:tcBorders>
              <w:top w:val="nil"/>
              <w:left w:val="nil"/>
              <w:bottom w:val="nil"/>
              <w:right w:val="nil"/>
            </w:tcBorders>
          </w:tcPr>
          <w:p w14:paraId="0D4A5713"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sidRPr="00C14FA5">
              <w:rPr>
                <w:rFonts w:ascii="Times New Roman" w:hAnsi="Times New Roman" w:cs="Times New Roman Bold"/>
                <w:sz w:val="21"/>
              </w:rPr>
              <w:t>At least one child</w:t>
            </w:r>
          </w:p>
        </w:tc>
        <w:tc>
          <w:tcPr>
            <w:tcW w:w="1338" w:type="dxa"/>
            <w:tcBorders>
              <w:top w:val="nil"/>
              <w:left w:val="nil"/>
              <w:bottom w:val="nil"/>
              <w:right w:val="nil"/>
            </w:tcBorders>
          </w:tcPr>
          <w:p w14:paraId="77FB19D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-253.597***</w:t>
            </w:r>
          </w:p>
        </w:tc>
        <w:tc>
          <w:tcPr>
            <w:tcW w:w="1339" w:type="dxa"/>
            <w:tcBorders>
              <w:top w:val="nil"/>
              <w:left w:val="nil"/>
              <w:bottom w:val="nil"/>
              <w:right w:val="nil"/>
            </w:tcBorders>
          </w:tcPr>
          <w:p w14:paraId="771A3D5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-185.080***</w:t>
            </w:r>
          </w:p>
        </w:tc>
        <w:tc>
          <w:tcPr>
            <w:tcW w:w="1338" w:type="dxa"/>
            <w:tcBorders>
              <w:top w:val="nil"/>
              <w:left w:val="nil"/>
              <w:bottom w:val="nil"/>
              <w:right w:val="nil"/>
            </w:tcBorders>
          </w:tcPr>
          <w:p w14:paraId="44AF36E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-117.052***</w:t>
            </w:r>
          </w:p>
        </w:tc>
        <w:tc>
          <w:tcPr>
            <w:tcW w:w="1339" w:type="dxa"/>
            <w:tcBorders>
              <w:top w:val="nil"/>
              <w:left w:val="nil"/>
              <w:bottom w:val="nil"/>
              <w:right w:val="nil"/>
            </w:tcBorders>
          </w:tcPr>
          <w:p w14:paraId="10D9F3BE"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-9.484</w:t>
            </w:r>
          </w:p>
        </w:tc>
        <w:tc>
          <w:tcPr>
            <w:tcW w:w="1338" w:type="dxa"/>
            <w:tcBorders>
              <w:top w:val="nil"/>
              <w:left w:val="nil"/>
              <w:bottom w:val="nil"/>
              <w:right w:val="nil"/>
            </w:tcBorders>
          </w:tcPr>
          <w:p w14:paraId="14687FDE"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10.899***</w:t>
            </w:r>
          </w:p>
        </w:tc>
        <w:tc>
          <w:tcPr>
            <w:tcW w:w="1339" w:type="dxa"/>
            <w:tcBorders>
              <w:top w:val="nil"/>
              <w:left w:val="nil"/>
              <w:bottom w:val="nil"/>
              <w:right w:val="nil"/>
            </w:tcBorders>
          </w:tcPr>
          <w:p w14:paraId="07FE11D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2.696</w:t>
            </w:r>
          </w:p>
        </w:tc>
      </w:tr>
      <w:tr w:rsidR="00330E0D" w:rsidRPr="00C14FA5" w14:paraId="3935885A" w14:textId="77777777" w:rsidTr="00B76046">
        <w:trPr>
          <w:jc w:val="center"/>
        </w:trPr>
        <w:tc>
          <w:tcPr>
            <w:tcW w:w="2041" w:type="dxa"/>
            <w:tcBorders>
              <w:top w:val="nil"/>
              <w:left w:val="nil"/>
              <w:bottom w:val="nil"/>
              <w:right w:val="nil"/>
            </w:tcBorders>
          </w:tcPr>
          <w:p w14:paraId="29232E8F"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p>
        </w:tc>
        <w:tc>
          <w:tcPr>
            <w:tcW w:w="1338" w:type="dxa"/>
            <w:tcBorders>
              <w:top w:val="nil"/>
              <w:left w:val="nil"/>
              <w:bottom w:val="nil"/>
              <w:right w:val="nil"/>
            </w:tcBorders>
          </w:tcPr>
          <w:p w14:paraId="45BDEA15"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(22.563)</w:t>
            </w:r>
          </w:p>
        </w:tc>
        <w:tc>
          <w:tcPr>
            <w:tcW w:w="1339" w:type="dxa"/>
            <w:tcBorders>
              <w:top w:val="nil"/>
              <w:left w:val="nil"/>
              <w:bottom w:val="nil"/>
              <w:right w:val="nil"/>
            </w:tcBorders>
          </w:tcPr>
          <w:p w14:paraId="21CA021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(18.822)</w:t>
            </w:r>
          </w:p>
        </w:tc>
        <w:tc>
          <w:tcPr>
            <w:tcW w:w="1338" w:type="dxa"/>
            <w:tcBorders>
              <w:top w:val="nil"/>
              <w:left w:val="nil"/>
              <w:bottom w:val="nil"/>
              <w:right w:val="nil"/>
            </w:tcBorders>
          </w:tcPr>
          <w:p w14:paraId="5DBE293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(6.338)</w:t>
            </w:r>
          </w:p>
        </w:tc>
        <w:tc>
          <w:tcPr>
            <w:tcW w:w="1339" w:type="dxa"/>
            <w:tcBorders>
              <w:top w:val="nil"/>
              <w:left w:val="nil"/>
              <w:bottom w:val="nil"/>
              <w:right w:val="nil"/>
            </w:tcBorders>
          </w:tcPr>
          <w:p w14:paraId="63409B37"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(9.637)</w:t>
            </w:r>
          </w:p>
        </w:tc>
        <w:tc>
          <w:tcPr>
            <w:tcW w:w="1338" w:type="dxa"/>
            <w:tcBorders>
              <w:top w:val="nil"/>
              <w:left w:val="nil"/>
              <w:bottom w:val="nil"/>
              <w:right w:val="nil"/>
            </w:tcBorders>
          </w:tcPr>
          <w:p w14:paraId="408F849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(3.459)</w:t>
            </w:r>
          </w:p>
        </w:tc>
        <w:tc>
          <w:tcPr>
            <w:tcW w:w="1339" w:type="dxa"/>
            <w:tcBorders>
              <w:top w:val="nil"/>
              <w:left w:val="nil"/>
              <w:bottom w:val="nil"/>
              <w:right w:val="nil"/>
            </w:tcBorders>
          </w:tcPr>
          <w:p w14:paraId="5CDD849E"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(2.173)</w:t>
            </w:r>
          </w:p>
        </w:tc>
      </w:tr>
      <w:tr w:rsidR="00330E0D" w:rsidRPr="00C14FA5" w14:paraId="71F774E3" w14:textId="77777777" w:rsidTr="00B76046">
        <w:trPr>
          <w:jc w:val="center"/>
        </w:trPr>
        <w:tc>
          <w:tcPr>
            <w:tcW w:w="2041" w:type="dxa"/>
            <w:tcBorders>
              <w:top w:val="nil"/>
              <w:left w:val="nil"/>
              <w:bottom w:val="nil"/>
              <w:right w:val="nil"/>
            </w:tcBorders>
          </w:tcPr>
          <w:p w14:paraId="55BCAE33"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Pr>
                <w:rFonts w:ascii="Times New Roman" w:hAnsi="Times New Roman" w:cs="Times New Roman Bold"/>
                <w:sz w:val="21"/>
              </w:rPr>
              <w:t>H</w:t>
            </w:r>
            <w:r w:rsidRPr="00C14FA5">
              <w:rPr>
                <w:rFonts w:ascii="Times New Roman" w:hAnsi="Times New Roman" w:cs="Times New Roman Bold"/>
                <w:sz w:val="21"/>
              </w:rPr>
              <w:t xml:space="preserve">ousehold size </w:t>
            </w:r>
          </w:p>
        </w:tc>
        <w:tc>
          <w:tcPr>
            <w:tcW w:w="1338" w:type="dxa"/>
            <w:tcBorders>
              <w:top w:val="nil"/>
              <w:left w:val="nil"/>
              <w:bottom w:val="nil"/>
              <w:right w:val="nil"/>
            </w:tcBorders>
          </w:tcPr>
          <w:p w14:paraId="4273BBA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130.301***</w:t>
            </w:r>
          </w:p>
        </w:tc>
        <w:tc>
          <w:tcPr>
            <w:tcW w:w="1339" w:type="dxa"/>
            <w:tcBorders>
              <w:top w:val="nil"/>
              <w:left w:val="nil"/>
              <w:bottom w:val="nil"/>
              <w:right w:val="nil"/>
            </w:tcBorders>
          </w:tcPr>
          <w:p w14:paraId="6CF21F4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103.464***</w:t>
            </w:r>
          </w:p>
        </w:tc>
        <w:tc>
          <w:tcPr>
            <w:tcW w:w="1338" w:type="dxa"/>
            <w:tcBorders>
              <w:top w:val="nil"/>
              <w:left w:val="nil"/>
              <w:bottom w:val="nil"/>
              <w:right w:val="nil"/>
            </w:tcBorders>
          </w:tcPr>
          <w:p w14:paraId="1FA6B01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33.989***</w:t>
            </w:r>
          </w:p>
        </w:tc>
        <w:tc>
          <w:tcPr>
            <w:tcW w:w="1339" w:type="dxa"/>
            <w:tcBorders>
              <w:top w:val="nil"/>
              <w:left w:val="nil"/>
              <w:bottom w:val="nil"/>
              <w:right w:val="nil"/>
            </w:tcBorders>
          </w:tcPr>
          <w:p w14:paraId="58BD954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-1.343</w:t>
            </w:r>
          </w:p>
        </w:tc>
        <w:tc>
          <w:tcPr>
            <w:tcW w:w="1338" w:type="dxa"/>
            <w:tcBorders>
              <w:top w:val="nil"/>
              <w:left w:val="nil"/>
              <w:bottom w:val="nil"/>
              <w:right w:val="nil"/>
            </w:tcBorders>
          </w:tcPr>
          <w:p w14:paraId="7C13BBF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-3.804***</w:t>
            </w:r>
          </w:p>
        </w:tc>
        <w:tc>
          <w:tcPr>
            <w:tcW w:w="1339" w:type="dxa"/>
            <w:tcBorders>
              <w:top w:val="nil"/>
              <w:left w:val="nil"/>
              <w:bottom w:val="nil"/>
              <w:right w:val="nil"/>
            </w:tcBorders>
          </w:tcPr>
          <w:p w14:paraId="1C1F25BD"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-2.247*</w:t>
            </w:r>
          </w:p>
        </w:tc>
      </w:tr>
      <w:tr w:rsidR="00330E0D" w:rsidRPr="00C14FA5" w14:paraId="347D2B5F" w14:textId="77777777" w:rsidTr="00B76046">
        <w:trPr>
          <w:jc w:val="center"/>
        </w:trPr>
        <w:tc>
          <w:tcPr>
            <w:tcW w:w="2041" w:type="dxa"/>
            <w:tcBorders>
              <w:top w:val="nil"/>
              <w:left w:val="nil"/>
              <w:bottom w:val="nil"/>
              <w:right w:val="nil"/>
            </w:tcBorders>
          </w:tcPr>
          <w:p w14:paraId="3D4C0F44"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p>
        </w:tc>
        <w:tc>
          <w:tcPr>
            <w:tcW w:w="1338" w:type="dxa"/>
            <w:tcBorders>
              <w:top w:val="nil"/>
              <w:left w:val="nil"/>
              <w:bottom w:val="nil"/>
              <w:right w:val="nil"/>
            </w:tcBorders>
          </w:tcPr>
          <w:p w14:paraId="29F285A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(9.976)</w:t>
            </w:r>
          </w:p>
        </w:tc>
        <w:tc>
          <w:tcPr>
            <w:tcW w:w="1339" w:type="dxa"/>
            <w:tcBorders>
              <w:top w:val="nil"/>
              <w:left w:val="nil"/>
              <w:bottom w:val="nil"/>
              <w:right w:val="nil"/>
            </w:tcBorders>
          </w:tcPr>
          <w:p w14:paraId="57FD813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(8.334)</w:t>
            </w:r>
          </w:p>
        </w:tc>
        <w:tc>
          <w:tcPr>
            <w:tcW w:w="1338" w:type="dxa"/>
            <w:tcBorders>
              <w:top w:val="nil"/>
              <w:left w:val="nil"/>
              <w:bottom w:val="nil"/>
              <w:right w:val="nil"/>
            </w:tcBorders>
          </w:tcPr>
          <w:p w14:paraId="33526A3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(2.736)</w:t>
            </w:r>
          </w:p>
        </w:tc>
        <w:tc>
          <w:tcPr>
            <w:tcW w:w="1339" w:type="dxa"/>
            <w:tcBorders>
              <w:top w:val="nil"/>
              <w:left w:val="nil"/>
              <w:bottom w:val="nil"/>
              <w:right w:val="nil"/>
            </w:tcBorders>
          </w:tcPr>
          <w:p w14:paraId="7BC11D36"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(3.920)</w:t>
            </w:r>
          </w:p>
        </w:tc>
        <w:tc>
          <w:tcPr>
            <w:tcW w:w="1338" w:type="dxa"/>
            <w:tcBorders>
              <w:top w:val="nil"/>
              <w:left w:val="nil"/>
              <w:bottom w:val="nil"/>
              <w:right w:val="nil"/>
            </w:tcBorders>
          </w:tcPr>
          <w:p w14:paraId="3A8A960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(1.208)</w:t>
            </w:r>
          </w:p>
        </w:tc>
        <w:tc>
          <w:tcPr>
            <w:tcW w:w="1339" w:type="dxa"/>
            <w:tcBorders>
              <w:top w:val="nil"/>
              <w:left w:val="nil"/>
              <w:bottom w:val="nil"/>
              <w:right w:val="nil"/>
            </w:tcBorders>
          </w:tcPr>
          <w:p w14:paraId="71AA7CA8"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(1.186)</w:t>
            </w:r>
          </w:p>
        </w:tc>
      </w:tr>
      <w:tr w:rsidR="00330E0D" w:rsidRPr="00C14FA5" w14:paraId="2C36164C" w14:textId="77777777" w:rsidTr="00B76046">
        <w:trPr>
          <w:jc w:val="center"/>
        </w:trPr>
        <w:tc>
          <w:tcPr>
            <w:tcW w:w="2041" w:type="dxa"/>
            <w:tcBorders>
              <w:top w:val="nil"/>
              <w:left w:val="nil"/>
              <w:bottom w:val="nil"/>
              <w:right w:val="nil"/>
            </w:tcBorders>
          </w:tcPr>
          <w:p w14:paraId="40F5BC8B"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sidRPr="00C14FA5">
              <w:rPr>
                <w:rFonts w:ascii="Times New Roman" w:hAnsi="Times New Roman" w:cs="Times New Roman Bold"/>
                <w:sz w:val="21"/>
              </w:rPr>
              <w:t>Married couple</w:t>
            </w:r>
          </w:p>
        </w:tc>
        <w:tc>
          <w:tcPr>
            <w:tcW w:w="1338" w:type="dxa"/>
            <w:tcBorders>
              <w:top w:val="nil"/>
              <w:left w:val="nil"/>
              <w:bottom w:val="nil"/>
              <w:right w:val="nil"/>
            </w:tcBorders>
          </w:tcPr>
          <w:p w14:paraId="2E4F02F4"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208.461***</w:t>
            </w:r>
          </w:p>
        </w:tc>
        <w:tc>
          <w:tcPr>
            <w:tcW w:w="1339" w:type="dxa"/>
            <w:tcBorders>
              <w:top w:val="nil"/>
              <w:left w:val="nil"/>
              <w:bottom w:val="nil"/>
              <w:right w:val="nil"/>
            </w:tcBorders>
          </w:tcPr>
          <w:p w14:paraId="2831180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97.177***</w:t>
            </w:r>
          </w:p>
        </w:tc>
        <w:tc>
          <w:tcPr>
            <w:tcW w:w="1338" w:type="dxa"/>
            <w:tcBorders>
              <w:top w:val="nil"/>
              <w:left w:val="nil"/>
              <w:bottom w:val="nil"/>
              <w:right w:val="nil"/>
            </w:tcBorders>
          </w:tcPr>
          <w:p w14:paraId="7E7429D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78.510***</w:t>
            </w:r>
          </w:p>
        </w:tc>
        <w:tc>
          <w:tcPr>
            <w:tcW w:w="1339" w:type="dxa"/>
            <w:tcBorders>
              <w:top w:val="nil"/>
              <w:left w:val="nil"/>
              <w:bottom w:val="nil"/>
              <w:right w:val="nil"/>
            </w:tcBorders>
          </w:tcPr>
          <w:p w14:paraId="4975569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80.138***</w:t>
            </w:r>
          </w:p>
        </w:tc>
        <w:tc>
          <w:tcPr>
            <w:tcW w:w="1338" w:type="dxa"/>
            <w:tcBorders>
              <w:top w:val="nil"/>
              <w:left w:val="nil"/>
              <w:bottom w:val="nil"/>
              <w:right w:val="nil"/>
            </w:tcBorders>
          </w:tcPr>
          <w:p w14:paraId="3588086B"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-7.800*</w:t>
            </w:r>
          </w:p>
        </w:tc>
        <w:tc>
          <w:tcPr>
            <w:tcW w:w="1339" w:type="dxa"/>
            <w:tcBorders>
              <w:top w:val="nil"/>
              <w:left w:val="nil"/>
              <w:bottom w:val="nil"/>
              <w:right w:val="nil"/>
            </w:tcBorders>
          </w:tcPr>
          <w:p w14:paraId="3EB7CCBC"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7.322***</w:t>
            </w:r>
          </w:p>
        </w:tc>
      </w:tr>
      <w:tr w:rsidR="00330E0D" w:rsidRPr="00C14FA5" w14:paraId="7ABBD03F" w14:textId="77777777" w:rsidTr="00B76046">
        <w:trPr>
          <w:jc w:val="center"/>
        </w:trPr>
        <w:tc>
          <w:tcPr>
            <w:tcW w:w="2041" w:type="dxa"/>
            <w:tcBorders>
              <w:top w:val="nil"/>
              <w:left w:val="nil"/>
              <w:bottom w:val="nil"/>
              <w:right w:val="nil"/>
            </w:tcBorders>
          </w:tcPr>
          <w:p w14:paraId="32023ED2" w14:textId="77777777" w:rsidR="00330E0D" w:rsidRPr="00C14FA5" w:rsidRDefault="00330E0D">
            <w:pPr>
              <w:widowControl w:val="0"/>
              <w:autoSpaceDE w:val="0"/>
              <w:autoSpaceDN w:val="0"/>
              <w:adjustRightInd w:val="0"/>
              <w:rPr>
                <w:rFonts w:ascii="Times New Roman" w:hAnsi="Times New Roman" w:cs="Times New Roman Bold"/>
                <w:sz w:val="21"/>
              </w:rPr>
            </w:pPr>
          </w:p>
        </w:tc>
        <w:tc>
          <w:tcPr>
            <w:tcW w:w="1338" w:type="dxa"/>
            <w:tcBorders>
              <w:top w:val="nil"/>
              <w:left w:val="nil"/>
              <w:bottom w:val="nil"/>
              <w:right w:val="nil"/>
            </w:tcBorders>
          </w:tcPr>
          <w:p w14:paraId="1B30D6A2"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(17.422)</w:t>
            </w:r>
          </w:p>
        </w:tc>
        <w:tc>
          <w:tcPr>
            <w:tcW w:w="1339" w:type="dxa"/>
            <w:tcBorders>
              <w:top w:val="nil"/>
              <w:left w:val="nil"/>
              <w:bottom w:val="nil"/>
              <w:right w:val="nil"/>
            </w:tcBorders>
          </w:tcPr>
          <w:p w14:paraId="3BA6BE3F"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(15.202)</w:t>
            </w:r>
          </w:p>
        </w:tc>
        <w:tc>
          <w:tcPr>
            <w:tcW w:w="1338" w:type="dxa"/>
            <w:tcBorders>
              <w:top w:val="nil"/>
              <w:left w:val="nil"/>
              <w:bottom w:val="nil"/>
              <w:right w:val="nil"/>
            </w:tcBorders>
          </w:tcPr>
          <w:p w14:paraId="06DD55F9"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(5.221)</w:t>
            </w:r>
          </w:p>
        </w:tc>
        <w:tc>
          <w:tcPr>
            <w:tcW w:w="1339" w:type="dxa"/>
            <w:tcBorders>
              <w:top w:val="nil"/>
              <w:left w:val="nil"/>
              <w:bottom w:val="nil"/>
              <w:right w:val="nil"/>
            </w:tcBorders>
          </w:tcPr>
          <w:p w14:paraId="7437F830"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(6.013)</w:t>
            </w:r>
          </w:p>
        </w:tc>
        <w:tc>
          <w:tcPr>
            <w:tcW w:w="1338" w:type="dxa"/>
            <w:tcBorders>
              <w:top w:val="nil"/>
              <w:left w:val="nil"/>
              <w:bottom w:val="nil"/>
              <w:right w:val="nil"/>
            </w:tcBorders>
          </w:tcPr>
          <w:p w14:paraId="22393543"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(4.161)</w:t>
            </w:r>
          </w:p>
        </w:tc>
        <w:tc>
          <w:tcPr>
            <w:tcW w:w="1339" w:type="dxa"/>
            <w:tcBorders>
              <w:top w:val="nil"/>
              <w:left w:val="nil"/>
              <w:bottom w:val="nil"/>
              <w:right w:val="nil"/>
            </w:tcBorders>
          </w:tcPr>
          <w:p w14:paraId="07BD0D81" w14:textId="77777777" w:rsidR="00330E0D" w:rsidRPr="00330E0D" w:rsidRDefault="00330E0D">
            <w:pPr>
              <w:widowControl w:val="0"/>
              <w:autoSpaceDE w:val="0"/>
              <w:autoSpaceDN w:val="0"/>
              <w:adjustRightInd w:val="0"/>
              <w:jc w:val="center"/>
              <w:rPr>
                <w:rFonts w:ascii="Times New Roman" w:hAnsi="Times New Roman" w:cs="Times New Roman"/>
                <w:sz w:val="21"/>
                <w:lang w:val="fr-FR"/>
              </w:rPr>
            </w:pPr>
            <w:r w:rsidRPr="00330E0D">
              <w:rPr>
                <w:rFonts w:ascii="Times New Roman" w:hAnsi="Times New Roman" w:cs="Times New Roman"/>
                <w:sz w:val="21"/>
                <w:szCs w:val="21"/>
              </w:rPr>
              <w:t>(2.532)</w:t>
            </w:r>
          </w:p>
        </w:tc>
      </w:tr>
      <w:tr w:rsidR="00330E0D" w:rsidRPr="00C14FA5" w14:paraId="1157F9D9" w14:textId="77777777" w:rsidTr="00B76046">
        <w:trPr>
          <w:jc w:val="center"/>
        </w:trPr>
        <w:tc>
          <w:tcPr>
            <w:tcW w:w="2041" w:type="dxa"/>
            <w:tcBorders>
              <w:top w:val="nil"/>
              <w:left w:val="nil"/>
              <w:bottom w:val="nil"/>
              <w:right w:val="nil"/>
            </w:tcBorders>
          </w:tcPr>
          <w:p w14:paraId="1230FE8B" w14:textId="77777777" w:rsidR="00330E0D" w:rsidRPr="00C14FA5" w:rsidRDefault="00330E0D">
            <w:pPr>
              <w:widowControl w:val="0"/>
              <w:autoSpaceDE w:val="0"/>
              <w:autoSpaceDN w:val="0"/>
              <w:adjustRightInd w:val="0"/>
              <w:rPr>
                <w:rFonts w:ascii="Times New Roman" w:hAnsi="Times New Roman" w:cs="Times New Roman Bold"/>
                <w:sz w:val="21"/>
              </w:rPr>
            </w:pPr>
          </w:p>
        </w:tc>
        <w:tc>
          <w:tcPr>
            <w:tcW w:w="1338" w:type="dxa"/>
            <w:tcBorders>
              <w:top w:val="nil"/>
              <w:left w:val="nil"/>
              <w:bottom w:val="nil"/>
              <w:right w:val="nil"/>
            </w:tcBorders>
          </w:tcPr>
          <w:p w14:paraId="7CA1E57F" w14:textId="77777777" w:rsidR="00330E0D" w:rsidRPr="00330E0D" w:rsidRDefault="00330E0D">
            <w:pPr>
              <w:widowControl w:val="0"/>
              <w:autoSpaceDE w:val="0"/>
              <w:autoSpaceDN w:val="0"/>
              <w:adjustRightInd w:val="0"/>
              <w:jc w:val="center"/>
              <w:rPr>
                <w:rFonts w:ascii="Times New Roman" w:hAnsi="Times New Roman" w:cs="Times New Roman"/>
                <w:sz w:val="21"/>
              </w:rPr>
            </w:pPr>
            <w:r w:rsidRPr="00330E0D">
              <w:rPr>
                <w:rFonts w:ascii="Times New Roman" w:hAnsi="Times New Roman" w:cs="Times New Roman"/>
                <w:sz w:val="21"/>
                <w:szCs w:val="21"/>
              </w:rPr>
              <w:t>(46.753)</w:t>
            </w:r>
          </w:p>
        </w:tc>
        <w:tc>
          <w:tcPr>
            <w:tcW w:w="1339" w:type="dxa"/>
            <w:tcBorders>
              <w:top w:val="nil"/>
              <w:left w:val="nil"/>
              <w:bottom w:val="nil"/>
              <w:right w:val="nil"/>
            </w:tcBorders>
          </w:tcPr>
          <w:p w14:paraId="69EE3285" w14:textId="77777777" w:rsidR="00330E0D" w:rsidRPr="00330E0D" w:rsidRDefault="00330E0D">
            <w:pPr>
              <w:widowControl w:val="0"/>
              <w:autoSpaceDE w:val="0"/>
              <w:autoSpaceDN w:val="0"/>
              <w:adjustRightInd w:val="0"/>
              <w:jc w:val="center"/>
              <w:rPr>
                <w:rFonts w:ascii="Times New Roman" w:hAnsi="Times New Roman" w:cs="Times New Roman"/>
                <w:sz w:val="21"/>
              </w:rPr>
            </w:pPr>
            <w:r w:rsidRPr="00330E0D">
              <w:rPr>
                <w:rFonts w:ascii="Times New Roman" w:hAnsi="Times New Roman" w:cs="Times New Roman"/>
                <w:sz w:val="21"/>
                <w:szCs w:val="21"/>
              </w:rPr>
              <w:t>(41.061)</w:t>
            </w:r>
          </w:p>
        </w:tc>
        <w:tc>
          <w:tcPr>
            <w:tcW w:w="1338" w:type="dxa"/>
            <w:tcBorders>
              <w:top w:val="nil"/>
              <w:left w:val="nil"/>
              <w:bottom w:val="nil"/>
              <w:right w:val="nil"/>
            </w:tcBorders>
          </w:tcPr>
          <w:p w14:paraId="7214FC0B" w14:textId="77777777" w:rsidR="00330E0D" w:rsidRPr="00330E0D" w:rsidRDefault="00330E0D">
            <w:pPr>
              <w:widowControl w:val="0"/>
              <w:autoSpaceDE w:val="0"/>
              <w:autoSpaceDN w:val="0"/>
              <w:adjustRightInd w:val="0"/>
              <w:jc w:val="center"/>
              <w:rPr>
                <w:rFonts w:ascii="Times New Roman" w:hAnsi="Times New Roman" w:cs="Times New Roman"/>
                <w:sz w:val="21"/>
              </w:rPr>
            </w:pPr>
            <w:r w:rsidRPr="00330E0D">
              <w:rPr>
                <w:rFonts w:ascii="Times New Roman" w:hAnsi="Times New Roman" w:cs="Times New Roman"/>
                <w:sz w:val="21"/>
                <w:szCs w:val="21"/>
              </w:rPr>
              <w:t>(16.789)</w:t>
            </w:r>
          </w:p>
        </w:tc>
        <w:tc>
          <w:tcPr>
            <w:tcW w:w="1339" w:type="dxa"/>
            <w:tcBorders>
              <w:top w:val="nil"/>
              <w:left w:val="nil"/>
              <w:bottom w:val="nil"/>
              <w:right w:val="nil"/>
            </w:tcBorders>
          </w:tcPr>
          <w:p w14:paraId="2A162922" w14:textId="77777777" w:rsidR="00330E0D" w:rsidRPr="00330E0D" w:rsidRDefault="00330E0D">
            <w:pPr>
              <w:widowControl w:val="0"/>
              <w:autoSpaceDE w:val="0"/>
              <w:autoSpaceDN w:val="0"/>
              <w:adjustRightInd w:val="0"/>
              <w:jc w:val="center"/>
              <w:rPr>
                <w:rFonts w:ascii="Times New Roman" w:hAnsi="Times New Roman" w:cs="Times New Roman"/>
                <w:sz w:val="21"/>
              </w:rPr>
            </w:pPr>
            <w:r w:rsidRPr="00330E0D">
              <w:rPr>
                <w:rFonts w:ascii="Times New Roman" w:hAnsi="Times New Roman" w:cs="Times New Roman"/>
                <w:sz w:val="21"/>
                <w:szCs w:val="21"/>
              </w:rPr>
              <w:t>(15.764)</w:t>
            </w:r>
          </w:p>
        </w:tc>
        <w:tc>
          <w:tcPr>
            <w:tcW w:w="1338" w:type="dxa"/>
            <w:tcBorders>
              <w:top w:val="nil"/>
              <w:left w:val="nil"/>
              <w:bottom w:val="nil"/>
              <w:right w:val="nil"/>
            </w:tcBorders>
          </w:tcPr>
          <w:p w14:paraId="2F34D000" w14:textId="77777777" w:rsidR="00330E0D" w:rsidRPr="00330E0D" w:rsidRDefault="00330E0D">
            <w:pPr>
              <w:widowControl w:val="0"/>
              <w:autoSpaceDE w:val="0"/>
              <w:autoSpaceDN w:val="0"/>
              <w:adjustRightInd w:val="0"/>
              <w:jc w:val="center"/>
              <w:rPr>
                <w:rFonts w:ascii="Times New Roman" w:hAnsi="Times New Roman" w:cs="Times New Roman"/>
                <w:sz w:val="21"/>
              </w:rPr>
            </w:pPr>
            <w:r w:rsidRPr="00330E0D">
              <w:rPr>
                <w:rFonts w:ascii="Times New Roman" w:hAnsi="Times New Roman" w:cs="Times New Roman"/>
                <w:sz w:val="21"/>
                <w:szCs w:val="21"/>
              </w:rPr>
              <w:t>(14.787)</w:t>
            </w:r>
          </w:p>
        </w:tc>
        <w:tc>
          <w:tcPr>
            <w:tcW w:w="1339" w:type="dxa"/>
            <w:tcBorders>
              <w:top w:val="nil"/>
              <w:left w:val="nil"/>
              <w:bottom w:val="nil"/>
              <w:right w:val="nil"/>
            </w:tcBorders>
          </w:tcPr>
          <w:p w14:paraId="181C50E4" w14:textId="77777777" w:rsidR="00330E0D" w:rsidRPr="00330E0D" w:rsidRDefault="00330E0D">
            <w:pPr>
              <w:widowControl w:val="0"/>
              <w:autoSpaceDE w:val="0"/>
              <w:autoSpaceDN w:val="0"/>
              <w:adjustRightInd w:val="0"/>
              <w:jc w:val="center"/>
              <w:rPr>
                <w:rFonts w:ascii="Times New Roman" w:hAnsi="Times New Roman" w:cs="Times New Roman"/>
                <w:sz w:val="21"/>
              </w:rPr>
            </w:pPr>
            <w:r w:rsidRPr="00330E0D">
              <w:rPr>
                <w:rFonts w:ascii="Times New Roman" w:hAnsi="Times New Roman" w:cs="Times New Roman"/>
                <w:sz w:val="21"/>
                <w:szCs w:val="21"/>
              </w:rPr>
              <w:t>(3.880)</w:t>
            </w:r>
          </w:p>
        </w:tc>
      </w:tr>
      <w:tr w:rsidR="00330E0D" w:rsidRPr="00C14FA5" w14:paraId="496893A8" w14:textId="77777777" w:rsidTr="00B76046">
        <w:trPr>
          <w:jc w:val="center"/>
        </w:trPr>
        <w:tc>
          <w:tcPr>
            <w:tcW w:w="2041" w:type="dxa"/>
            <w:tcBorders>
              <w:top w:val="nil"/>
              <w:left w:val="nil"/>
              <w:right w:val="nil"/>
            </w:tcBorders>
          </w:tcPr>
          <w:p w14:paraId="7718A417"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sidRPr="00C14FA5">
              <w:rPr>
                <w:rFonts w:ascii="Times New Roman" w:hAnsi="Times New Roman" w:cs="Times New Roman Bold"/>
                <w:sz w:val="21"/>
              </w:rPr>
              <w:t>Province FE</w:t>
            </w:r>
          </w:p>
        </w:tc>
        <w:tc>
          <w:tcPr>
            <w:tcW w:w="1338" w:type="dxa"/>
            <w:tcBorders>
              <w:top w:val="nil"/>
              <w:left w:val="nil"/>
              <w:right w:val="nil"/>
            </w:tcBorders>
          </w:tcPr>
          <w:p w14:paraId="075BF148"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right w:val="nil"/>
            </w:tcBorders>
          </w:tcPr>
          <w:p w14:paraId="6D44126C"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8" w:type="dxa"/>
            <w:tcBorders>
              <w:top w:val="nil"/>
              <w:left w:val="nil"/>
              <w:right w:val="nil"/>
            </w:tcBorders>
          </w:tcPr>
          <w:p w14:paraId="6783AD12"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right w:val="nil"/>
            </w:tcBorders>
          </w:tcPr>
          <w:p w14:paraId="419384D9"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8" w:type="dxa"/>
            <w:tcBorders>
              <w:top w:val="nil"/>
              <w:left w:val="nil"/>
              <w:right w:val="nil"/>
            </w:tcBorders>
          </w:tcPr>
          <w:p w14:paraId="535C5598"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right w:val="nil"/>
            </w:tcBorders>
          </w:tcPr>
          <w:p w14:paraId="184C7D1E"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r>
      <w:tr w:rsidR="00330E0D" w:rsidRPr="00C14FA5" w14:paraId="32F2C65E" w14:textId="77777777" w:rsidTr="00B76046">
        <w:trPr>
          <w:jc w:val="center"/>
        </w:trPr>
        <w:tc>
          <w:tcPr>
            <w:tcW w:w="2041" w:type="dxa"/>
            <w:tcBorders>
              <w:top w:val="nil"/>
              <w:left w:val="nil"/>
              <w:bottom w:val="single" w:sz="4" w:space="0" w:color="auto"/>
              <w:right w:val="nil"/>
            </w:tcBorders>
          </w:tcPr>
          <w:p w14:paraId="4BF570DE"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sidRPr="00C14FA5">
              <w:rPr>
                <w:rFonts w:ascii="Times New Roman" w:hAnsi="Times New Roman" w:cs="Times New Roman Bold"/>
                <w:sz w:val="21"/>
              </w:rPr>
              <w:t>Year FE</w:t>
            </w:r>
          </w:p>
        </w:tc>
        <w:tc>
          <w:tcPr>
            <w:tcW w:w="1338" w:type="dxa"/>
            <w:tcBorders>
              <w:top w:val="nil"/>
              <w:left w:val="nil"/>
              <w:bottom w:val="single" w:sz="4" w:space="0" w:color="auto"/>
              <w:right w:val="nil"/>
            </w:tcBorders>
          </w:tcPr>
          <w:p w14:paraId="21F7D083"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bottom w:val="single" w:sz="4" w:space="0" w:color="auto"/>
              <w:right w:val="nil"/>
            </w:tcBorders>
          </w:tcPr>
          <w:p w14:paraId="3B06FF97"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8" w:type="dxa"/>
            <w:tcBorders>
              <w:top w:val="nil"/>
              <w:left w:val="nil"/>
              <w:bottom w:val="single" w:sz="4" w:space="0" w:color="auto"/>
              <w:right w:val="nil"/>
            </w:tcBorders>
          </w:tcPr>
          <w:p w14:paraId="16882112"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bottom w:val="single" w:sz="4" w:space="0" w:color="auto"/>
              <w:right w:val="nil"/>
            </w:tcBorders>
          </w:tcPr>
          <w:p w14:paraId="7F696183"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8" w:type="dxa"/>
            <w:tcBorders>
              <w:top w:val="nil"/>
              <w:left w:val="nil"/>
              <w:bottom w:val="single" w:sz="4" w:space="0" w:color="auto"/>
              <w:right w:val="nil"/>
            </w:tcBorders>
          </w:tcPr>
          <w:p w14:paraId="08CEE4B7"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bottom w:val="single" w:sz="4" w:space="0" w:color="auto"/>
              <w:right w:val="nil"/>
            </w:tcBorders>
          </w:tcPr>
          <w:p w14:paraId="0428F95B"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r>
      <w:tr w:rsidR="00330E0D" w:rsidRPr="00C14FA5" w14:paraId="1D0F6D89" w14:textId="77777777" w:rsidTr="00B76046">
        <w:trPr>
          <w:jc w:val="center"/>
        </w:trPr>
        <w:tc>
          <w:tcPr>
            <w:tcW w:w="2041" w:type="dxa"/>
            <w:tcBorders>
              <w:top w:val="nil"/>
              <w:left w:val="nil"/>
              <w:bottom w:val="single" w:sz="4" w:space="0" w:color="auto"/>
              <w:right w:val="nil"/>
            </w:tcBorders>
          </w:tcPr>
          <w:p w14:paraId="26B0C15E" w14:textId="77777777" w:rsidR="00330E0D" w:rsidRPr="00C14FA5" w:rsidRDefault="00330E0D" w:rsidP="00B605C7">
            <w:pPr>
              <w:widowControl w:val="0"/>
              <w:autoSpaceDE w:val="0"/>
              <w:autoSpaceDN w:val="0"/>
              <w:adjustRightInd w:val="0"/>
              <w:jc w:val="right"/>
              <w:rPr>
                <w:rFonts w:ascii="Times New Roman" w:hAnsi="Times New Roman" w:cs="Times New Roman Bold"/>
                <w:sz w:val="21"/>
              </w:rPr>
            </w:pPr>
            <w:r>
              <w:rPr>
                <w:rFonts w:ascii="Times New Roman" w:hAnsi="Times New Roman" w:cs="Times New Roman Bold"/>
                <w:sz w:val="21"/>
              </w:rPr>
              <w:t>Interactions Year FE x 51-90pctile</w:t>
            </w:r>
          </w:p>
        </w:tc>
        <w:tc>
          <w:tcPr>
            <w:tcW w:w="1338" w:type="dxa"/>
            <w:tcBorders>
              <w:top w:val="nil"/>
              <w:left w:val="nil"/>
              <w:bottom w:val="single" w:sz="4" w:space="0" w:color="auto"/>
              <w:right w:val="nil"/>
            </w:tcBorders>
          </w:tcPr>
          <w:p w14:paraId="65F6F5FC"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bottom w:val="single" w:sz="4" w:space="0" w:color="auto"/>
              <w:right w:val="nil"/>
            </w:tcBorders>
          </w:tcPr>
          <w:p w14:paraId="4E479F49"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8" w:type="dxa"/>
            <w:tcBorders>
              <w:top w:val="nil"/>
              <w:left w:val="nil"/>
              <w:bottom w:val="single" w:sz="4" w:space="0" w:color="auto"/>
              <w:right w:val="nil"/>
            </w:tcBorders>
          </w:tcPr>
          <w:p w14:paraId="2CB68C16"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bottom w:val="single" w:sz="4" w:space="0" w:color="auto"/>
              <w:right w:val="nil"/>
            </w:tcBorders>
          </w:tcPr>
          <w:p w14:paraId="7228F64A"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8" w:type="dxa"/>
            <w:tcBorders>
              <w:top w:val="nil"/>
              <w:left w:val="nil"/>
              <w:bottom w:val="single" w:sz="4" w:space="0" w:color="auto"/>
              <w:right w:val="nil"/>
            </w:tcBorders>
          </w:tcPr>
          <w:p w14:paraId="287D6DF8"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bottom w:val="single" w:sz="4" w:space="0" w:color="auto"/>
              <w:right w:val="nil"/>
            </w:tcBorders>
          </w:tcPr>
          <w:p w14:paraId="6EF08AF3"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r>
      <w:tr w:rsidR="00330E0D" w:rsidRPr="00C14FA5" w14:paraId="6ECAE24D" w14:textId="77777777" w:rsidTr="00FA1FE3">
        <w:trPr>
          <w:trHeight w:val="522"/>
          <w:jc w:val="center"/>
        </w:trPr>
        <w:tc>
          <w:tcPr>
            <w:tcW w:w="2041" w:type="dxa"/>
            <w:tcBorders>
              <w:top w:val="nil"/>
              <w:left w:val="nil"/>
              <w:bottom w:val="single" w:sz="4" w:space="0" w:color="auto"/>
              <w:right w:val="nil"/>
            </w:tcBorders>
          </w:tcPr>
          <w:p w14:paraId="73E9F1EA" w14:textId="77777777" w:rsidR="00330E0D" w:rsidRDefault="00330E0D" w:rsidP="00B605C7">
            <w:pPr>
              <w:widowControl w:val="0"/>
              <w:autoSpaceDE w:val="0"/>
              <w:autoSpaceDN w:val="0"/>
              <w:adjustRightInd w:val="0"/>
              <w:jc w:val="right"/>
              <w:rPr>
                <w:rFonts w:ascii="Times New Roman" w:hAnsi="Times New Roman" w:cs="Times New Roman Bold"/>
                <w:sz w:val="21"/>
              </w:rPr>
            </w:pPr>
            <w:r>
              <w:rPr>
                <w:rFonts w:ascii="Times New Roman" w:hAnsi="Times New Roman" w:cs="Times New Roman Bold"/>
                <w:sz w:val="21"/>
              </w:rPr>
              <w:t>Interactions Year FE x Bottom 20%</w:t>
            </w:r>
          </w:p>
        </w:tc>
        <w:tc>
          <w:tcPr>
            <w:tcW w:w="1338" w:type="dxa"/>
            <w:tcBorders>
              <w:top w:val="nil"/>
              <w:left w:val="nil"/>
              <w:bottom w:val="single" w:sz="4" w:space="0" w:color="auto"/>
              <w:right w:val="nil"/>
            </w:tcBorders>
          </w:tcPr>
          <w:p w14:paraId="70F29358"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bottom w:val="single" w:sz="4" w:space="0" w:color="auto"/>
              <w:right w:val="nil"/>
            </w:tcBorders>
          </w:tcPr>
          <w:p w14:paraId="250B8231"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8" w:type="dxa"/>
            <w:tcBorders>
              <w:top w:val="nil"/>
              <w:left w:val="nil"/>
              <w:bottom w:val="single" w:sz="4" w:space="0" w:color="auto"/>
              <w:right w:val="nil"/>
            </w:tcBorders>
          </w:tcPr>
          <w:p w14:paraId="458E68F1"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bottom w:val="single" w:sz="4" w:space="0" w:color="auto"/>
              <w:right w:val="nil"/>
            </w:tcBorders>
          </w:tcPr>
          <w:p w14:paraId="035CC8E9"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8" w:type="dxa"/>
            <w:tcBorders>
              <w:top w:val="nil"/>
              <w:left w:val="nil"/>
              <w:bottom w:val="single" w:sz="4" w:space="0" w:color="auto"/>
              <w:right w:val="nil"/>
            </w:tcBorders>
          </w:tcPr>
          <w:p w14:paraId="19944094"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c>
          <w:tcPr>
            <w:tcW w:w="1339" w:type="dxa"/>
            <w:tcBorders>
              <w:top w:val="nil"/>
              <w:left w:val="nil"/>
              <w:bottom w:val="single" w:sz="4" w:space="0" w:color="auto"/>
              <w:right w:val="nil"/>
            </w:tcBorders>
          </w:tcPr>
          <w:p w14:paraId="677E2E80"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X</w:t>
            </w:r>
          </w:p>
        </w:tc>
      </w:tr>
      <w:tr w:rsidR="00330E0D" w:rsidRPr="00C14FA5" w14:paraId="54C73A8D" w14:textId="77777777" w:rsidTr="00B76046">
        <w:trPr>
          <w:trHeight w:val="271"/>
          <w:jc w:val="center"/>
        </w:trPr>
        <w:tc>
          <w:tcPr>
            <w:tcW w:w="2041" w:type="dxa"/>
            <w:tcBorders>
              <w:top w:val="nil"/>
              <w:left w:val="nil"/>
              <w:right w:val="nil"/>
            </w:tcBorders>
          </w:tcPr>
          <w:p w14:paraId="7858A333" w14:textId="77777777" w:rsidR="00330E0D" w:rsidRPr="00C14FA5" w:rsidRDefault="00330E0D" w:rsidP="00B605C7">
            <w:pPr>
              <w:widowControl w:val="0"/>
              <w:autoSpaceDE w:val="0"/>
              <w:autoSpaceDN w:val="0"/>
              <w:adjustRightInd w:val="0"/>
              <w:rPr>
                <w:rFonts w:ascii="Times New Roman" w:hAnsi="Times New Roman" w:cs="Times New Roman Bold"/>
                <w:sz w:val="21"/>
              </w:rPr>
            </w:pPr>
            <w:r w:rsidRPr="00C14FA5">
              <w:rPr>
                <w:rFonts w:ascii="Times New Roman" w:hAnsi="Times New Roman" w:cs="Times New Roman Bold"/>
                <w:sz w:val="21"/>
              </w:rPr>
              <w:t xml:space="preserve">Observations </w:t>
            </w:r>
          </w:p>
        </w:tc>
        <w:tc>
          <w:tcPr>
            <w:tcW w:w="1338" w:type="dxa"/>
            <w:tcBorders>
              <w:top w:val="nil"/>
              <w:left w:val="nil"/>
              <w:right w:val="nil"/>
            </w:tcBorders>
          </w:tcPr>
          <w:p w14:paraId="7B79C5D9"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186,577</w:t>
            </w:r>
          </w:p>
        </w:tc>
        <w:tc>
          <w:tcPr>
            <w:tcW w:w="1339" w:type="dxa"/>
            <w:tcBorders>
              <w:top w:val="nil"/>
              <w:left w:val="nil"/>
              <w:right w:val="nil"/>
            </w:tcBorders>
          </w:tcPr>
          <w:p w14:paraId="09A80C72" w14:textId="77777777" w:rsidR="00330E0D" w:rsidRPr="00C14FA5" w:rsidRDefault="00330E0D" w:rsidP="00B605C7">
            <w:pPr>
              <w:jc w:val="center"/>
              <w:rPr>
                <w:rFonts w:ascii="Times New Roman" w:hAnsi="Times New Roman"/>
                <w:sz w:val="21"/>
              </w:rPr>
            </w:pPr>
            <w:r w:rsidRPr="00C14FA5">
              <w:rPr>
                <w:rFonts w:ascii="Times New Roman" w:hAnsi="Times New Roman"/>
                <w:sz w:val="21"/>
              </w:rPr>
              <w:t>186,577</w:t>
            </w:r>
          </w:p>
        </w:tc>
        <w:tc>
          <w:tcPr>
            <w:tcW w:w="1338" w:type="dxa"/>
            <w:tcBorders>
              <w:top w:val="nil"/>
              <w:left w:val="nil"/>
              <w:right w:val="nil"/>
            </w:tcBorders>
          </w:tcPr>
          <w:p w14:paraId="0EF23993" w14:textId="77777777" w:rsidR="00330E0D" w:rsidRPr="00C14FA5" w:rsidRDefault="00330E0D" w:rsidP="00B605C7">
            <w:pPr>
              <w:jc w:val="center"/>
              <w:rPr>
                <w:rFonts w:ascii="Times New Roman" w:hAnsi="Times New Roman"/>
                <w:sz w:val="21"/>
              </w:rPr>
            </w:pPr>
            <w:r w:rsidRPr="00C14FA5">
              <w:rPr>
                <w:rFonts w:ascii="Times New Roman" w:hAnsi="Times New Roman"/>
                <w:sz w:val="21"/>
              </w:rPr>
              <w:t>186,577</w:t>
            </w:r>
          </w:p>
        </w:tc>
        <w:tc>
          <w:tcPr>
            <w:tcW w:w="1339" w:type="dxa"/>
            <w:tcBorders>
              <w:top w:val="nil"/>
              <w:left w:val="nil"/>
              <w:right w:val="nil"/>
            </w:tcBorders>
          </w:tcPr>
          <w:p w14:paraId="7D976CCD" w14:textId="77777777" w:rsidR="00330E0D" w:rsidRPr="00C14FA5" w:rsidRDefault="00330E0D" w:rsidP="00B605C7">
            <w:pPr>
              <w:jc w:val="center"/>
              <w:rPr>
                <w:rFonts w:ascii="Times New Roman" w:hAnsi="Times New Roman"/>
                <w:sz w:val="21"/>
              </w:rPr>
            </w:pPr>
            <w:r w:rsidRPr="00C14FA5">
              <w:rPr>
                <w:rFonts w:ascii="Times New Roman" w:hAnsi="Times New Roman"/>
                <w:sz w:val="21"/>
              </w:rPr>
              <w:t>186,577</w:t>
            </w:r>
          </w:p>
        </w:tc>
        <w:tc>
          <w:tcPr>
            <w:tcW w:w="1338" w:type="dxa"/>
            <w:tcBorders>
              <w:top w:val="nil"/>
              <w:left w:val="nil"/>
              <w:right w:val="nil"/>
            </w:tcBorders>
          </w:tcPr>
          <w:p w14:paraId="353601B7" w14:textId="77777777" w:rsidR="00330E0D" w:rsidRPr="00C14FA5" w:rsidRDefault="00330E0D" w:rsidP="00B605C7">
            <w:pPr>
              <w:jc w:val="center"/>
              <w:rPr>
                <w:rFonts w:ascii="Times New Roman" w:hAnsi="Times New Roman"/>
                <w:sz w:val="21"/>
              </w:rPr>
            </w:pPr>
            <w:r w:rsidRPr="00C14FA5">
              <w:rPr>
                <w:rFonts w:ascii="Times New Roman" w:hAnsi="Times New Roman"/>
                <w:sz w:val="21"/>
              </w:rPr>
              <w:t>186,577</w:t>
            </w:r>
          </w:p>
        </w:tc>
        <w:tc>
          <w:tcPr>
            <w:tcW w:w="1339" w:type="dxa"/>
            <w:tcBorders>
              <w:top w:val="nil"/>
              <w:left w:val="nil"/>
              <w:right w:val="nil"/>
            </w:tcBorders>
          </w:tcPr>
          <w:p w14:paraId="73EC8C17" w14:textId="77777777" w:rsidR="00330E0D" w:rsidRPr="00C14FA5" w:rsidRDefault="00330E0D" w:rsidP="00B605C7">
            <w:pPr>
              <w:jc w:val="center"/>
              <w:rPr>
                <w:rFonts w:ascii="Times New Roman" w:hAnsi="Times New Roman"/>
                <w:sz w:val="21"/>
              </w:rPr>
            </w:pPr>
            <w:r w:rsidRPr="00C14FA5">
              <w:rPr>
                <w:rFonts w:ascii="Times New Roman" w:hAnsi="Times New Roman"/>
                <w:sz w:val="21"/>
              </w:rPr>
              <w:t>186,577</w:t>
            </w:r>
          </w:p>
        </w:tc>
      </w:tr>
      <w:tr w:rsidR="00330E0D" w:rsidRPr="00C14FA5" w14:paraId="38EC8585" w14:textId="77777777" w:rsidTr="00B76046">
        <w:trPr>
          <w:jc w:val="center"/>
        </w:trPr>
        <w:tc>
          <w:tcPr>
            <w:tcW w:w="2041" w:type="dxa"/>
            <w:tcBorders>
              <w:bottom w:val="double" w:sz="4" w:space="0" w:color="auto"/>
              <w:right w:val="nil"/>
            </w:tcBorders>
          </w:tcPr>
          <w:p w14:paraId="7A1E1826" w14:textId="77777777" w:rsidR="00330E0D" w:rsidRPr="00C14FA5" w:rsidRDefault="00330E0D">
            <w:pPr>
              <w:widowControl w:val="0"/>
              <w:autoSpaceDE w:val="0"/>
              <w:autoSpaceDN w:val="0"/>
              <w:adjustRightInd w:val="0"/>
              <w:rPr>
                <w:rFonts w:ascii="Times New Roman" w:hAnsi="Times New Roman" w:cs="Times New Roman Bold"/>
                <w:sz w:val="21"/>
              </w:rPr>
            </w:pPr>
            <w:r w:rsidRPr="00C14FA5">
              <w:rPr>
                <w:rFonts w:ascii="Times New Roman" w:hAnsi="Times New Roman" w:cs="Times New Roman Bold"/>
                <w:sz w:val="21"/>
              </w:rPr>
              <w:t>R-squared</w:t>
            </w:r>
          </w:p>
        </w:tc>
        <w:tc>
          <w:tcPr>
            <w:tcW w:w="1338" w:type="dxa"/>
            <w:tcBorders>
              <w:left w:val="nil"/>
              <w:bottom w:val="double" w:sz="4" w:space="0" w:color="auto"/>
              <w:right w:val="nil"/>
            </w:tcBorders>
          </w:tcPr>
          <w:p w14:paraId="6F915D57"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lang w:val="fr-FR"/>
              </w:rPr>
              <w:t>0.238</w:t>
            </w:r>
          </w:p>
        </w:tc>
        <w:tc>
          <w:tcPr>
            <w:tcW w:w="1339" w:type="dxa"/>
            <w:tcBorders>
              <w:left w:val="nil"/>
              <w:bottom w:val="double" w:sz="4" w:space="0" w:color="auto"/>
              <w:right w:val="nil"/>
            </w:tcBorders>
          </w:tcPr>
          <w:p w14:paraId="36B6D668"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lang w:val="fr-FR"/>
              </w:rPr>
              <w:t>0.</w:t>
            </w:r>
            <w:r>
              <w:rPr>
                <w:rFonts w:ascii="Times New Roman" w:hAnsi="Times New Roman" w:cs="Times New Roman Bold"/>
                <w:sz w:val="21"/>
                <w:lang w:val="fr-FR"/>
              </w:rPr>
              <w:t>080</w:t>
            </w:r>
          </w:p>
        </w:tc>
        <w:tc>
          <w:tcPr>
            <w:tcW w:w="1338" w:type="dxa"/>
            <w:tcBorders>
              <w:left w:val="nil"/>
              <w:bottom w:val="double" w:sz="4" w:space="0" w:color="auto"/>
              <w:right w:val="nil"/>
            </w:tcBorders>
          </w:tcPr>
          <w:p w14:paraId="1F4C1ABE"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lang w:val="fr-FR"/>
              </w:rPr>
              <w:t>0.</w:t>
            </w:r>
            <w:r>
              <w:rPr>
                <w:rFonts w:ascii="Times New Roman" w:hAnsi="Times New Roman" w:cs="Times New Roman Bold"/>
                <w:sz w:val="21"/>
                <w:lang w:val="fr-FR"/>
              </w:rPr>
              <w:t>059</w:t>
            </w:r>
          </w:p>
        </w:tc>
        <w:tc>
          <w:tcPr>
            <w:tcW w:w="1339" w:type="dxa"/>
            <w:tcBorders>
              <w:left w:val="nil"/>
              <w:bottom w:val="double" w:sz="4" w:space="0" w:color="auto"/>
              <w:right w:val="nil"/>
            </w:tcBorders>
          </w:tcPr>
          <w:p w14:paraId="45AA9F06"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sidRPr="00C14FA5">
              <w:rPr>
                <w:rFonts w:ascii="Times New Roman" w:hAnsi="Times New Roman" w:cs="Times New Roman Bold"/>
                <w:sz w:val="21"/>
              </w:rPr>
              <w:t>0.1</w:t>
            </w:r>
            <w:r>
              <w:rPr>
                <w:rFonts w:ascii="Times New Roman" w:hAnsi="Times New Roman" w:cs="Times New Roman Bold"/>
                <w:sz w:val="21"/>
              </w:rPr>
              <w:t>0</w:t>
            </w:r>
            <w:r w:rsidRPr="00C14FA5">
              <w:rPr>
                <w:rFonts w:ascii="Times New Roman" w:hAnsi="Times New Roman" w:cs="Times New Roman Bold"/>
                <w:sz w:val="21"/>
              </w:rPr>
              <w:t>5</w:t>
            </w:r>
          </w:p>
        </w:tc>
        <w:tc>
          <w:tcPr>
            <w:tcW w:w="1338" w:type="dxa"/>
            <w:tcBorders>
              <w:left w:val="nil"/>
              <w:bottom w:val="double" w:sz="4" w:space="0" w:color="auto"/>
              <w:right w:val="nil"/>
            </w:tcBorders>
          </w:tcPr>
          <w:p w14:paraId="3DA38544"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Pr>
                <w:rFonts w:ascii="Times New Roman" w:hAnsi="Times New Roman" w:cs="Times New Roman Bold"/>
                <w:sz w:val="21"/>
              </w:rPr>
              <w:t>0.002</w:t>
            </w:r>
          </w:p>
        </w:tc>
        <w:tc>
          <w:tcPr>
            <w:tcW w:w="1339" w:type="dxa"/>
            <w:tcBorders>
              <w:left w:val="nil"/>
              <w:bottom w:val="double" w:sz="4" w:space="0" w:color="auto"/>
            </w:tcBorders>
          </w:tcPr>
          <w:p w14:paraId="453C649C" w14:textId="77777777" w:rsidR="00330E0D" w:rsidRPr="00C14FA5" w:rsidRDefault="00330E0D">
            <w:pPr>
              <w:widowControl w:val="0"/>
              <w:autoSpaceDE w:val="0"/>
              <w:autoSpaceDN w:val="0"/>
              <w:adjustRightInd w:val="0"/>
              <w:jc w:val="center"/>
              <w:rPr>
                <w:rFonts w:ascii="Times New Roman" w:hAnsi="Times New Roman" w:cs="Times New Roman Bold"/>
                <w:sz w:val="21"/>
              </w:rPr>
            </w:pPr>
            <w:r>
              <w:rPr>
                <w:rFonts w:ascii="Times New Roman" w:hAnsi="Times New Roman" w:cs="Times New Roman Bold"/>
                <w:sz w:val="21"/>
              </w:rPr>
              <w:t>0.003</w:t>
            </w:r>
          </w:p>
        </w:tc>
      </w:tr>
    </w:tbl>
    <w:p w14:paraId="64CB18C7" w14:textId="77777777" w:rsidR="00FE2D11" w:rsidRPr="00AC3FB5" w:rsidRDefault="00FE2D11" w:rsidP="00B605C7">
      <w:pPr>
        <w:widowControl w:val="0"/>
        <w:autoSpaceDE w:val="0"/>
        <w:autoSpaceDN w:val="0"/>
        <w:adjustRightInd w:val="0"/>
        <w:rPr>
          <w:rFonts w:ascii="Times New Roman" w:hAnsi="Times New Roman" w:cs="Times New Roman Bold"/>
          <w:sz w:val="18"/>
        </w:rPr>
      </w:pPr>
      <w:r w:rsidRPr="00AC3FB5">
        <w:rPr>
          <w:rFonts w:ascii="Times New Roman" w:hAnsi="Times New Roman" w:cs="Times New Roman Bold"/>
          <w:sz w:val="18"/>
        </w:rPr>
        <w:t>[a] Robust standard errors in par</w:t>
      </w:r>
      <w:r w:rsidR="00390D05">
        <w:rPr>
          <w:rFonts w:ascii="Times New Roman" w:hAnsi="Times New Roman" w:cs="Times New Roman Bold"/>
          <w:sz w:val="18"/>
        </w:rPr>
        <w:t>e</w:t>
      </w:r>
      <w:r w:rsidRPr="00AC3FB5">
        <w:rPr>
          <w:rFonts w:ascii="Times New Roman" w:hAnsi="Times New Roman" w:cs="Times New Roman Bold"/>
          <w:sz w:val="18"/>
        </w:rPr>
        <w:t xml:space="preserve">ntheses. </w:t>
      </w:r>
    </w:p>
    <w:p w14:paraId="5E8285D9" w14:textId="77777777" w:rsidR="00FE2D11" w:rsidRPr="00806F71" w:rsidRDefault="00FE2D11" w:rsidP="00B605C7">
      <w:pPr>
        <w:widowControl w:val="0"/>
        <w:autoSpaceDE w:val="0"/>
        <w:autoSpaceDN w:val="0"/>
        <w:adjustRightInd w:val="0"/>
        <w:rPr>
          <w:rFonts w:ascii="Times New Roman" w:hAnsi="Times New Roman" w:cs="Times New Roman Bold"/>
          <w:sz w:val="18"/>
        </w:rPr>
      </w:pPr>
      <w:r w:rsidRPr="00AC3FB5">
        <w:rPr>
          <w:rFonts w:ascii="Times New Roman" w:hAnsi="Times New Roman" w:cs="Times New Roman Bold"/>
          <w:sz w:val="18"/>
        </w:rPr>
        <w:t>[b] All income and expenditure variables are</w:t>
      </w:r>
      <w:r w:rsidRPr="00702114">
        <w:rPr>
          <w:rFonts w:ascii="Times New Roman" w:hAnsi="Times New Roman" w:cs="Times New Roman Bold"/>
          <w:sz w:val="18"/>
        </w:rPr>
        <w:t xml:space="preserve"> expressed in dollars of 2002</w:t>
      </w:r>
      <w:r>
        <w:rPr>
          <w:rFonts w:ascii="Times New Roman" w:hAnsi="Times New Roman" w:cs="Times New Roman Bold"/>
          <w:sz w:val="18"/>
        </w:rPr>
        <w:t xml:space="preserve">. </w:t>
      </w:r>
      <w:r w:rsidRPr="00702114">
        <w:rPr>
          <w:rFonts w:ascii="Times New Roman" w:hAnsi="Times New Roman" w:cs="Times New Roman Bold"/>
          <w:sz w:val="18"/>
        </w:rPr>
        <w:t>All regressions are estimated using sampling</w:t>
      </w:r>
      <w:r w:rsidRPr="003D4429">
        <w:rPr>
          <w:rFonts w:ascii="Times New Roman" w:hAnsi="Times New Roman" w:cs="Times New Roman Bold"/>
          <w:sz w:val="18"/>
          <w:lang w:val="en-US"/>
        </w:rPr>
        <w:t xml:space="preserve"> weights</w:t>
      </w:r>
    </w:p>
    <w:p w14:paraId="5055C3D3" w14:textId="77777777" w:rsidR="005572CA" w:rsidRPr="005572CA" w:rsidRDefault="00FE2D11" w:rsidP="00B76046">
      <w:pPr>
        <w:widowControl w:val="0"/>
        <w:autoSpaceDE w:val="0"/>
        <w:autoSpaceDN w:val="0"/>
        <w:adjustRightInd w:val="0"/>
        <w:rPr>
          <w:rFonts w:ascii="Times New Roman" w:hAnsi="Times New Roman"/>
        </w:rPr>
      </w:pPr>
      <w:r w:rsidRPr="008921B0">
        <w:rPr>
          <w:rFonts w:ascii="Times New Roman" w:hAnsi="Times New Roman" w:cs="Times New Roman Bold"/>
          <w:sz w:val="18"/>
          <w:lang w:val="en-US"/>
        </w:rPr>
        <w:t xml:space="preserve">[c] Data from the Survey of Household </w:t>
      </w:r>
      <w:r w:rsidR="00052AA1">
        <w:rPr>
          <w:rFonts w:ascii="Times New Roman" w:hAnsi="Times New Roman" w:cs="Times New Roman Bold"/>
          <w:sz w:val="18"/>
          <w:lang w:val="en-US"/>
        </w:rPr>
        <w:t>Spending</w:t>
      </w:r>
      <w:r w:rsidRPr="008921B0">
        <w:rPr>
          <w:rFonts w:ascii="Times New Roman" w:hAnsi="Times New Roman" w:cs="Times New Roman Bold"/>
          <w:sz w:val="18"/>
          <w:lang w:val="en-US"/>
        </w:rPr>
        <w:t>, excluding observations for territories</w:t>
      </w:r>
    </w:p>
    <w:sectPr w:rsidR="005572CA" w:rsidRPr="005572CA" w:rsidSect="00A959CF">
      <w:footerReference w:type="even" r:id="rId13"/>
      <w:footerReference w:type="default" r:id="rId14"/>
      <w:pgSz w:w="12240" w:h="15840"/>
      <w:pgMar w:top="851" w:right="1417" w:bottom="993" w:left="1417"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E707B" w15:done="0"/>
  <w15:commentEx w15:paraId="05EDF7DA" w15:done="0"/>
  <w15:commentEx w15:paraId="154A1F85" w15:done="0"/>
  <w15:commentEx w15:paraId="57A7E311" w15:done="0"/>
  <w15:commentEx w15:paraId="5EBEF464" w15:done="0"/>
  <w15:commentEx w15:paraId="5EB28B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DB259" w14:textId="77777777" w:rsidR="00FE409A" w:rsidRDefault="00FE409A">
      <w:r>
        <w:separator/>
      </w:r>
    </w:p>
  </w:endnote>
  <w:endnote w:type="continuationSeparator" w:id="0">
    <w:p w14:paraId="61E16BE5" w14:textId="77777777" w:rsidR="00FE409A" w:rsidRDefault="00FE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5B55" w14:textId="77777777" w:rsidR="006A1567" w:rsidRDefault="006A1567" w:rsidP="006D18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CBC185" w14:textId="77777777" w:rsidR="006A1567" w:rsidRDefault="006A1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BB786" w14:textId="77777777" w:rsidR="006A1567" w:rsidRPr="006D1825" w:rsidRDefault="006A1567" w:rsidP="006D1825">
    <w:pPr>
      <w:pStyle w:val="Footer"/>
      <w:framePr w:wrap="none" w:vAnchor="text" w:hAnchor="margin" w:xAlign="center" w:y="1"/>
      <w:rPr>
        <w:rStyle w:val="PageNumber"/>
        <w:rFonts w:ascii="Times New Roman" w:hAnsi="Times New Roman" w:cs="Times New Roman"/>
        <w:sz w:val="22"/>
        <w:szCs w:val="22"/>
      </w:rPr>
    </w:pPr>
    <w:r w:rsidRPr="006D1825">
      <w:rPr>
        <w:rStyle w:val="PageNumber"/>
        <w:rFonts w:ascii="Times New Roman" w:hAnsi="Times New Roman" w:cs="Times New Roman"/>
        <w:sz w:val="22"/>
        <w:szCs w:val="22"/>
      </w:rPr>
      <w:fldChar w:fldCharType="begin"/>
    </w:r>
    <w:r w:rsidRPr="006D1825">
      <w:rPr>
        <w:rStyle w:val="PageNumber"/>
        <w:rFonts w:ascii="Times New Roman" w:hAnsi="Times New Roman" w:cs="Times New Roman"/>
        <w:sz w:val="22"/>
        <w:szCs w:val="22"/>
      </w:rPr>
      <w:instrText xml:space="preserve">PAGE  </w:instrText>
    </w:r>
    <w:r w:rsidRPr="006D1825">
      <w:rPr>
        <w:rStyle w:val="PageNumber"/>
        <w:rFonts w:ascii="Times New Roman" w:hAnsi="Times New Roman" w:cs="Times New Roman"/>
        <w:sz w:val="22"/>
        <w:szCs w:val="22"/>
      </w:rPr>
      <w:fldChar w:fldCharType="separate"/>
    </w:r>
    <w:r w:rsidR="009517E3">
      <w:rPr>
        <w:rStyle w:val="PageNumber"/>
        <w:rFonts w:ascii="Times New Roman" w:hAnsi="Times New Roman" w:cs="Times New Roman"/>
        <w:noProof/>
        <w:sz w:val="22"/>
        <w:szCs w:val="22"/>
      </w:rPr>
      <w:t>29</w:t>
    </w:r>
    <w:r w:rsidRPr="006D1825">
      <w:rPr>
        <w:rStyle w:val="PageNumber"/>
        <w:rFonts w:ascii="Times New Roman" w:hAnsi="Times New Roman" w:cs="Times New Roman"/>
        <w:sz w:val="22"/>
        <w:szCs w:val="22"/>
      </w:rPr>
      <w:fldChar w:fldCharType="end"/>
    </w:r>
  </w:p>
  <w:p w14:paraId="5F6C4733" w14:textId="77777777" w:rsidR="006A1567" w:rsidRDefault="006A1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660F7" w14:textId="77777777" w:rsidR="00FE409A" w:rsidRDefault="00FE409A">
      <w:r>
        <w:separator/>
      </w:r>
    </w:p>
  </w:footnote>
  <w:footnote w:type="continuationSeparator" w:id="0">
    <w:p w14:paraId="6F41CB81" w14:textId="77777777" w:rsidR="00FE409A" w:rsidRDefault="00FE409A">
      <w:r>
        <w:continuationSeparator/>
      </w:r>
    </w:p>
  </w:footnote>
  <w:footnote w:id="1">
    <w:p w14:paraId="33D2B655" w14:textId="77777777" w:rsidR="006A1567" w:rsidRPr="006F07CE" w:rsidRDefault="006A1567" w:rsidP="00D50FA4">
      <w:pPr>
        <w:pStyle w:val="FootnoteText"/>
        <w:rPr>
          <w:rFonts w:ascii="Times New Roman" w:eastAsia="Cambria" w:hAnsi="Times New Roman" w:cs="Times New Roman"/>
        </w:rPr>
      </w:pPr>
      <w:r w:rsidRPr="006F07CE">
        <w:rPr>
          <w:rStyle w:val="FootnoteReference"/>
          <w:rFonts w:ascii="Cambria" w:eastAsia="Cambria" w:hAnsi="Cambria" w:cs="Times New Roman"/>
        </w:rPr>
        <w:t>*</w:t>
      </w:r>
      <w:r w:rsidRPr="006F07CE">
        <w:rPr>
          <w:rFonts w:ascii="Cambria" w:eastAsia="Cambria" w:hAnsi="Cambria" w:cs="Times New Roman"/>
        </w:rPr>
        <w:t xml:space="preserve"> Mark Stabile is Professor of Economics and the Stone Chaired Professor in Wealth Inequality, INSEAD</w:t>
      </w:r>
      <w:r w:rsidRPr="006F07CE">
        <w:rPr>
          <w:rFonts w:ascii="Times New Roman" w:eastAsia="Cambria" w:hAnsi="Times New Roman" w:cs="Times New Roman"/>
        </w:rPr>
        <w:t xml:space="preserve">; </w:t>
      </w:r>
      <w:proofErr w:type="spellStart"/>
      <w:r w:rsidRPr="006F07CE">
        <w:rPr>
          <w:rFonts w:ascii="Times New Roman" w:eastAsia="Cambria" w:hAnsi="Times New Roman" w:cs="Times New Roman"/>
        </w:rPr>
        <w:t>Maripier</w:t>
      </w:r>
      <w:proofErr w:type="spellEnd"/>
      <w:r w:rsidRPr="006F07CE">
        <w:rPr>
          <w:rFonts w:ascii="Times New Roman" w:eastAsia="Cambria" w:hAnsi="Times New Roman" w:cs="Times New Roman"/>
        </w:rPr>
        <w:t xml:space="preserve"> Isabelle is Ph.D. </w:t>
      </w:r>
      <w:r>
        <w:rPr>
          <w:rFonts w:ascii="Times New Roman" w:eastAsia="Cambria" w:hAnsi="Times New Roman" w:cs="Times New Roman"/>
        </w:rPr>
        <w:t>c</w:t>
      </w:r>
      <w:r w:rsidRPr="006F07CE">
        <w:rPr>
          <w:rFonts w:ascii="Times New Roman" w:eastAsia="Cambria" w:hAnsi="Times New Roman" w:cs="Times New Roman"/>
        </w:rPr>
        <w:t>andidate,  Department of Economics, University of Toronto</w:t>
      </w:r>
    </w:p>
  </w:footnote>
  <w:footnote w:id="2">
    <w:p w14:paraId="35A9A848" w14:textId="77777777" w:rsidR="006A1567" w:rsidRPr="00C22A89" w:rsidRDefault="006A1567" w:rsidP="00B76046">
      <w:pPr>
        <w:pStyle w:val="FootnoteText"/>
        <w:jc w:val="both"/>
        <w:rPr>
          <w:rFonts w:ascii="Times New Roman" w:hAnsi="Times New Roman" w:cs="Times New Roman"/>
          <w:sz w:val="20"/>
          <w:szCs w:val="20"/>
        </w:rPr>
      </w:pPr>
      <w:r w:rsidRPr="00EF508C">
        <w:rPr>
          <w:rStyle w:val="FootnoteReference"/>
          <w:rFonts w:ascii="Times New Roman" w:hAnsi="Times New Roman" w:cs="Times New Roman"/>
          <w:sz w:val="20"/>
          <w:szCs w:val="20"/>
        </w:rPr>
        <w:footnoteRef/>
      </w:r>
      <w:r w:rsidRPr="00EF508C">
        <w:rPr>
          <w:rFonts w:ascii="Times New Roman" w:hAnsi="Times New Roman" w:cs="Times New Roman"/>
          <w:sz w:val="20"/>
          <w:szCs w:val="20"/>
        </w:rPr>
        <w:t xml:space="preserve"> And, in some cases, to pivotal voters whose income will be below the median (</w:t>
      </w:r>
      <w:proofErr w:type="spellStart"/>
      <w:r w:rsidRPr="00EF508C">
        <w:rPr>
          <w:rFonts w:ascii="Times New Roman" w:hAnsi="Times New Roman" w:cs="Times New Roman"/>
          <w:sz w:val="20"/>
          <w:szCs w:val="20"/>
        </w:rPr>
        <w:t>Epple</w:t>
      </w:r>
      <w:proofErr w:type="spellEnd"/>
      <w:r w:rsidRPr="00EF508C">
        <w:rPr>
          <w:rFonts w:ascii="Times New Roman" w:hAnsi="Times New Roman" w:cs="Times New Roman"/>
          <w:sz w:val="20"/>
          <w:szCs w:val="20"/>
        </w:rPr>
        <w:t xml:space="preserve"> and Romano </w:t>
      </w:r>
      <w:proofErr w:type="spellStart"/>
      <w:r w:rsidRPr="00EF508C">
        <w:rPr>
          <w:rFonts w:ascii="Times New Roman" w:hAnsi="Times New Roman" w:cs="Times New Roman"/>
          <w:sz w:val="20"/>
          <w:szCs w:val="20"/>
        </w:rPr>
        <w:t>1996b</w:t>
      </w:r>
      <w:proofErr w:type="spellEnd"/>
      <w:r w:rsidRPr="00EF508C">
        <w:rPr>
          <w:rFonts w:ascii="Times New Roman" w:hAnsi="Times New Roman" w:cs="Times New Roman"/>
          <w:sz w:val="20"/>
          <w:szCs w:val="20"/>
        </w:rPr>
        <w:t>).</w:t>
      </w:r>
    </w:p>
  </w:footnote>
  <w:footnote w:id="3">
    <w:p w14:paraId="48A99DFC" w14:textId="77777777" w:rsidR="006A1567" w:rsidRPr="00647546" w:rsidRDefault="006A1567" w:rsidP="00B76046">
      <w:pPr>
        <w:pStyle w:val="FootnoteText"/>
        <w:jc w:val="both"/>
        <w:rPr>
          <w:rFonts w:ascii="Times New Roman" w:hAnsi="Times New Roman" w:cs="Times New Roman"/>
          <w:sz w:val="20"/>
          <w:szCs w:val="20"/>
        </w:rPr>
      </w:pPr>
      <w:r w:rsidRPr="00051B37">
        <w:rPr>
          <w:rStyle w:val="FootnoteReference"/>
          <w:sz w:val="20"/>
          <w:szCs w:val="20"/>
        </w:rPr>
        <w:footnoteRef/>
      </w:r>
      <w:r w:rsidRPr="00051B37">
        <w:rPr>
          <w:sz w:val="20"/>
          <w:szCs w:val="20"/>
        </w:rPr>
        <w:t xml:space="preserve"> </w:t>
      </w:r>
      <w:r w:rsidRPr="00051B37">
        <w:rPr>
          <w:rFonts w:ascii="Times New Roman" w:eastAsia="Cambria" w:hAnsi="Times New Roman" w:cs="Times New Roman"/>
          <w:sz w:val="20"/>
          <w:szCs w:val="20"/>
        </w:rPr>
        <w:t xml:space="preserve">Hall and Jones (2007) present a multi-period model in which investing in health care earlier in life </w:t>
      </w:r>
      <w:r w:rsidRPr="00AC2CBA">
        <w:rPr>
          <w:rFonts w:ascii="Times New Roman" w:eastAsia="Cambria" w:hAnsi="Times New Roman" w:cs="Times New Roman"/>
          <w:sz w:val="20"/>
          <w:szCs w:val="20"/>
        </w:rPr>
        <w:t>can be optimal for the rich, as it allows them to extend their life expectancy and to smooth consumption of non health-related goods and services over a longer life span. This would help them avoid the diminishing marginal returns that would come from concentrating consumption over a shorter life span.</w:t>
      </w:r>
      <w:r>
        <w:rPr>
          <w:rFonts w:ascii="Times New Roman" w:eastAsia="Cambria" w:hAnsi="Times New Roman" w:cs="Times New Roman"/>
          <w:sz w:val="20"/>
          <w:szCs w:val="20"/>
        </w:rPr>
        <w:t xml:space="preserve"> Their theoretical framework allows for an income elasticity superior to the unity, something they say would be hard to measure empirically, among other reasons because of the availability of health insurance. Li </w:t>
      </w:r>
      <w:r>
        <w:rPr>
          <w:rFonts w:ascii="Times New Roman" w:eastAsia="Cambria" w:hAnsi="Times New Roman" w:cs="Times New Roman"/>
          <w:i/>
          <w:sz w:val="20"/>
          <w:szCs w:val="20"/>
        </w:rPr>
        <w:t xml:space="preserve">et al </w:t>
      </w:r>
      <w:r>
        <w:rPr>
          <w:rFonts w:ascii="Times New Roman" w:eastAsia="Cambria" w:hAnsi="Times New Roman" w:cs="Times New Roman"/>
          <w:sz w:val="20"/>
          <w:szCs w:val="20"/>
        </w:rPr>
        <w:t xml:space="preserve">(2016) estimate an elasticity of private health expenditure greater than unity using a model in which the mix of public and private finance in health care is endogenously determined, and that they calibrate to the Canadian economy. </w:t>
      </w:r>
    </w:p>
  </w:footnote>
  <w:footnote w:id="4">
    <w:p w14:paraId="2E1E9F7E" w14:textId="77777777" w:rsidR="006A1567" w:rsidRPr="00254F74" w:rsidRDefault="006A1567" w:rsidP="00B76046">
      <w:pPr>
        <w:pStyle w:val="FootnoteText"/>
        <w:jc w:val="both"/>
      </w:pPr>
      <w:r>
        <w:rPr>
          <w:rStyle w:val="FootnoteReference"/>
        </w:rPr>
        <w:footnoteRef/>
      </w:r>
      <w:r>
        <w:t xml:space="preserve"> </w:t>
      </w:r>
      <w:proofErr w:type="spellStart"/>
      <w:r w:rsidRPr="006F07CE">
        <w:rPr>
          <w:rFonts w:ascii="Times New Roman" w:hAnsi="Times New Roman"/>
          <w:sz w:val="20"/>
        </w:rPr>
        <w:t>Lupu</w:t>
      </w:r>
      <w:proofErr w:type="spellEnd"/>
      <w:r w:rsidRPr="006F07CE">
        <w:rPr>
          <w:rFonts w:ascii="Times New Roman" w:hAnsi="Times New Roman"/>
          <w:sz w:val="20"/>
        </w:rPr>
        <w:t xml:space="preserve"> and </w:t>
      </w:r>
      <w:proofErr w:type="spellStart"/>
      <w:r w:rsidRPr="006F07CE">
        <w:rPr>
          <w:rFonts w:ascii="Times New Roman" w:hAnsi="Times New Roman"/>
          <w:sz w:val="20"/>
        </w:rPr>
        <w:t>Pontusson</w:t>
      </w:r>
      <w:proofErr w:type="spellEnd"/>
      <w:r w:rsidRPr="006F07CE">
        <w:rPr>
          <w:rFonts w:ascii="Times New Roman" w:hAnsi="Times New Roman"/>
          <w:sz w:val="20"/>
        </w:rPr>
        <w:t xml:space="preserve"> (2011) </w:t>
      </w:r>
      <w:r w:rsidRPr="009032E1">
        <w:rPr>
          <w:rFonts w:ascii="Times New Roman" w:hAnsi="Times New Roman"/>
          <w:sz w:val="20"/>
          <w:szCs w:val="20"/>
        </w:rPr>
        <w:t>find a positive association between the skew of the income distribution and governments' level of social expenditures across OECD countries. Corcoran and Evans (2010) also find a positive association between inequality and local expenditures on public education across US school districts.</w:t>
      </w:r>
      <w:r w:rsidRPr="009032E1">
        <w:rPr>
          <w:rFonts w:ascii="Times New Roman" w:eastAsia="Cambria" w:hAnsi="Times New Roman" w:cs="Times New Roman"/>
          <w:sz w:val="20"/>
          <w:szCs w:val="20"/>
        </w:rPr>
        <w:t xml:space="preserve"> </w:t>
      </w:r>
      <w:proofErr w:type="spellStart"/>
      <w:r w:rsidRPr="009032E1">
        <w:rPr>
          <w:rFonts w:ascii="Times New Roman" w:eastAsia="Cambria" w:hAnsi="Times New Roman" w:cs="Times New Roman"/>
          <w:sz w:val="20"/>
          <w:szCs w:val="20"/>
        </w:rPr>
        <w:t>Bénabou</w:t>
      </w:r>
      <w:proofErr w:type="spellEnd"/>
      <w:r w:rsidRPr="009032E1">
        <w:rPr>
          <w:rFonts w:ascii="Times New Roman" w:eastAsia="Cambria" w:hAnsi="Times New Roman" w:cs="Times New Roman"/>
          <w:sz w:val="20"/>
          <w:szCs w:val="20"/>
        </w:rPr>
        <w:t xml:space="preserve"> (1996), </w:t>
      </w:r>
      <w:proofErr w:type="spellStart"/>
      <w:r w:rsidRPr="009032E1">
        <w:rPr>
          <w:rFonts w:ascii="Times New Roman" w:eastAsia="Cambria" w:hAnsi="Times New Roman" w:cs="Times New Roman"/>
          <w:sz w:val="20"/>
          <w:szCs w:val="20"/>
        </w:rPr>
        <w:t>Kenworthy</w:t>
      </w:r>
      <w:proofErr w:type="spellEnd"/>
      <w:r w:rsidRPr="009032E1">
        <w:rPr>
          <w:rFonts w:ascii="Times New Roman" w:eastAsia="Cambria" w:hAnsi="Times New Roman" w:cs="Times New Roman"/>
          <w:sz w:val="20"/>
          <w:szCs w:val="20"/>
        </w:rPr>
        <w:t xml:space="preserve"> and </w:t>
      </w:r>
      <w:proofErr w:type="spellStart"/>
      <w:r w:rsidRPr="009032E1">
        <w:rPr>
          <w:rFonts w:ascii="Times New Roman" w:eastAsia="Cambria" w:hAnsi="Times New Roman" w:cs="Times New Roman"/>
          <w:sz w:val="20"/>
          <w:szCs w:val="20"/>
        </w:rPr>
        <w:t>Pontusson</w:t>
      </w:r>
      <w:proofErr w:type="spellEnd"/>
      <w:r w:rsidRPr="009032E1">
        <w:rPr>
          <w:rFonts w:ascii="Times New Roman" w:eastAsia="Cambria" w:hAnsi="Times New Roman" w:cs="Times New Roman"/>
          <w:sz w:val="20"/>
          <w:szCs w:val="20"/>
        </w:rPr>
        <w:t xml:space="preserve"> (2005), however, point to mixed results especially for cross-country analysis.</w:t>
      </w:r>
      <w:r>
        <w:rPr>
          <w:rFonts w:ascii="Times New Roman" w:eastAsia="Cambria" w:hAnsi="Times New Roman" w:cs="Times New Roman"/>
        </w:rPr>
        <w:t xml:space="preserve"> </w:t>
      </w:r>
    </w:p>
  </w:footnote>
  <w:footnote w:id="5">
    <w:p w14:paraId="67D98188" w14:textId="4703208C" w:rsidR="006A1567" w:rsidRPr="006F07CE" w:rsidRDefault="006A1567" w:rsidP="00D62973">
      <w:pPr>
        <w:pStyle w:val="FootnoteText"/>
        <w:jc w:val="both"/>
        <w:rPr>
          <w:rFonts w:ascii="Times New Roman" w:eastAsia="Cambria" w:hAnsi="Times New Roman" w:cs="Times New Roman"/>
          <w:sz w:val="20"/>
        </w:rPr>
      </w:pPr>
      <w:r w:rsidRPr="006F07CE">
        <w:rPr>
          <w:rStyle w:val="FootnoteReference"/>
          <w:rFonts w:ascii="Times New Roman" w:eastAsia="Cambria" w:hAnsi="Times New Roman" w:cs="Times New Roman"/>
          <w:sz w:val="20"/>
        </w:rPr>
        <w:footnoteRef/>
      </w:r>
      <w:r w:rsidRPr="006F07CE">
        <w:rPr>
          <w:rFonts w:ascii="Times New Roman" w:eastAsia="Cambria" w:hAnsi="Times New Roman" w:cs="Times New Roman"/>
          <w:sz w:val="20"/>
        </w:rPr>
        <w:t xml:space="preserve"> Although the main variable of interest </w:t>
      </w:r>
      <w:r w:rsidR="003F7D1D">
        <w:rPr>
          <w:rFonts w:ascii="Times New Roman" w:eastAsia="Cambria" w:hAnsi="Times New Roman" w:cs="Times New Roman"/>
          <w:sz w:val="20"/>
        </w:rPr>
        <w:t>is</w:t>
      </w:r>
      <w:r w:rsidR="003F7D1D" w:rsidRPr="006F07CE">
        <w:rPr>
          <w:rFonts w:ascii="Times New Roman" w:eastAsia="Cambria" w:hAnsi="Times New Roman" w:cs="Times New Roman"/>
          <w:sz w:val="20"/>
        </w:rPr>
        <w:t xml:space="preserve"> </w:t>
      </w:r>
      <w:r w:rsidRPr="006F07CE">
        <w:rPr>
          <w:rFonts w:ascii="Times New Roman" w:eastAsia="Cambria" w:hAnsi="Times New Roman" w:cs="Times New Roman"/>
          <w:sz w:val="20"/>
        </w:rPr>
        <w:t>available for most years for the countries forming our final sample, country-specific gaps in the coverage of some variables result in our panel not being balanced. Moreover, previous research (</w:t>
      </w:r>
      <w:r>
        <w:rPr>
          <w:rFonts w:ascii="Times New Roman" w:eastAsia="Cambria" w:hAnsi="Times New Roman" w:cs="Times New Roman"/>
          <w:sz w:val="20"/>
        </w:rPr>
        <w:t>e.g.,</w:t>
      </w:r>
      <w:r w:rsidRPr="006F07CE">
        <w:rPr>
          <w:rFonts w:ascii="Times New Roman" w:eastAsia="Cambria" w:hAnsi="Times New Roman" w:cs="Times New Roman"/>
          <w:sz w:val="20"/>
        </w:rPr>
        <w:t xml:space="preserve"> </w:t>
      </w:r>
      <w:proofErr w:type="spellStart"/>
      <w:r w:rsidRPr="006F07CE">
        <w:rPr>
          <w:rFonts w:ascii="Times New Roman" w:eastAsia="Cambria" w:hAnsi="Times New Roman" w:cs="Times New Roman"/>
          <w:sz w:val="20"/>
        </w:rPr>
        <w:t>Lupu</w:t>
      </w:r>
      <w:proofErr w:type="spellEnd"/>
      <w:r w:rsidRPr="006F07CE">
        <w:rPr>
          <w:rFonts w:ascii="Times New Roman" w:eastAsia="Cambria" w:hAnsi="Times New Roman" w:cs="Times New Roman"/>
          <w:sz w:val="20"/>
        </w:rPr>
        <w:t xml:space="preserve"> and </w:t>
      </w:r>
      <w:proofErr w:type="spellStart"/>
      <w:r w:rsidRPr="006F07CE">
        <w:rPr>
          <w:rFonts w:ascii="Times New Roman" w:eastAsia="Cambria" w:hAnsi="Times New Roman" w:cs="Times New Roman"/>
          <w:sz w:val="20"/>
        </w:rPr>
        <w:t>Pontusson</w:t>
      </w:r>
      <w:proofErr w:type="spellEnd"/>
      <w:r w:rsidRPr="006F07CE">
        <w:rPr>
          <w:rFonts w:ascii="Times New Roman" w:eastAsia="Cambria" w:hAnsi="Times New Roman" w:cs="Times New Roman"/>
          <w:sz w:val="20"/>
        </w:rPr>
        <w:t xml:space="preserve"> 2011) has identified the United States to be an outlier in terms of health care expenditure and financing; our results are </w:t>
      </w:r>
      <w:r>
        <w:rPr>
          <w:rFonts w:ascii="Times New Roman" w:eastAsia="Cambria" w:hAnsi="Times New Roman" w:cs="Times New Roman"/>
          <w:sz w:val="20"/>
        </w:rPr>
        <w:t xml:space="preserve">generally </w:t>
      </w:r>
      <w:r w:rsidRPr="006F07CE">
        <w:rPr>
          <w:rFonts w:ascii="Times New Roman" w:eastAsia="Cambria" w:hAnsi="Times New Roman" w:cs="Times New Roman"/>
          <w:sz w:val="20"/>
        </w:rPr>
        <w:t xml:space="preserve">qualitatively robust to excluding the U.S. from our sample of countries. </w:t>
      </w:r>
    </w:p>
  </w:footnote>
  <w:footnote w:id="6">
    <w:p w14:paraId="1E4B39AA" w14:textId="77777777" w:rsidR="006A1567" w:rsidRPr="00C22A89" w:rsidRDefault="006A1567" w:rsidP="00EB3022">
      <w:pPr>
        <w:pStyle w:val="FootnoteText"/>
        <w:jc w:val="both"/>
        <w:rPr>
          <w:rFonts w:ascii="Times New Roman" w:hAnsi="Times New Roman" w:cs="Times New Roman"/>
          <w:sz w:val="20"/>
          <w:szCs w:val="20"/>
        </w:rPr>
      </w:pPr>
      <w:r w:rsidRPr="00C22A89">
        <w:rPr>
          <w:rStyle w:val="FootnoteReference"/>
          <w:rFonts w:ascii="Times New Roman" w:hAnsi="Times New Roman" w:cs="Times New Roman"/>
          <w:sz w:val="20"/>
          <w:szCs w:val="20"/>
        </w:rPr>
        <w:footnoteRef/>
      </w:r>
      <w:r w:rsidRPr="00C22A89">
        <w:rPr>
          <w:rFonts w:ascii="Times New Roman" w:hAnsi="Times New Roman" w:cs="Times New Roman"/>
          <w:sz w:val="20"/>
          <w:szCs w:val="20"/>
        </w:rPr>
        <w:t xml:space="preserve"> </w:t>
      </w:r>
      <w:r w:rsidRPr="00C22A89">
        <w:rPr>
          <w:rFonts w:ascii="Times New Roman" w:eastAsia="Cambria" w:hAnsi="Times New Roman" w:cs="Times New Roman"/>
          <w:sz w:val="20"/>
          <w:szCs w:val="20"/>
        </w:rPr>
        <w:t>Although most of the results we report employ the top 1% income shares, the income shares of the top 5% and the top 10% have followed relatively similar trends over the past 35 years.</w:t>
      </w:r>
    </w:p>
  </w:footnote>
  <w:footnote w:id="7">
    <w:p w14:paraId="46F000E1" w14:textId="77777777" w:rsidR="006A1567" w:rsidRPr="00C22A89" w:rsidRDefault="006A1567" w:rsidP="00D62973">
      <w:pPr>
        <w:jc w:val="both"/>
        <w:rPr>
          <w:rFonts w:ascii="Times New Roman" w:eastAsia="Cambria" w:hAnsi="Times New Roman" w:cs="Times New Roman"/>
          <w:sz w:val="20"/>
          <w:lang w:val="en-US"/>
        </w:rPr>
      </w:pPr>
      <w:r w:rsidRPr="006F07CE">
        <w:rPr>
          <w:rStyle w:val="FootnoteReference"/>
          <w:rFonts w:ascii="Times New Roman" w:eastAsia="Cambria" w:hAnsi="Times New Roman" w:cs="Times New Roman"/>
          <w:sz w:val="20"/>
        </w:rPr>
        <w:footnoteRef/>
      </w:r>
      <w:r w:rsidRPr="006F07CE">
        <w:rPr>
          <w:rFonts w:ascii="Times New Roman" w:eastAsia="Cambria" w:hAnsi="Times New Roman" w:cs="Times New Roman"/>
          <w:sz w:val="20"/>
        </w:rPr>
        <w:t xml:space="preserve"> </w:t>
      </w:r>
      <w:proofErr w:type="spellStart"/>
      <w:r w:rsidRPr="006F07CE">
        <w:rPr>
          <w:rFonts w:ascii="Times New Roman" w:eastAsia="Cambria" w:hAnsi="Times New Roman" w:cs="Times New Roman"/>
          <w:sz w:val="20"/>
        </w:rPr>
        <w:t>Lupu</w:t>
      </w:r>
      <w:proofErr w:type="spellEnd"/>
      <w:r w:rsidRPr="006F07CE">
        <w:rPr>
          <w:rFonts w:ascii="Times New Roman" w:eastAsia="Cambria" w:hAnsi="Times New Roman" w:cs="Times New Roman"/>
          <w:sz w:val="20"/>
        </w:rPr>
        <w:t xml:space="preserve"> and </w:t>
      </w:r>
      <w:proofErr w:type="spellStart"/>
      <w:r w:rsidRPr="006F07CE">
        <w:rPr>
          <w:rFonts w:ascii="Times New Roman" w:eastAsia="Cambria" w:hAnsi="Times New Roman" w:cs="Times New Roman"/>
          <w:sz w:val="20"/>
        </w:rPr>
        <w:t>Pontusson</w:t>
      </w:r>
      <w:proofErr w:type="spellEnd"/>
      <w:r w:rsidRPr="006F07CE">
        <w:rPr>
          <w:rFonts w:ascii="Times New Roman" w:eastAsia="Cambria" w:hAnsi="Times New Roman" w:cs="Times New Roman"/>
          <w:sz w:val="20"/>
        </w:rPr>
        <w:t xml:space="preserve"> (2011) suggest combining the two ratios to form a measure of the s</w:t>
      </w:r>
      <w:r>
        <w:rPr>
          <w:rFonts w:ascii="Times New Roman" w:eastAsia="Cambria" w:hAnsi="Times New Roman" w:cs="Times New Roman"/>
          <w:sz w:val="20"/>
        </w:rPr>
        <w:t xml:space="preserve">kew of the income distribution: </w:t>
      </w:r>
      <w:proofErr w:type="spellStart"/>
      <w:r w:rsidRPr="00C22A89">
        <w:rPr>
          <w:rFonts w:ascii="Times New Roman" w:eastAsia="Cambria" w:hAnsi="Times New Roman" w:cs="Times New Roman"/>
          <w:i/>
          <w:sz w:val="20"/>
          <w:lang w:val="en-US"/>
        </w:rPr>
        <w:t>skew</w:t>
      </w:r>
      <w:r w:rsidRPr="00C22A89">
        <w:rPr>
          <w:rFonts w:ascii="Times New Roman" w:eastAsia="Cambria" w:hAnsi="Times New Roman" w:cs="Times New Roman"/>
          <w:i/>
          <w:sz w:val="20"/>
          <w:vertAlign w:val="subscript"/>
          <w:lang w:val="en-US"/>
        </w:rPr>
        <w:t>ct</w:t>
      </w:r>
      <w:proofErr w:type="spellEnd"/>
      <w:r w:rsidRPr="00C22A89">
        <w:rPr>
          <w:rFonts w:ascii="Times New Roman" w:eastAsia="Cambria" w:hAnsi="Times New Roman" w:cs="Times New Roman"/>
          <w:i/>
          <w:sz w:val="20"/>
          <w:vertAlign w:val="subscript"/>
          <w:lang w:val="en-US"/>
        </w:rPr>
        <w:t xml:space="preserve"> </w:t>
      </w:r>
      <w:r w:rsidRPr="00C22A89">
        <w:rPr>
          <w:rFonts w:ascii="Times New Roman" w:eastAsia="Cambria" w:hAnsi="Times New Roman" w:cs="Times New Roman"/>
          <w:i/>
          <w:sz w:val="20"/>
          <w:lang w:val="en-US"/>
        </w:rPr>
        <w:t>=</w:t>
      </w:r>
      <w:r w:rsidRPr="00C22A89">
        <w:rPr>
          <w:rFonts w:ascii="Times New Roman" w:eastAsia="Cambria" w:hAnsi="Times New Roman" w:cs="Times New Roman"/>
          <w:sz w:val="20"/>
          <w:lang w:val="en-US"/>
        </w:rPr>
        <w:t>[</w:t>
      </w:r>
      <w:proofErr w:type="spellStart"/>
      <w:r w:rsidRPr="00C22A89">
        <w:rPr>
          <w:rFonts w:ascii="Times New Roman" w:eastAsia="Cambria" w:hAnsi="Times New Roman" w:cs="Times New Roman"/>
          <w:sz w:val="20"/>
          <w:lang w:val="en-US"/>
        </w:rPr>
        <w:t>y</w:t>
      </w:r>
      <w:r w:rsidRPr="00C22A89">
        <w:rPr>
          <w:rFonts w:ascii="Times New Roman" w:eastAsia="Cambria" w:hAnsi="Times New Roman" w:cs="Times New Roman"/>
          <w:sz w:val="20"/>
          <w:vertAlign w:val="superscript"/>
          <w:lang w:val="en-US"/>
        </w:rPr>
        <w:t>90</w:t>
      </w:r>
      <w:r w:rsidRPr="00C22A89">
        <w:rPr>
          <w:rFonts w:ascii="Times New Roman" w:eastAsia="Cambria" w:hAnsi="Times New Roman" w:cs="Times New Roman"/>
          <w:sz w:val="20"/>
          <w:vertAlign w:val="subscript"/>
          <w:lang w:val="en-US"/>
        </w:rPr>
        <w:t>ct</w:t>
      </w:r>
      <w:proofErr w:type="spellEnd"/>
      <w:r w:rsidRPr="00C22A89">
        <w:rPr>
          <w:rFonts w:ascii="Times New Roman" w:eastAsia="Cambria" w:hAnsi="Times New Roman" w:cs="Times New Roman"/>
          <w:sz w:val="20"/>
          <w:lang w:val="en-US"/>
        </w:rPr>
        <w:t xml:space="preserve">/ </w:t>
      </w:r>
      <w:proofErr w:type="spellStart"/>
      <w:r w:rsidRPr="00C22A89">
        <w:rPr>
          <w:rFonts w:ascii="Times New Roman" w:eastAsia="Cambria" w:hAnsi="Times New Roman" w:cs="Times New Roman"/>
          <w:sz w:val="20"/>
          <w:lang w:val="en-US"/>
        </w:rPr>
        <w:t>y</w:t>
      </w:r>
      <w:r w:rsidRPr="00C22A89">
        <w:rPr>
          <w:rFonts w:ascii="Times New Roman" w:eastAsia="Cambria" w:hAnsi="Times New Roman" w:cs="Times New Roman"/>
          <w:sz w:val="20"/>
          <w:vertAlign w:val="superscript"/>
          <w:lang w:val="en-US"/>
        </w:rPr>
        <w:t>50</w:t>
      </w:r>
      <w:r w:rsidRPr="00C22A89">
        <w:rPr>
          <w:rFonts w:ascii="Times New Roman" w:eastAsia="Cambria" w:hAnsi="Times New Roman" w:cs="Times New Roman"/>
          <w:sz w:val="20"/>
          <w:vertAlign w:val="subscript"/>
          <w:lang w:val="en-US"/>
        </w:rPr>
        <w:t>ct</w:t>
      </w:r>
      <w:proofErr w:type="spellEnd"/>
      <w:r w:rsidRPr="00C22A89">
        <w:rPr>
          <w:rFonts w:ascii="Times New Roman" w:eastAsia="Cambria" w:hAnsi="Times New Roman" w:cs="Times New Roman"/>
          <w:sz w:val="20"/>
          <w:lang w:val="en-US"/>
        </w:rPr>
        <w:t>]/[</w:t>
      </w:r>
      <w:proofErr w:type="spellStart"/>
      <w:r w:rsidRPr="00C22A89">
        <w:rPr>
          <w:rFonts w:ascii="Times New Roman" w:eastAsia="Cambria" w:hAnsi="Times New Roman" w:cs="Times New Roman"/>
          <w:sz w:val="20"/>
          <w:lang w:val="en-US"/>
        </w:rPr>
        <w:t>y</w:t>
      </w:r>
      <w:r w:rsidRPr="00C22A89">
        <w:rPr>
          <w:rFonts w:ascii="Times New Roman" w:eastAsia="Cambria" w:hAnsi="Times New Roman" w:cs="Times New Roman"/>
          <w:sz w:val="20"/>
          <w:vertAlign w:val="superscript"/>
          <w:lang w:val="en-US"/>
        </w:rPr>
        <w:t>50</w:t>
      </w:r>
      <w:r w:rsidRPr="00C22A89">
        <w:rPr>
          <w:rFonts w:ascii="Times New Roman" w:eastAsia="Cambria" w:hAnsi="Times New Roman" w:cs="Times New Roman"/>
          <w:sz w:val="20"/>
          <w:vertAlign w:val="subscript"/>
          <w:lang w:val="en-US"/>
        </w:rPr>
        <w:t>ct</w:t>
      </w:r>
      <w:proofErr w:type="spellEnd"/>
      <w:r w:rsidRPr="00C22A89">
        <w:rPr>
          <w:rFonts w:ascii="Times New Roman" w:eastAsia="Cambria" w:hAnsi="Times New Roman" w:cs="Times New Roman"/>
          <w:sz w:val="20"/>
          <w:lang w:val="en-US"/>
        </w:rPr>
        <w:t xml:space="preserve">/ </w:t>
      </w:r>
      <w:proofErr w:type="spellStart"/>
      <w:r w:rsidRPr="00C22A89">
        <w:rPr>
          <w:rFonts w:ascii="Times New Roman" w:eastAsia="Cambria" w:hAnsi="Times New Roman" w:cs="Times New Roman"/>
          <w:sz w:val="20"/>
          <w:lang w:val="en-US"/>
        </w:rPr>
        <w:t>y</w:t>
      </w:r>
      <w:r w:rsidRPr="00C22A89">
        <w:rPr>
          <w:rFonts w:ascii="Times New Roman" w:eastAsia="Cambria" w:hAnsi="Times New Roman" w:cs="Times New Roman"/>
          <w:sz w:val="20"/>
          <w:vertAlign w:val="superscript"/>
          <w:lang w:val="en-US"/>
        </w:rPr>
        <w:t>10</w:t>
      </w:r>
      <w:r w:rsidRPr="00C22A89">
        <w:rPr>
          <w:rFonts w:ascii="Times New Roman" w:eastAsia="Cambria" w:hAnsi="Times New Roman" w:cs="Times New Roman"/>
          <w:sz w:val="20"/>
          <w:vertAlign w:val="subscript"/>
          <w:lang w:val="en-US"/>
        </w:rPr>
        <w:t>ct</w:t>
      </w:r>
      <w:proofErr w:type="spellEnd"/>
      <w:r w:rsidRPr="00C22A89">
        <w:rPr>
          <w:rFonts w:ascii="Times New Roman" w:eastAsia="Cambria" w:hAnsi="Times New Roman" w:cs="Times New Roman"/>
          <w:sz w:val="20"/>
          <w:lang w:val="en-US"/>
        </w:rPr>
        <w:t>]</w:t>
      </w:r>
    </w:p>
  </w:footnote>
  <w:footnote w:id="8">
    <w:p w14:paraId="005E9494" w14:textId="77777777" w:rsidR="006A1567" w:rsidRPr="006F07CE" w:rsidRDefault="006A1567">
      <w:pPr>
        <w:jc w:val="both"/>
        <w:rPr>
          <w:rFonts w:ascii="Cambria" w:eastAsia="Cambria" w:hAnsi="Cambria" w:cs="Times New Roman"/>
        </w:rPr>
      </w:pPr>
      <w:r w:rsidRPr="006F07CE">
        <w:rPr>
          <w:rStyle w:val="FootnoteReference"/>
          <w:rFonts w:ascii="Times New Roman" w:eastAsia="Cambria" w:hAnsi="Times New Roman" w:cs="Times New Roman"/>
          <w:sz w:val="20"/>
        </w:rPr>
        <w:footnoteRef/>
      </w:r>
      <w:r w:rsidRPr="006F07CE">
        <w:rPr>
          <w:rFonts w:ascii="Cambria" w:eastAsia="Cambria" w:hAnsi="Cambria" w:cs="Times New Roman"/>
        </w:rPr>
        <w:t xml:space="preserve"> </w:t>
      </w:r>
      <w:r w:rsidRPr="006F07CE">
        <w:rPr>
          <w:rFonts w:ascii="Times New Roman" w:eastAsia="Cambria" w:hAnsi="Times New Roman" w:cs="Times New Roman"/>
          <w:sz w:val="20"/>
        </w:rPr>
        <w:t xml:space="preserve">From data assembled by </w:t>
      </w:r>
      <w:r w:rsidRPr="006F07CE">
        <w:rPr>
          <w:rFonts w:ascii="Times New Roman" w:eastAsia="Cambria" w:hAnsi="Times New Roman" w:cs="Times New Roman"/>
          <w:sz w:val="20"/>
          <w:shd w:val="clear" w:color="auto" w:fill="FFFFFF"/>
          <w:lang w:eastAsia="fr-FR"/>
        </w:rPr>
        <w:t>the OECD, EUROSTAT and the WHO Health Accounts SHA Questionnaires.</w:t>
      </w:r>
      <w:r w:rsidRPr="006F07CE">
        <w:rPr>
          <w:rFonts w:ascii="Cambria" w:eastAsia="Cambria" w:hAnsi="Cambria" w:cs="Times New Roman"/>
        </w:rPr>
        <w:t xml:space="preserve"> </w:t>
      </w:r>
    </w:p>
  </w:footnote>
  <w:footnote w:id="9">
    <w:p w14:paraId="4776A744" w14:textId="3ED1A700" w:rsidR="006A1567" w:rsidRPr="006F07CE" w:rsidRDefault="006A1567">
      <w:pPr>
        <w:pStyle w:val="FootnoteText"/>
        <w:jc w:val="both"/>
        <w:rPr>
          <w:rFonts w:ascii="Times New Roman" w:eastAsia="Cambria" w:hAnsi="Times New Roman" w:cs="Times New Roman"/>
          <w:sz w:val="20"/>
        </w:rPr>
      </w:pPr>
      <w:r w:rsidRPr="006F07CE">
        <w:rPr>
          <w:rStyle w:val="FootnoteReference"/>
          <w:rFonts w:ascii="Times New Roman" w:eastAsia="Cambria" w:hAnsi="Times New Roman" w:cs="Times New Roman"/>
          <w:sz w:val="20"/>
        </w:rPr>
        <w:footnoteRef/>
      </w:r>
      <w:r w:rsidRPr="006F07CE">
        <w:rPr>
          <w:rFonts w:ascii="Times New Roman" w:eastAsia="Cambria" w:hAnsi="Times New Roman" w:cs="Times New Roman"/>
          <w:sz w:val="20"/>
        </w:rPr>
        <w:t xml:space="preserve"> </w:t>
      </w:r>
      <w:r>
        <w:rPr>
          <w:rFonts w:ascii="Times New Roman" w:eastAsia="Cambria" w:hAnsi="Times New Roman" w:cs="Times New Roman"/>
          <w:sz w:val="20"/>
        </w:rPr>
        <w:t>Not all countries in the sample detail the types of private insurance that individuals are covered by</w:t>
      </w:r>
      <w:r w:rsidR="003F7D1D">
        <w:rPr>
          <w:rFonts w:ascii="Times New Roman" w:eastAsia="Cambria" w:hAnsi="Times New Roman" w:cs="Times New Roman"/>
          <w:sz w:val="20"/>
        </w:rPr>
        <w:t>.</w:t>
      </w:r>
      <w:r>
        <w:rPr>
          <w:rFonts w:ascii="Times New Roman" w:eastAsia="Cambria" w:hAnsi="Times New Roman" w:cs="Times New Roman"/>
          <w:sz w:val="20"/>
        </w:rPr>
        <w:t xml:space="preserve"> We therefore use the share of the population covered by some form of private insurance, a measure reported by the OECD. </w:t>
      </w:r>
    </w:p>
  </w:footnote>
  <w:footnote w:id="10">
    <w:p w14:paraId="2DFBA9B5" w14:textId="77777777" w:rsidR="006A1567" w:rsidRPr="006F07CE" w:rsidRDefault="006A1567">
      <w:pPr>
        <w:pStyle w:val="FootnoteText"/>
        <w:jc w:val="both"/>
        <w:rPr>
          <w:rFonts w:ascii="Cambria" w:eastAsia="Cambria" w:hAnsi="Cambria" w:cs="Times New Roman"/>
        </w:rPr>
      </w:pPr>
      <w:r w:rsidRPr="006F07CE">
        <w:rPr>
          <w:rStyle w:val="FootnoteReference"/>
          <w:rFonts w:ascii="Times New Roman" w:eastAsia="Cambria" w:hAnsi="Times New Roman" w:cs="Times New Roman"/>
          <w:sz w:val="20"/>
        </w:rPr>
        <w:footnoteRef/>
      </w:r>
      <w:r w:rsidRPr="006F07CE">
        <w:rPr>
          <w:rFonts w:ascii="Times New Roman" w:eastAsia="Cambria" w:hAnsi="Times New Roman" w:cs="Times New Roman"/>
          <w:sz w:val="20"/>
        </w:rPr>
        <w:t xml:space="preserve"> Available from the World Bank's Database. Out-of-pocket health expenditure as a share of total private health expenditure is also </w:t>
      </w:r>
      <w:r w:rsidRPr="006F07CE">
        <w:rPr>
          <w:rFonts w:ascii="Times New Roman" w:eastAsia="Cambria" w:hAnsi="Times New Roman" w:cs="Times New Roman"/>
          <w:sz w:val="20"/>
          <w:szCs w:val="20"/>
        </w:rPr>
        <w:t>available. Total private health expenditure is also available from the World Bank, but the values and availability are similar to the data obtained from the OECD (with the exception of a few observations for Germany, due to a policy change that was captured differentially by the OECD and the World Bank given their definition of “private” health expenditure. Our results are robust to using either data source.</w:t>
      </w:r>
      <w:r w:rsidRPr="006F07CE">
        <w:rPr>
          <w:rFonts w:ascii="Cambria" w:eastAsia="Cambria" w:hAnsi="Cambria" w:cs="Times New Roman"/>
        </w:rPr>
        <w:t xml:space="preserve"> </w:t>
      </w:r>
    </w:p>
  </w:footnote>
  <w:footnote w:id="11">
    <w:p w14:paraId="2AAA49FD" w14:textId="77777777" w:rsidR="006A1567" w:rsidRPr="006F07CE" w:rsidRDefault="006A1567">
      <w:pPr>
        <w:pStyle w:val="FootnoteText"/>
        <w:jc w:val="both"/>
        <w:rPr>
          <w:rFonts w:ascii="Times New Roman" w:eastAsia="Cambria" w:hAnsi="Times New Roman" w:cs="Times New Roman"/>
          <w:sz w:val="20"/>
        </w:rPr>
      </w:pPr>
      <w:r w:rsidRPr="006F07CE">
        <w:rPr>
          <w:rStyle w:val="FootnoteReference"/>
          <w:rFonts w:ascii="Times New Roman" w:eastAsia="Cambria" w:hAnsi="Times New Roman" w:cs="Times New Roman"/>
          <w:sz w:val="20"/>
        </w:rPr>
        <w:footnoteRef/>
      </w:r>
      <w:r w:rsidRPr="006F07CE">
        <w:rPr>
          <w:rFonts w:ascii="Times New Roman" w:eastAsia="Cambria" w:hAnsi="Times New Roman" w:cs="Times New Roman"/>
          <w:sz w:val="20"/>
        </w:rPr>
        <w:t xml:space="preserve"> The high proportion of privately insured in France corresponds to complementary plans, covering the difference between the total cost of care/medicine and the proportion covered by the public insurer</w:t>
      </w:r>
      <w:r>
        <w:rPr>
          <w:rFonts w:ascii="Times New Roman" w:eastAsia="Cambria" w:hAnsi="Times New Roman" w:cs="Times New Roman"/>
          <w:sz w:val="20"/>
        </w:rPr>
        <w:t>.</w:t>
      </w:r>
      <w:r w:rsidRPr="006F07CE">
        <w:rPr>
          <w:rFonts w:ascii="Times New Roman" w:eastAsia="Cambria" w:hAnsi="Times New Roman" w:cs="Times New Roman"/>
          <w:sz w:val="20"/>
        </w:rPr>
        <w:t xml:space="preserve">  </w:t>
      </w:r>
    </w:p>
  </w:footnote>
  <w:footnote w:id="12">
    <w:p w14:paraId="61E54274" w14:textId="77777777" w:rsidR="006A1567" w:rsidRPr="007066E0" w:rsidRDefault="006A1567" w:rsidP="00EB3022">
      <w:pPr>
        <w:pStyle w:val="FootnoteText"/>
        <w:jc w:val="both"/>
        <w:rPr>
          <w:sz w:val="20"/>
          <w:szCs w:val="20"/>
          <w:lang w:val="en-US"/>
        </w:rPr>
      </w:pPr>
      <w:r w:rsidRPr="007066E0">
        <w:rPr>
          <w:rStyle w:val="FootnoteReference"/>
          <w:sz w:val="20"/>
          <w:szCs w:val="20"/>
        </w:rPr>
        <w:footnoteRef/>
      </w:r>
      <w:r w:rsidRPr="007066E0">
        <w:rPr>
          <w:sz w:val="20"/>
          <w:szCs w:val="20"/>
        </w:rPr>
        <w:t xml:space="preserve"> </w:t>
      </w:r>
      <w:r w:rsidRPr="007066E0">
        <w:rPr>
          <w:rFonts w:ascii="Times New Roman" w:eastAsia="Cambria" w:hAnsi="Times New Roman" w:cs="Times New Roman"/>
          <w:i/>
          <w:color w:val="000000"/>
          <w:sz w:val="20"/>
          <w:szCs w:val="20"/>
        </w:rPr>
        <w:t xml:space="preserve">Ln </w:t>
      </w:r>
      <w:proofErr w:type="spellStart"/>
      <w:r w:rsidRPr="007066E0">
        <w:rPr>
          <w:rFonts w:ascii="Times New Roman" w:eastAsia="Cambria" w:hAnsi="Times New Roman" w:cs="Times New Roman"/>
          <w:i/>
          <w:color w:val="000000"/>
          <w:sz w:val="20"/>
          <w:szCs w:val="20"/>
        </w:rPr>
        <w:t>Population</w:t>
      </w:r>
      <w:r w:rsidRPr="007066E0">
        <w:rPr>
          <w:rFonts w:ascii="Times New Roman" w:eastAsia="Cambria" w:hAnsi="Times New Roman" w:cs="Menlo Regular"/>
          <w:i/>
          <w:color w:val="000000"/>
          <w:sz w:val="20"/>
          <w:szCs w:val="20"/>
          <w:vertAlign w:val="subscript"/>
        </w:rPr>
        <w:t>ct</w:t>
      </w:r>
      <w:proofErr w:type="spellEnd"/>
      <w:r w:rsidRPr="007066E0">
        <w:rPr>
          <w:rFonts w:ascii="Times New Roman" w:eastAsia="Cambria" w:hAnsi="Times New Roman" w:cs="Times New Roman"/>
          <w:color w:val="000000"/>
          <w:sz w:val="20"/>
          <w:szCs w:val="20"/>
        </w:rPr>
        <w:t xml:space="preserve"> in included as a control variable</w:t>
      </w:r>
      <w:r w:rsidRPr="00432B0E">
        <w:rPr>
          <w:rFonts w:ascii="Times New Roman" w:eastAsia="Cambria" w:hAnsi="Times New Roman" w:cs="Times New Roman"/>
          <w:color w:val="000000"/>
          <w:sz w:val="20"/>
          <w:szCs w:val="20"/>
        </w:rPr>
        <w:t>.</w:t>
      </w:r>
    </w:p>
  </w:footnote>
  <w:footnote w:id="13">
    <w:p w14:paraId="33334A49" w14:textId="77777777" w:rsidR="006A1567" w:rsidRPr="006F07CE" w:rsidRDefault="006A1567" w:rsidP="00D62973">
      <w:pPr>
        <w:pStyle w:val="FootnoteText"/>
        <w:jc w:val="both"/>
      </w:pPr>
      <w:r w:rsidRPr="006F07CE">
        <w:rPr>
          <w:rStyle w:val="FootnoteReference"/>
          <w:rFonts w:ascii="Times New Roman" w:hAnsi="Times New Roman"/>
          <w:sz w:val="20"/>
        </w:rPr>
        <w:footnoteRef/>
      </w:r>
      <w:r w:rsidRPr="006F07CE">
        <w:rPr>
          <w:rFonts w:ascii="Times New Roman" w:hAnsi="Times New Roman"/>
          <w:sz w:val="20"/>
        </w:rPr>
        <w:t xml:space="preserve"> Certain variables were originally coded differently in the 1997 wave of the SHS. We recoded all relevant variables to ensure a consistent definition over our sample.</w:t>
      </w:r>
    </w:p>
  </w:footnote>
  <w:footnote w:id="14">
    <w:p w14:paraId="51B5ACCF" w14:textId="77777777" w:rsidR="006A1567" w:rsidRPr="006F07CE" w:rsidRDefault="006A1567">
      <w:pPr>
        <w:pStyle w:val="FootnoteText"/>
        <w:jc w:val="both"/>
        <w:rPr>
          <w:rFonts w:ascii="Times New Roman" w:eastAsia="Cambria" w:hAnsi="Times New Roman" w:cs="Times New Roman"/>
          <w:sz w:val="20"/>
          <w:lang w:val="en-CA"/>
        </w:rPr>
      </w:pPr>
      <w:r w:rsidRPr="006F07CE">
        <w:rPr>
          <w:rStyle w:val="FootnoteReference"/>
          <w:rFonts w:ascii="Times New Roman" w:eastAsia="Cambria" w:hAnsi="Times New Roman" w:cs="Times New Roman"/>
          <w:sz w:val="20"/>
        </w:rPr>
        <w:footnoteRef/>
      </w:r>
      <w:r w:rsidRPr="006F07CE">
        <w:rPr>
          <w:rFonts w:ascii="Times New Roman" w:eastAsia="Cambria" w:hAnsi="Times New Roman" w:cs="Times New Roman"/>
          <w:sz w:val="20"/>
        </w:rPr>
        <w:t xml:space="preserve"> Threshold estimates from the LAD are available from CANSIM table 204-0001. Comparisons are made using market income since transfers are only available at the household level in the SHS. We benchmark our income thresholds using individual incomes given that LAD estimates are not available for household income thresholds, as shown in figure A</w:t>
      </w:r>
      <w:r>
        <w:rPr>
          <w:rFonts w:ascii="Times New Roman" w:eastAsia="Cambria" w:hAnsi="Times New Roman" w:cs="Times New Roman"/>
          <w:sz w:val="20"/>
        </w:rPr>
        <w:t>2</w:t>
      </w:r>
      <w:r w:rsidRPr="006F07CE">
        <w:rPr>
          <w:rFonts w:ascii="Times New Roman" w:eastAsia="Cambria" w:hAnsi="Times New Roman" w:cs="Times New Roman"/>
          <w:sz w:val="20"/>
        </w:rPr>
        <w:t xml:space="preserve"> in the appendix. The evolution of the income thresholds identifying each </w:t>
      </w:r>
      <w:proofErr w:type="spellStart"/>
      <w:r w:rsidRPr="006F07CE">
        <w:rPr>
          <w:rFonts w:ascii="Times New Roman" w:eastAsia="Cambria" w:hAnsi="Times New Roman" w:cs="Times New Roman"/>
          <w:sz w:val="20"/>
        </w:rPr>
        <w:t>fractile</w:t>
      </w:r>
      <w:proofErr w:type="spellEnd"/>
      <w:r w:rsidRPr="006F07CE">
        <w:rPr>
          <w:rFonts w:ascii="Times New Roman" w:eastAsia="Cambria" w:hAnsi="Times New Roman" w:cs="Times New Roman"/>
          <w:sz w:val="20"/>
        </w:rPr>
        <w:t xml:space="preserve">, and of the mean income per </w:t>
      </w:r>
      <w:proofErr w:type="spellStart"/>
      <w:r w:rsidRPr="006F07CE">
        <w:rPr>
          <w:rFonts w:ascii="Times New Roman" w:eastAsia="Cambria" w:hAnsi="Times New Roman" w:cs="Times New Roman"/>
          <w:sz w:val="20"/>
        </w:rPr>
        <w:t>fractile</w:t>
      </w:r>
      <w:proofErr w:type="spellEnd"/>
      <w:r w:rsidRPr="006F07CE">
        <w:rPr>
          <w:rFonts w:ascii="Times New Roman" w:eastAsia="Cambria" w:hAnsi="Times New Roman" w:cs="Times New Roman"/>
          <w:sz w:val="20"/>
        </w:rPr>
        <w:t>, are depicted in figure A</w:t>
      </w:r>
      <w:r>
        <w:rPr>
          <w:rFonts w:ascii="Times New Roman" w:eastAsia="Cambria" w:hAnsi="Times New Roman" w:cs="Times New Roman"/>
          <w:sz w:val="20"/>
        </w:rPr>
        <w:t>3</w:t>
      </w:r>
      <w:r w:rsidRPr="006F07CE">
        <w:rPr>
          <w:rFonts w:ascii="Times New Roman" w:eastAsia="Cambria" w:hAnsi="Times New Roman" w:cs="Times New Roman"/>
          <w:sz w:val="20"/>
        </w:rPr>
        <w:t xml:space="preserve">.  </w:t>
      </w:r>
    </w:p>
  </w:footnote>
  <w:footnote w:id="15">
    <w:p w14:paraId="41B35651" w14:textId="77777777" w:rsidR="006A1567" w:rsidRPr="007066E0" w:rsidRDefault="006A1567" w:rsidP="00EB3022">
      <w:pPr>
        <w:pStyle w:val="FootnoteText"/>
        <w:jc w:val="both"/>
        <w:rPr>
          <w:lang w:val="en-US"/>
        </w:rPr>
      </w:pPr>
      <w:r>
        <w:rPr>
          <w:rStyle w:val="FootnoteReference"/>
        </w:rPr>
        <w:footnoteRef/>
      </w:r>
      <w:r w:rsidRPr="007066E0">
        <w:rPr>
          <w:sz w:val="20"/>
          <w:szCs w:val="20"/>
        </w:rPr>
        <w:t xml:space="preserve"> </w:t>
      </w:r>
      <w:r>
        <w:rPr>
          <w:rFonts w:ascii="Times New Roman" w:eastAsia="Cambria" w:hAnsi="Times New Roman" w:cs="Times New Roman"/>
          <w:sz w:val="20"/>
          <w:szCs w:val="20"/>
        </w:rPr>
        <w:t>Expenditure</w:t>
      </w:r>
      <w:r w:rsidRPr="007066E0">
        <w:rPr>
          <w:rFonts w:ascii="Times New Roman" w:eastAsia="Cambria" w:hAnsi="Times New Roman" w:cs="Times New Roman"/>
          <w:sz w:val="20"/>
          <w:szCs w:val="20"/>
        </w:rPr>
        <w:t xml:space="preserve"> on hospital care include all charges on hospital bills, including phone and television charges, room upgrades and access to additional amenities within inpatient facilities/nursing homes/residential care facilities. Expenditure on physician services include all out-of-pocket payments to physician whose services are sought in private clinics or fees paid to clinics for physician services that are not covered by Medicare (for example, phone consultations, etc.).</w:t>
      </w:r>
    </w:p>
  </w:footnote>
  <w:footnote w:id="16">
    <w:p w14:paraId="18034874" w14:textId="77777777" w:rsidR="006A1567" w:rsidRPr="006F07CE" w:rsidRDefault="006A1567" w:rsidP="00EB3022">
      <w:pPr>
        <w:pStyle w:val="FootnoteText"/>
        <w:jc w:val="both"/>
        <w:rPr>
          <w:rFonts w:ascii="Times New Roman" w:hAnsi="Times New Roman" w:cs="Times New Roman"/>
          <w:sz w:val="20"/>
          <w:szCs w:val="20"/>
        </w:rPr>
      </w:pPr>
      <w:r w:rsidRPr="006F07CE">
        <w:rPr>
          <w:rStyle w:val="FootnoteReference"/>
          <w:rFonts w:ascii="Times New Roman" w:hAnsi="Times New Roman" w:cs="Times New Roman"/>
          <w:sz w:val="20"/>
          <w:szCs w:val="20"/>
        </w:rPr>
        <w:footnoteRef/>
      </w:r>
      <w:r w:rsidRPr="006F07CE">
        <w:rPr>
          <w:rFonts w:ascii="Times New Roman" w:hAnsi="Times New Roman" w:cs="Times New Roman"/>
          <w:sz w:val="20"/>
          <w:szCs w:val="20"/>
        </w:rPr>
        <w:t xml:space="preserve"> The average annual health expenditure for households in the top 10%, excluding households in the top 1% is $2,553 in our sample. </w:t>
      </w:r>
    </w:p>
  </w:footnote>
  <w:footnote w:id="17">
    <w:p w14:paraId="50FF5A9D" w14:textId="77777777" w:rsidR="006A1567" w:rsidRDefault="006A1567" w:rsidP="00D62973">
      <w:pPr>
        <w:jc w:val="both"/>
      </w:pPr>
      <w:r w:rsidRPr="00D03F81">
        <w:rPr>
          <w:rStyle w:val="FootnoteReference"/>
          <w:rFonts w:ascii="Times New Roman" w:hAnsi="Times New Roman" w:cs="Times New Roman"/>
          <w:sz w:val="20"/>
          <w:szCs w:val="20"/>
        </w:rPr>
        <w:footnoteRef/>
      </w:r>
      <w:r w:rsidRPr="00D03F81">
        <w:rPr>
          <w:rFonts w:ascii="Times New Roman" w:hAnsi="Times New Roman" w:cs="Times New Roman"/>
          <w:sz w:val="20"/>
          <w:szCs w:val="20"/>
        </w:rPr>
        <w:t xml:space="preserve"> </w:t>
      </w:r>
      <w:r>
        <w:rPr>
          <w:rFonts w:ascii="Times New Roman" w:eastAsia="Cambria" w:hAnsi="Times New Roman" w:cs="Times New Roman"/>
          <w:sz w:val="20"/>
          <w:szCs w:val="20"/>
        </w:rPr>
        <w:t>The r</w:t>
      </w:r>
      <w:r w:rsidRPr="00D03F81">
        <w:rPr>
          <w:rFonts w:ascii="Times New Roman" w:eastAsia="Cambria" w:hAnsi="Times New Roman" w:cs="Times New Roman"/>
          <w:sz w:val="20"/>
          <w:szCs w:val="20"/>
        </w:rPr>
        <w:t>esults robust to controlling for after tax income rather than total income.</w:t>
      </w:r>
      <w:r w:rsidRPr="00EB65C4">
        <w:rPr>
          <w:rFonts w:ascii="Times New Roman" w:eastAsia="Cambria" w:hAnsi="Times New Roman" w:cs="Times New Roman"/>
          <w:sz w:val="20"/>
        </w:rPr>
        <w:t xml:space="preserve"> </w:t>
      </w:r>
    </w:p>
  </w:footnote>
  <w:footnote w:id="18">
    <w:p w14:paraId="6F441605" w14:textId="77777777" w:rsidR="006A1567" w:rsidRPr="002D13CE" w:rsidRDefault="006A1567" w:rsidP="00EB3022">
      <w:pPr>
        <w:pStyle w:val="FootnoteText"/>
        <w:jc w:val="both"/>
        <w:rPr>
          <w:rFonts w:ascii="Times New Roman" w:hAnsi="Times New Roman" w:cs="Times New Roman"/>
          <w:sz w:val="20"/>
          <w:szCs w:val="20"/>
        </w:rPr>
      </w:pPr>
      <w:r w:rsidRPr="00FA66F0">
        <w:rPr>
          <w:rStyle w:val="FootnoteReference"/>
          <w:rFonts w:ascii="Times New Roman" w:hAnsi="Times New Roman" w:cs="Times New Roman"/>
          <w:sz w:val="20"/>
          <w:szCs w:val="20"/>
        </w:rPr>
        <w:footnoteRef/>
      </w:r>
      <w:r w:rsidRPr="00FA66F0">
        <w:rPr>
          <w:rFonts w:ascii="Times New Roman" w:hAnsi="Times New Roman" w:cs="Times New Roman"/>
          <w:sz w:val="20"/>
          <w:szCs w:val="20"/>
        </w:rPr>
        <w:t xml:space="preserve"> </w:t>
      </w:r>
      <w:r>
        <w:rPr>
          <w:rFonts w:ascii="Times New Roman" w:hAnsi="Times New Roman" w:cs="Times New Roman"/>
          <w:sz w:val="20"/>
          <w:szCs w:val="20"/>
        </w:rPr>
        <w:t>Statistics</w:t>
      </w:r>
      <w:r w:rsidRPr="00FA66F0">
        <w:rPr>
          <w:rFonts w:ascii="Times New Roman" w:hAnsi="Times New Roman" w:cs="Times New Roman"/>
          <w:sz w:val="20"/>
          <w:szCs w:val="20"/>
        </w:rPr>
        <w:t xml:space="preserve"> published by the Canadian Life and Insurance Association, a voluntary organization accounting for more than 99% of the life and health insurance business in Canada, </w:t>
      </w:r>
      <w:r>
        <w:rPr>
          <w:rFonts w:ascii="Times New Roman" w:hAnsi="Times New Roman" w:cs="Times New Roman"/>
          <w:sz w:val="20"/>
          <w:szCs w:val="20"/>
        </w:rPr>
        <w:t xml:space="preserve">suggest that </w:t>
      </w:r>
      <w:r w:rsidRPr="00FA66F0">
        <w:rPr>
          <w:rFonts w:ascii="Times New Roman" w:hAnsi="Times New Roman" w:cs="Times New Roman"/>
          <w:sz w:val="20"/>
          <w:szCs w:val="20"/>
        </w:rPr>
        <w:t xml:space="preserve">employer-sponsored plans have </w:t>
      </w:r>
      <w:r w:rsidRPr="005A479C">
        <w:rPr>
          <w:rFonts w:ascii="Times New Roman" w:hAnsi="Times New Roman" w:cs="Times New Roman"/>
          <w:sz w:val="20"/>
          <w:szCs w:val="20"/>
        </w:rPr>
        <w:t>represented approximately 90% of all premiums paid by Canadian</w:t>
      </w:r>
      <w:r w:rsidRPr="00032ACF">
        <w:rPr>
          <w:rFonts w:ascii="Times New Roman" w:hAnsi="Times New Roman" w:cs="Times New Roman"/>
          <w:sz w:val="20"/>
          <w:szCs w:val="20"/>
        </w:rPr>
        <w:t>s since the mid 1990s</w:t>
      </w:r>
      <w:r w:rsidRPr="002D13CE">
        <w:rPr>
          <w:rFonts w:ascii="Times New Roman" w:hAnsi="Times New Roman" w:cs="Times New Roman"/>
          <w:sz w:val="20"/>
          <w:szCs w:val="20"/>
        </w:rPr>
        <w:t xml:space="preserve">. The evolution of total premiums by plan type and of the proportion of premiums purchased individually are presented in the </w:t>
      </w:r>
      <w:r>
        <w:rPr>
          <w:rFonts w:ascii="Times New Roman" w:hAnsi="Times New Roman" w:cs="Times New Roman"/>
          <w:sz w:val="20"/>
          <w:szCs w:val="20"/>
        </w:rPr>
        <w:t>a</w:t>
      </w:r>
      <w:r w:rsidRPr="002D13CE">
        <w:rPr>
          <w:rFonts w:ascii="Times New Roman" w:hAnsi="Times New Roman" w:cs="Times New Roman"/>
          <w:sz w:val="20"/>
          <w:szCs w:val="20"/>
        </w:rPr>
        <w:t xml:space="preserve">ppendix.  </w:t>
      </w:r>
    </w:p>
  </w:footnote>
  <w:footnote w:id="19">
    <w:p w14:paraId="220DA79E" w14:textId="77777777" w:rsidR="006A1567" w:rsidRPr="00E2389F" w:rsidRDefault="006A1567" w:rsidP="00EB3022">
      <w:pPr>
        <w:pStyle w:val="FootnoteText"/>
        <w:jc w:val="both"/>
        <w:rPr>
          <w:rFonts w:ascii="Times New Roman" w:hAnsi="Times New Roman" w:cs="Times New Roman"/>
          <w:sz w:val="20"/>
          <w:szCs w:val="20"/>
        </w:rPr>
      </w:pPr>
      <w:r w:rsidRPr="00E2389F">
        <w:rPr>
          <w:rStyle w:val="FootnoteReference"/>
          <w:rFonts w:ascii="Times New Roman" w:hAnsi="Times New Roman" w:cs="Times New Roman"/>
          <w:sz w:val="20"/>
          <w:szCs w:val="20"/>
        </w:rPr>
        <w:footnoteRef/>
      </w:r>
      <w:r w:rsidRPr="00E2389F">
        <w:rPr>
          <w:rFonts w:ascii="Times New Roman" w:hAnsi="Times New Roman" w:cs="Times New Roman"/>
          <w:sz w:val="20"/>
          <w:szCs w:val="20"/>
        </w:rPr>
        <w:t xml:space="preserve"> This older sample is formed of 39980 households. Not all members in these households are at least 65 years of age, but the head of the household as defined in the SHS is. </w:t>
      </w:r>
    </w:p>
  </w:footnote>
  <w:footnote w:id="20">
    <w:p w14:paraId="00E41E29" w14:textId="0FB11C39" w:rsidR="006A1567" w:rsidRPr="00E27290" w:rsidRDefault="006A1567" w:rsidP="00EB3022">
      <w:pPr>
        <w:pStyle w:val="FootnoteText"/>
        <w:jc w:val="both"/>
        <w:rPr>
          <w:rFonts w:ascii="Times New Roman" w:hAnsi="Times New Roman" w:cs="Times New Roman"/>
          <w:sz w:val="20"/>
          <w:szCs w:val="20"/>
          <w:lang w:val="en-CA"/>
        </w:rPr>
      </w:pPr>
      <w:r w:rsidRPr="00FA1FE3">
        <w:rPr>
          <w:rStyle w:val="FootnoteReference"/>
          <w:rFonts w:ascii="Times New Roman" w:hAnsi="Times New Roman" w:cs="Times New Roman"/>
          <w:sz w:val="20"/>
          <w:szCs w:val="20"/>
        </w:rPr>
        <w:footnoteRef/>
      </w:r>
      <w:r w:rsidRPr="00FA1FE3">
        <w:rPr>
          <w:rFonts w:ascii="Times New Roman" w:hAnsi="Times New Roman" w:cs="Times New Roman"/>
          <w:sz w:val="20"/>
          <w:szCs w:val="20"/>
        </w:rPr>
        <w:t xml:space="preserve"> Similar patterns are observed in the data for </w:t>
      </w:r>
      <w:r w:rsidRPr="00FA1FE3">
        <w:rPr>
          <w:rFonts w:ascii="Times New Roman" w:eastAsia="Cambria" w:hAnsi="Times New Roman" w:cs="Times New Roman"/>
          <w:sz w:val="20"/>
          <w:szCs w:val="20"/>
        </w:rPr>
        <w:t>eye care, dental care</w:t>
      </w:r>
      <w:r w:rsidR="003F7D1D">
        <w:rPr>
          <w:rFonts w:ascii="Times New Roman" w:eastAsia="Cambria" w:hAnsi="Times New Roman" w:cs="Times New Roman"/>
          <w:sz w:val="20"/>
          <w:szCs w:val="20"/>
        </w:rPr>
        <w:t>:</w:t>
      </w:r>
      <w:r w:rsidRPr="00FA1FE3">
        <w:rPr>
          <w:rFonts w:ascii="Times New Roman" w:eastAsia="Cambria" w:hAnsi="Times New Roman" w:cs="Times New Roman"/>
          <w:sz w:val="20"/>
          <w:szCs w:val="20"/>
        </w:rPr>
        <w:t xml:space="preserve"> services pro</w:t>
      </w:r>
      <w:r w:rsidRPr="006E34BA">
        <w:rPr>
          <w:rFonts w:ascii="Times New Roman" w:eastAsia="Cambria" w:hAnsi="Times New Roman" w:cs="Times New Roman"/>
          <w:sz w:val="20"/>
          <w:szCs w:val="20"/>
        </w:rPr>
        <w:t>vided by health care professionals who are not physicians.</w:t>
      </w:r>
    </w:p>
  </w:footnote>
  <w:footnote w:id="21">
    <w:p w14:paraId="4A65C27E" w14:textId="77777777" w:rsidR="006A1567" w:rsidRPr="00B76046" w:rsidRDefault="006A1567">
      <w:pPr>
        <w:pStyle w:val="FootnoteText"/>
        <w:rPr>
          <w:lang w:val="en-CA"/>
        </w:rPr>
      </w:pPr>
      <w:r w:rsidRPr="00B7604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coefficient on the non-interacted income </w:t>
      </w:r>
      <w:proofErr w:type="spellStart"/>
      <w:r>
        <w:rPr>
          <w:rFonts w:ascii="Times New Roman" w:hAnsi="Times New Roman" w:cs="Times New Roman"/>
          <w:sz w:val="20"/>
          <w:szCs w:val="20"/>
        </w:rPr>
        <w:t>fractiles</w:t>
      </w:r>
      <w:proofErr w:type="spellEnd"/>
      <w:r>
        <w:rPr>
          <w:rFonts w:ascii="Times New Roman" w:hAnsi="Times New Roman" w:cs="Times New Roman"/>
          <w:sz w:val="20"/>
          <w:szCs w:val="20"/>
        </w:rPr>
        <w:t xml:space="preserve"> are smaller in magnitude</w:t>
      </w:r>
      <w:r w:rsidRPr="00DC21C2">
        <w:rPr>
          <w:rFonts w:ascii="Times New Roman" w:hAnsi="Times New Roman" w:cs="Times New Roman"/>
          <w:sz w:val="20"/>
          <w:szCs w:val="20"/>
        </w:rPr>
        <w:t xml:space="preserve"> </w:t>
      </w:r>
      <w:r>
        <w:rPr>
          <w:rFonts w:ascii="Times New Roman" w:hAnsi="Times New Roman" w:cs="Times New Roman"/>
          <w:sz w:val="20"/>
          <w:szCs w:val="20"/>
        </w:rPr>
        <w:t>than those presented in table 7, and negative for the bottom 20%, due to the fact that</w:t>
      </w:r>
      <w:r w:rsidRPr="00B76046">
        <w:rPr>
          <w:rFonts w:ascii="Times New Roman" w:hAnsi="Times New Roman" w:cs="Times New Roman"/>
          <w:sz w:val="20"/>
          <w:szCs w:val="20"/>
          <w:lang w:val="en-CA"/>
        </w:rPr>
        <w:t xml:space="preserve"> the omitted category</w:t>
      </w:r>
      <w:r>
        <w:rPr>
          <w:rFonts w:ascii="Times New Roman" w:hAnsi="Times New Roman" w:cs="Times New Roman"/>
          <w:sz w:val="20"/>
          <w:szCs w:val="20"/>
          <w:lang w:val="en-CA"/>
        </w:rPr>
        <w:t xml:space="preserve"> in table 8 is </w:t>
      </w:r>
      <w:r w:rsidRPr="00B76046">
        <w:rPr>
          <w:rFonts w:ascii="Times New Roman" w:hAnsi="Times New Roman" w:cs="Times New Roman"/>
          <w:sz w:val="20"/>
          <w:szCs w:val="20"/>
          <w:lang w:val="en-CA"/>
        </w:rPr>
        <w:t>the 20-50</w:t>
      </w:r>
      <w:r w:rsidRPr="00B76046">
        <w:rPr>
          <w:rFonts w:ascii="Times New Roman" w:hAnsi="Times New Roman" w:cs="Times New Roman"/>
          <w:sz w:val="20"/>
          <w:szCs w:val="20"/>
          <w:vertAlign w:val="superscript"/>
          <w:lang w:val="en-CA"/>
        </w:rPr>
        <w:t>th</w:t>
      </w:r>
      <w:r w:rsidRPr="00B76046">
        <w:rPr>
          <w:rFonts w:ascii="Times New Roman" w:hAnsi="Times New Roman" w:cs="Times New Roman"/>
          <w:sz w:val="20"/>
          <w:szCs w:val="20"/>
          <w:lang w:val="en-CA"/>
        </w:rPr>
        <w:t xml:space="preserve"> percentile group. The choice of the omitted category reflects the fact that we want to capture how differentially the preferences of the top 10% evolve compared to the median voter.</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Valela">
    <w15:presenceInfo w15:providerId="Windows Live" w15:userId="e1d09687595b7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CA" w:vendorID="64" w:dllVersion="0" w:nlCheck="1" w:checkStyle="0"/>
  <w:activeWritingStyle w:appName="MSWord" w:lang="en-CA" w:vendorID="64" w:dllVersion="6" w:nlCheck="1" w:checkStyle="0"/>
  <w:activeWritingStyle w:appName="MSWord" w:lang="fr-CA"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9B"/>
    <w:rsid w:val="0000266D"/>
    <w:rsid w:val="00004393"/>
    <w:rsid w:val="000051EB"/>
    <w:rsid w:val="0000703F"/>
    <w:rsid w:val="00010A17"/>
    <w:rsid w:val="00010E21"/>
    <w:rsid w:val="000158BD"/>
    <w:rsid w:val="00016F83"/>
    <w:rsid w:val="0001752F"/>
    <w:rsid w:val="00026A56"/>
    <w:rsid w:val="0003265F"/>
    <w:rsid w:val="00032ACF"/>
    <w:rsid w:val="000355BC"/>
    <w:rsid w:val="000363E4"/>
    <w:rsid w:val="000370DF"/>
    <w:rsid w:val="00037AA6"/>
    <w:rsid w:val="00042155"/>
    <w:rsid w:val="00044484"/>
    <w:rsid w:val="000449F7"/>
    <w:rsid w:val="00044C92"/>
    <w:rsid w:val="0004520B"/>
    <w:rsid w:val="00052AA1"/>
    <w:rsid w:val="00060FE7"/>
    <w:rsid w:val="00061471"/>
    <w:rsid w:val="0006291D"/>
    <w:rsid w:val="00065F41"/>
    <w:rsid w:val="00067BE9"/>
    <w:rsid w:val="0007124B"/>
    <w:rsid w:val="00071417"/>
    <w:rsid w:val="00072EEC"/>
    <w:rsid w:val="000827A6"/>
    <w:rsid w:val="00091384"/>
    <w:rsid w:val="00091EE3"/>
    <w:rsid w:val="00092572"/>
    <w:rsid w:val="00092D23"/>
    <w:rsid w:val="00094522"/>
    <w:rsid w:val="00094A6E"/>
    <w:rsid w:val="00094E3C"/>
    <w:rsid w:val="00095A4E"/>
    <w:rsid w:val="000A126A"/>
    <w:rsid w:val="000A4881"/>
    <w:rsid w:val="000A4D0D"/>
    <w:rsid w:val="000B4067"/>
    <w:rsid w:val="000B6B6A"/>
    <w:rsid w:val="000B77BB"/>
    <w:rsid w:val="000B7D91"/>
    <w:rsid w:val="000C1061"/>
    <w:rsid w:val="000C1D2D"/>
    <w:rsid w:val="000C2075"/>
    <w:rsid w:val="000C3273"/>
    <w:rsid w:val="000D0607"/>
    <w:rsid w:val="000D106E"/>
    <w:rsid w:val="000D2B23"/>
    <w:rsid w:val="000D3E0A"/>
    <w:rsid w:val="000D5B94"/>
    <w:rsid w:val="000D6373"/>
    <w:rsid w:val="000D7FC5"/>
    <w:rsid w:val="000E1EF9"/>
    <w:rsid w:val="000E2451"/>
    <w:rsid w:val="000E3CB4"/>
    <w:rsid w:val="000F20D0"/>
    <w:rsid w:val="000F4842"/>
    <w:rsid w:val="000F4B13"/>
    <w:rsid w:val="000F4F1B"/>
    <w:rsid w:val="0010069C"/>
    <w:rsid w:val="00101144"/>
    <w:rsid w:val="001048C4"/>
    <w:rsid w:val="001069DB"/>
    <w:rsid w:val="00107AEA"/>
    <w:rsid w:val="00110F06"/>
    <w:rsid w:val="001117FC"/>
    <w:rsid w:val="00112F92"/>
    <w:rsid w:val="00115F47"/>
    <w:rsid w:val="001207ED"/>
    <w:rsid w:val="001209F7"/>
    <w:rsid w:val="00122709"/>
    <w:rsid w:val="00122992"/>
    <w:rsid w:val="001417DE"/>
    <w:rsid w:val="00142BE3"/>
    <w:rsid w:val="00143156"/>
    <w:rsid w:val="0015408B"/>
    <w:rsid w:val="001562E9"/>
    <w:rsid w:val="00157DE9"/>
    <w:rsid w:val="00161880"/>
    <w:rsid w:val="00161DD5"/>
    <w:rsid w:val="00166A56"/>
    <w:rsid w:val="001706FF"/>
    <w:rsid w:val="00172902"/>
    <w:rsid w:val="00174EA8"/>
    <w:rsid w:val="00183272"/>
    <w:rsid w:val="00183AE3"/>
    <w:rsid w:val="00187D55"/>
    <w:rsid w:val="00193329"/>
    <w:rsid w:val="001A05E7"/>
    <w:rsid w:val="001A0BEC"/>
    <w:rsid w:val="001A0D09"/>
    <w:rsid w:val="001A0F3C"/>
    <w:rsid w:val="001A0FD8"/>
    <w:rsid w:val="001A1D52"/>
    <w:rsid w:val="001A23C5"/>
    <w:rsid w:val="001A35DA"/>
    <w:rsid w:val="001A5513"/>
    <w:rsid w:val="001A753B"/>
    <w:rsid w:val="001B09B4"/>
    <w:rsid w:val="001B1328"/>
    <w:rsid w:val="001B2DD9"/>
    <w:rsid w:val="001B60DA"/>
    <w:rsid w:val="001B6770"/>
    <w:rsid w:val="001B7834"/>
    <w:rsid w:val="001B7BDE"/>
    <w:rsid w:val="001C27B8"/>
    <w:rsid w:val="001C426E"/>
    <w:rsid w:val="001C56B4"/>
    <w:rsid w:val="001C78BB"/>
    <w:rsid w:val="001C7EF2"/>
    <w:rsid w:val="001E0808"/>
    <w:rsid w:val="001E1CC0"/>
    <w:rsid w:val="001E40CE"/>
    <w:rsid w:val="001F08BD"/>
    <w:rsid w:val="001F6784"/>
    <w:rsid w:val="001F7279"/>
    <w:rsid w:val="00202385"/>
    <w:rsid w:val="0020317A"/>
    <w:rsid w:val="00204608"/>
    <w:rsid w:val="00205100"/>
    <w:rsid w:val="00205DAE"/>
    <w:rsid w:val="00207A5C"/>
    <w:rsid w:val="00212EE2"/>
    <w:rsid w:val="002146DE"/>
    <w:rsid w:val="00215540"/>
    <w:rsid w:val="002163D3"/>
    <w:rsid w:val="0022223A"/>
    <w:rsid w:val="002237E7"/>
    <w:rsid w:val="00224182"/>
    <w:rsid w:val="002250B4"/>
    <w:rsid w:val="00225F6B"/>
    <w:rsid w:val="0023000E"/>
    <w:rsid w:val="00233997"/>
    <w:rsid w:val="0023446D"/>
    <w:rsid w:val="00240F4C"/>
    <w:rsid w:val="00242336"/>
    <w:rsid w:val="002438A5"/>
    <w:rsid w:val="00245E65"/>
    <w:rsid w:val="00253E4D"/>
    <w:rsid w:val="0025457E"/>
    <w:rsid w:val="00255C31"/>
    <w:rsid w:val="00256F18"/>
    <w:rsid w:val="00261181"/>
    <w:rsid w:val="00261D6E"/>
    <w:rsid w:val="0026599C"/>
    <w:rsid w:val="00267762"/>
    <w:rsid w:val="00271D0B"/>
    <w:rsid w:val="0027364A"/>
    <w:rsid w:val="0027482E"/>
    <w:rsid w:val="002753FC"/>
    <w:rsid w:val="00281079"/>
    <w:rsid w:val="002839AA"/>
    <w:rsid w:val="00291CD4"/>
    <w:rsid w:val="00292D37"/>
    <w:rsid w:val="002A07E9"/>
    <w:rsid w:val="002A7BE9"/>
    <w:rsid w:val="002B2344"/>
    <w:rsid w:val="002B35F2"/>
    <w:rsid w:val="002B44EC"/>
    <w:rsid w:val="002B70BA"/>
    <w:rsid w:val="002C25B9"/>
    <w:rsid w:val="002C33B4"/>
    <w:rsid w:val="002C6EA9"/>
    <w:rsid w:val="002D13CE"/>
    <w:rsid w:val="002D3E04"/>
    <w:rsid w:val="002D47E1"/>
    <w:rsid w:val="002D6696"/>
    <w:rsid w:val="002D701A"/>
    <w:rsid w:val="002E3E03"/>
    <w:rsid w:val="002E6106"/>
    <w:rsid w:val="002E7639"/>
    <w:rsid w:val="002F181D"/>
    <w:rsid w:val="002F246E"/>
    <w:rsid w:val="002F2A59"/>
    <w:rsid w:val="002F6956"/>
    <w:rsid w:val="00302CA8"/>
    <w:rsid w:val="0030360F"/>
    <w:rsid w:val="00303CDC"/>
    <w:rsid w:val="00304267"/>
    <w:rsid w:val="00304296"/>
    <w:rsid w:val="003079B1"/>
    <w:rsid w:val="003105C5"/>
    <w:rsid w:val="00312923"/>
    <w:rsid w:val="00315237"/>
    <w:rsid w:val="0031703B"/>
    <w:rsid w:val="0032023D"/>
    <w:rsid w:val="00321731"/>
    <w:rsid w:val="00324E10"/>
    <w:rsid w:val="00327CBB"/>
    <w:rsid w:val="00330E0D"/>
    <w:rsid w:val="00332646"/>
    <w:rsid w:val="003340F4"/>
    <w:rsid w:val="00340590"/>
    <w:rsid w:val="0034093A"/>
    <w:rsid w:val="00343447"/>
    <w:rsid w:val="0034438E"/>
    <w:rsid w:val="00345229"/>
    <w:rsid w:val="00345243"/>
    <w:rsid w:val="00346ED6"/>
    <w:rsid w:val="0035098B"/>
    <w:rsid w:val="003523FE"/>
    <w:rsid w:val="003524D1"/>
    <w:rsid w:val="00355B49"/>
    <w:rsid w:val="003560E2"/>
    <w:rsid w:val="0035665B"/>
    <w:rsid w:val="003568BA"/>
    <w:rsid w:val="00361B7D"/>
    <w:rsid w:val="00362F4D"/>
    <w:rsid w:val="003651BA"/>
    <w:rsid w:val="0036734D"/>
    <w:rsid w:val="00367CD7"/>
    <w:rsid w:val="00382A09"/>
    <w:rsid w:val="003858D6"/>
    <w:rsid w:val="00387BD8"/>
    <w:rsid w:val="00390D05"/>
    <w:rsid w:val="003A0482"/>
    <w:rsid w:val="003A10DB"/>
    <w:rsid w:val="003A23DE"/>
    <w:rsid w:val="003A2F96"/>
    <w:rsid w:val="003A4604"/>
    <w:rsid w:val="003A7225"/>
    <w:rsid w:val="003B055A"/>
    <w:rsid w:val="003B177E"/>
    <w:rsid w:val="003B31CB"/>
    <w:rsid w:val="003B6C2B"/>
    <w:rsid w:val="003B7825"/>
    <w:rsid w:val="003C23B6"/>
    <w:rsid w:val="003C2E1C"/>
    <w:rsid w:val="003C2E78"/>
    <w:rsid w:val="003C30E4"/>
    <w:rsid w:val="003C4BC5"/>
    <w:rsid w:val="003C7C99"/>
    <w:rsid w:val="003D0746"/>
    <w:rsid w:val="003D2784"/>
    <w:rsid w:val="003D4429"/>
    <w:rsid w:val="003D5F41"/>
    <w:rsid w:val="003D6204"/>
    <w:rsid w:val="003D69BA"/>
    <w:rsid w:val="003D7AD6"/>
    <w:rsid w:val="003E5CB7"/>
    <w:rsid w:val="003F412D"/>
    <w:rsid w:val="003F692D"/>
    <w:rsid w:val="003F7D1D"/>
    <w:rsid w:val="003F7EB7"/>
    <w:rsid w:val="00400B04"/>
    <w:rsid w:val="00403094"/>
    <w:rsid w:val="00403BBC"/>
    <w:rsid w:val="004060DE"/>
    <w:rsid w:val="004102FC"/>
    <w:rsid w:val="00412B4E"/>
    <w:rsid w:val="00412E72"/>
    <w:rsid w:val="0041300E"/>
    <w:rsid w:val="00413857"/>
    <w:rsid w:val="00420F16"/>
    <w:rsid w:val="004225DA"/>
    <w:rsid w:val="0042744F"/>
    <w:rsid w:val="004304E2"/>
    <w:rsid w:val="00430A73"/>
    <w:rsid w:val="00432880"/>
    <w:rsid w:val="00432B0E"/>
    <w:rsid w:val="0044023A"/>
    <w:rsid w:val="00440CBB"/>
    <w:rsid w:val="0044438A"/>
    <w:rsid w:val="00445945"/>
    <w:rsid w:val="00447FAF"/>
    <w:rsid w:val="004528A5"/>
    <w:rsid w:val="00457D2C"/>
    <w:rsid w:val="00460A74"/>
    <w:rsid w:val="0046198F"/>
    <w:rsid w:val="00462133"/>
    <w:rsid w:val="0046261B"/>
    <w:rsid w:val="00463486"/>
    <w:rsid w:val="00463ABA"/>
    <w:rsid w:val="00464B01"/>
    <w:rsid w:val="0046601C"/>
    <w:rsid w:val="00470168"/>
    <w:rsid w:val="00471486"/>
    <w:rsid w:val="004728AC"/>
    <w:rsid w:val="00477DAE"/>
    <w:rsid w:val="0048173E"/>
    <w:rsid w:val="00481D8C"/>
    <w:rsid w:val="004827A4"/>
    <w:rsid w:val="00482A3C"/>
    <w:rsid w:val="00484DE7"/>
    <w:rsid w:val="00492FFB"/>
    <w:rsid w:val="0049352D"/>
    <w:rsid w:val="00496AEA"/>
    <w:rsid w:val="004A2F8D"/>
    <w:rsid w:val="004A354C"/>
    <w:rsid w:val="004A6396"/>
    <w:rsid w:val="004B0950"/>
    <w:rsid w:val="004B4DCF"/>
    <w:rsid w:val="004B4F29"/>
    <w:rsid w:val="004B57DB"/>
    <w:rsid w:val="004C0C0B"/>
    <w:rsid w:val="004C39F4"/>
    <w:rsid w:val="004C7149"/>
    <w:rsid w:val="004D1498"/>
    <w:rsid w:val="004D38EA"/>
    <w:rsid w:val="004D5D27"/>
    <w:rsid w:val="004E3EED"/>
    <w:rsid w:val="004E6CB6"/>
    <w:rsid w:val="004F13F0"/>
    <w:rsid w:val="004F21A2"/>
    <w:rsid w:val="004F24A8"/>
    <w:rsid w:val="004F5A8F"/>
    <w:rsid w:val="004F6B72"/>
    <w:rsid w:val="004F6F2D"/>
    <w:rsid w:val="005064DC"/>
    <w:rsid w:val="00506FF8"/>
    <w:rsid w:val="005117D8"/>
    <w:rsid w:val="00511FB5"/>
    <w:rsid w:val="00516FAD"/>
    <w:rsid w:val="00517E24"/>
    <w:rsid w:val="00520F4C"/>
    <w:rsid w:val="005228FB"/>
    <w:rsid w:val="005251D9"/>
    <w:rsid w:val="00530D17"/>
    <w:rsid w:val="005340F9"/>
    <w:rsid w:val="00535C54"/>
    <w:rsid w:val="005377CF"/>
    <w:rsid w:val="0054269B"/>
    <w:rsid w:val="00542E81"/>
    <w:rsid w:val="005572CA"/>
    <w:rsid w:val="00560205"/>
    <w:rsid w:val="0056274F"/>
    <w:rsid w:val="005629CD"/>
    <w:rsid w:val="00564C82"/>
    <w:rsid w:val="005708B3"/>
    <w:rsid w:val="00571B7D"/>
    <w:rsid w:val="005729F8"/>
    <w:rsid w:val="00577F77"/>
    <w:rsid w:val="00583C5F"/>
    <w:rsid w:val="0059484F"/>
    <w:rsid w:val="005948EE"/>
    <w:rsid w:val="00594ACD"/>
    <w:rsid w:val="005967AE"/>
    <w:rsid w:val="005A0843"/>
    <w:rsid w:val="005A3369"/>
    <w:rsid w:val="005A479C"/>
    <w:rsid w:val="005B28A9"/>
    <w:rsid w:val="005B36B1"/>
    <w:rsid w:val="005B5FA3"/>
    <w:rsid w:val="005B602F"/>
    <w:rsid w:val="005C0652"/>
    <w:rsid w:val="005C1833"/>
    <w:rsid w:val="005C1A1F"/>
    <w:rsid w:val="005C1C2F"/>
    <w:rsid w:val="005C1EF8"/>
    <w:rsid w:val="005C2283"/>
    <w:rsid w:val="005C53FA"/>
    <w:rsid w:val="005D0635"/>
    <w:rsid w:val="005D0FF2"/>
    <w:rsid w:val="005D210B"/>
    <w:rsid w:val="005D4BEA"/>
    <w:rsid w:val="005E0C27"/>
    <w:rsid w:val="005E233C"/>
    <w:rsid w:val="005E4B86"/>
    <w:rsid w:val="005E4C75"/>
    <w:rsid w:val="005E6052"/>
    <w:rsid w:val="005F135F"/>
    <w:rsid w:val="005F2EA3"/>
    <w:rsid w:val="005F4014"/>
    <w:rsid w:val="005F4C4B"/>
    <w:rsid w:val="005F4D69"/>
    <w:rsid w:val="005F6C5B"/>
    <w:rsid w:val="005F72CD"/>
    <w:rsid w:val="005F7B3F"/>
    <w:rsid w:val="00603DD7"/>
    <w:rsid w:val="006051FB"/>
    <w:rsid w:val="0060713B"/>
    <w:rsid w:val="006126B5"/>
    <w:rsid w:val="00613397"/>
    <w:rsid w:val="00616515"/>
    <w:rsid w:val="00617C81"/>
    <w:rsid w:val="00623009"/>
    <w:rsid w:val="006239AF"/>
    <w:rsid w:val="006240C7"/>
    <w:rsid w:val="00625EA1"/>
    <w:rsid w:val="006265D3"/>
    <w:rsid w:val="0062761B"/>
    <w:rsid w:val="00630999"/>
    <w:rsid w:val="00631ABE"/>
    <w:rsid w:val="00631B57"/>
    <w:rsid w:val="006325CA"/>
    <w:rsid w:val="006334E5"/>
    <w:rsid w:val="0063381C"/>
    <w:rsid w:val="00637D8E"/>
    <w:rsid w:val="00643E50"/>
    <w:rsid w:val="00647546"/>
    <w:rsid w:val="006502C7"/>
    <w:rsid w:val="006513F7"/>
    <w:rsid w:val="00651998"/>
    <w:rsid w:val="00652620"/>
    <w:rsid w:val="00652E66"/>
    <w:rsid w:val="006547B9"/>
    <w:rsid w:val="00655BEA"/>
    <w:rsid w:val="006627F1"/>
    <w:rsid w:val="006640B5"/>
    <w:rsid w:val="00666375"/>
    <w:rsid w:val="00673288"/>
    <w:rsid w:val="00674952"/>
    <w:rsid w:val="006749DC"/>
    <w:rsid w:val="00682A1D"/>
    <w:rsid w:val="00683AC3"/>
    <w:rsid w:val="00684CFC"/>
    <w:rsid w:val="006864E9"/>
    <w:rsid w:val="00690576"/>
    <w:rsid w:val="00690D89"/>
    <w:rsid w:val="00691592"/>
    <w:rsid w:val="00691983"/>
    <w:rsid w:val="00692DDD"/>
    <w:rsid w:val="0069311A"/>
    <w:rsid w:val="00693239"/>
    <w:rsid w:val="006948A3"/>
    <w:rsid w:val="006A1567"/>
    <w:rsid w:val="006A1817"/>
    <w:rsid w:val="006A54E5"/>
    <w:rsid w:val="006A6D28"/>
    <w:rsid w:val="006A6E44"/>
    <w:rsid w:val="006B7197"/>
    <w:rsid w:val="006C1200"/>
    <w:rsid w:val="006C260C"/>
    <w:rsid w:val="006C695A"/>
    <w:rsid w:val="006C7BCF"/>
    <w:rsid w:val="006D1825"/>
    <w:rsid w:val="006D3010"/>
    <w:rsid w:val="006D3D5F"/>
    <w:rsid w:val="006D4FEA"/>
    <w:rsid w:val="006E0D42"/>
    <w:rsid w:val="006E1719"/>
    <w:rsid w:val="006E2C88"/>
    <w:rsid w:val="006E34BA"/>
    <w:rsid w:val="006E3B44"/>
    <w:rsid w:val="006E5DB4"/>
    <w:rsid w:val="006F07CE"/>
    <w:rsid w:val="006F4AAC"/>
    <w:rsid w:val="006F7765"/>
    <w:rsid w:val="0070031C"/>
    <w:rsid w:val="0070213E"/>
    <w:rsid w:val="00705A51"/>
    <w:rsid w:val="007066E0"/>
    <w:rsid w:val="00707936"/>
    <w:rsid w:val="00712325"/>
    <w:rsid w:val="0071425E"/>
    <w:rsid w:val="0071574E"/>
    <w:rsid w:val="007171D7"/>
    <w:rsid w:val="0071772C"/>
    <w:rsid w:val="00722D5D"/>
    <w:rsid w:val="007242BA"/>
    <w:rsid w:val="00724EE7"/>
    <w:rsid w:val="007265A6"/>
    <w:rsid w:val="007336BF"/>
    <w:rsid w:val="00733A6D"/>
    <w:rsid w:val="0073478C"/>
    <w:rsid w:val="00736261"/>
    <w:rsid w:val="00743EEF"/>
    <w:rsid w:val="00745F0D"/>
    <w:rsid w:val="0074729F"/>
    <w:rsid w:val="00751933"/>
    <w:rsid w:val="00755F0C"/>
    <w:rsid w:val="0075786B"/>
    <w:rsid w:val="0076121D"/>
    <w:rsid w:val="007676F3"/>
    <w:rsid w:val="00774E6F"/>
    <w:rsid w:val="00774F8A"/>
    <w:rsid w:val="0077712E"/>
    <w:rsid w:val="00780E91"/>
    <w:rsid w:val="0078152C"/>
    <w:rsid w:val="00783793"/>
    <w:rsid w:val="0078415A"/>
    <w:rsid w:val="00784DF8"/>
    <w:rsid w:val="00787152"/>
    <w:rsid w:val="00787740"/>
    <w:rsid w:val="00791B74"/>
    <w:rsid w:val="00791CC0"/>
    <w:rsid w:val="007928E2"/>
    <w:rsid w:val="00797582"/>
    <w:rsid w:val="007A2901"/>
    <w:rsid w:val="007A318C"/>
    <w:rsid w:val="007A397D"/>
    <w:rsid w:val="007B1C97"/>
    <w:rsid w:val="007C01DC"/>
    <w:rsid w:val="007C238D"/>
    <w:rsid w:val="007C2B75"/>
    <w:rsid w:val="007C4D4A"/>
    <w:rsid w:val="007D0BF9"/>
    <w:rsid w:val="007D3858"/>
    <w:rsid w:val="007D4405"/>
    <w:rsid w:val="007D5111"/>
    <w:rsid w:val="007E164A"/>
    <w:rsid w:val="007F2AD3"/>
    <w:rsid w:val="007F3CC4"/>
    <w:rsid w:val="007F583C"/>
    <w:rsid w:val="008004E4"/>
    <w:rsid w:val="00807C4A"/>
    <w:rsid w:val="00813E94"/>
    <w:rsid w:val="00815C5C"/>
    <w:rsid w:val="00816485"/>
    <w:rsid w:val="008217AC"/>
    <w:rsid w:val="0082406E"/>
    <w:rsid w:val="0082485A"/>
    <w:rsid w:val="008257EC"/>
    <w:rsid w:val="00825D1C"/>
    <w:rsid w:val="00826B7F"/>
    <w:rsid w:val="00826D9C"/>
    <w:rsid w:val="008303CE"/>
    <w:rsid w:val="00834F07"/>
    <w:rsid w:val="008361C2"/>
    <w:rsid w:val="00837D8C"/>
    <w:rsid w:val="00840BDF"/>
    <w:rsid w:val="00844113"/>
    <w:rsid w:val="00844554"/>
    <w:rsid w:val="00847C16"/>
    <w:rsid w:val="00847C3D"/>
    <w:rsid w:val="00851343"/>
    <w:rsid w:val="008516A6"/>
    <w:rsid w:val="00862247"/>
    <w:rsid w:val="008634E4"/>
    <w:rsid w:val="00863EB6"/>
    <w:rsid w:val="00874751"/>
    <w:rsid w:val="008826A2"/>
    <w:rsid w:val="00882A72"/>
    <w:rsid w:val="008921B0"/>
    <w:rsid w:val="0089607F"/>
    <w:rsid w:val="00896358"/>
    <w:rsid w:val="00897FA7"/>
    <w:rsid w:val="008A16BD"/>
    <w:rsid w:val="008A30B2"/>
    <w:rsid w:val="008A5182"/>
    <w:rsid w:val="008A5E6A"/>
    <w:rsid w:val="008A6630"/>
    <w:rsid w:val="008B0227"/>
    <w:rsid w:val="008B0F5B"/>
    <w:rsid w:val="008B7479"/>
    <w:rsid w:val="008C113D"/>
    <w:rsid w:val="008C279E"/>
    <w:rsid w:val="008C2C57"/>
    <w:rsid w:val="008C3594"/>
    <w:rsid w:val="008C4F9A"/>
    <w:rsid w:val="008C580F"/>
    <w:rsid w:val="008D1DB8"/>
    <w:rsid w:val="008D3D0B"/>
    <w:rsid w:val="008D7837"/>
    <w:rsid w:val="008E3158"/>
    <w:rsid w:val="008E38C8"/>
    <w:rsid w:val="008E47A5"/>
    <w:rsid w:val="008E4F3C"/>
    <w:rsid w:val="008E52B5"/>
    <w:rsid w:val="008F5270"/>
    <w:rsid w:val="008F5818"/>
    <w:rsid w:val="009005D6"/>
    <w:rsid w:val="00901035"/>
    <w:rsid w:val="00901643"/>
    <w:rsid w:val="00903A3B"/>
    <w:rsid w:val="00905410"/>
    <w:rsid w:val="00905990"/>
    <w:rsid w:val="0090613A"/>
    <w:rsid w:val="00906DED"/>
    <w:rsid w:val="0091076D"/>
    <w:rsid w:val="00911501"/>
    <w:rsid w:val="00916705"/>
    <w:rsid w:val="00917122"/>
    <w:rsid w:val="0093068B"/>
    <w:rsid w:val="009308A5"/>
    <w:rsid w:val="00930BAB"/>
    <w:rsid w:val="00932AF8"/>
    <w:rsid w:val="00933CC4"/>
    <w:rsid w:val="009447D7"/>
    <w:rsid w:val="00944C87"/>
    <w:rsid w:val="0094578F"/>
    <w:rsid w:val="009469B4"/>
    <w:rsid w:val="0094711E"/>
    <w:rsid w:val="00950F98"/>
    <w:rsid w:val="009517E3"/>
    <w:rsid w:val="00957749"/>
    <w:rsid w:val="00957DA1"/>
    <w:rsid w:val="0096604F"/>
    <w:rsid w:val="00966D0F"/>
    <w:rsid w:val="009702FE"/>
    <w:rsid w:val="00971B92"/>
    <w:rsid w:val="00971DB3"/>
    <w:rsid w:val="009743AC"/>
    <w:rsid w:val="00974CDA"/>
    <w:rsid w:val="00980541"/>
    <w:rsid w:val="00980556"/>
    <w:rsid w:val="009806D6"/>
    <w:rsid w:val="00982E3F"/>
    <w:rsid w:val="00983660"/>
    <w:rsid w:val="009840E7"/>
    <w:rsid w:val="009903FD"/>
    <w:rsid w:val="00991280"/>
    <w:rsid w:val="009913F7"/>
    <w:rsid w:val="0099166B"/>
    <w:rsid w:val="00992DC3"/>
    <w:rsid w:val="00994228"/>
    <w:rsid w:val="009A2050"/>
    <w:rsid w:val="009A2163"/>
    <w:rsid w:val="009A66FE"/>
    <w:rsid w:val="009A7390"/>
    <w:rsid w:val="009B70A2"/>
    <w:rsid w:val="009B7282"/>
    <w:rsid w:val="009C389C"/>
    <w:rsid w:val="009C5615"/>
    <w:rsid w:val="009C68E6"/>
    <w:rsid w:val="009C6DE5"/>
    <w:rsid w:val="009C7FEB"/>
    <w:rsid w:val="009D2AE4"/>
    <w:rsid w:val="009E1F04"/>
    <w:rsid w:val="009E4616"/>
    <w:rsid w:val="009E478B"/>
    <w:rsid w:val="009E6020"/>
    <w:rsid w:val="009E7CC0"/>
    <w:rsid w:val="009F6FB4"/>
    <w:rsid w:val="009F7FE7"/>
    <w:rsid w:val="00A02281"/>
    <w:rsid w:val="00A02A29"/>
    <w:rsid w:val="00A0654F"/>
    <w:rsid w:val="00A100A9"/>
    <w:rsid w:val="00A10AC0"/>
    <w:rsid w:val="00A1284D"/>
    <w:rsid w:val="00A13127"/>
    <w:rsid w:val="00A133FE"/>
    <w:rsid w:val="00A1786B"/>
    <w:rsid w:val="00A34728"/>
    <w:rsid w:val="00A3636B"/>
    <w:rsid w:val="00A41564"/>
    <w:rsid w:val="00A43B2A"/>
    <w:rsid w:val="00A466F9"/>
    <w:rsid w:val="00A46F5C"/>
    <w:rsid w:val="00A50C4F"/>
    <w:rsid w:val="00A523BC"/>
    <w:rsid w:val="00A5298F"/>
    <w:rsid w:val="00A53621"/>
    <w:rsid w:val="00A551E4"/>
    <w:rsid w:val="00A60DEC"/>
    <w:rsid w:val="00A60F29"/>
    <w:rsid w:val="00A6112A"/>
    <w:rsid w:val="00A61914"/>
    <w:rsid w:val="00A6212C"/>
    <w:rsid w:val="00A63793"/>
    <w:rsid w:val="00A658F4"/>
    <w:rsid w:val="00A726F5"/>
    <w:rsid w:val="00A727C1"/>
    <w:rsid w:val="00A73FC0"/>
    <w:rsid w:val="00A8525B"/>
    <w:rsid w:val="00A85A54"/>
    <w:rsid w:val="00A85B55"/>
    <w:rsid w:val="00A86C81"/>
    <w:rsid w:val="00A87AE3"/>
    <w:rsid w:val="00A947AE"/>
    <w:rsid w:val="00A94F45"/>
    <w:rsid w:val="00A959CF"/>
    <w:rsid w:val="00AA2717"/>
    <w:rsid w:val="00AA635D"/>
    <w:rsid w:val="00AA6391"/>
    <w:rsid w:val="00AA7E0A"/>
    <w:rsid w:val="00AB2164"/>
    <w:rsid w:val="00AB2DCC"/>
    <w:rsid w:val="00AB3D63"/>
    <w:rsid w:val="00AB4C5B"/>
    <w:rsid w:val="00AC3705"/>
    <w:rsid w:val="00AC6BCE"/>
    <w:rsid w:val="00AD0720"/>
    <w:rsid w:val="00AD08CF"/>
    <w:rsid w:val="00AD0C42"/>
    <w:rsid w:val="00AD2A2B"/>
    <w:rsid w:val="00AD30C8"/>
    <w:rsid w:val="00AD57B0"/>
    <w:rsid w:val="00AD7656"/>
    <w:rsid w:val="00AE359D"/>
    <w:rsid w:val="00AE3975"/>
    <w:rsid w:val="00AE4549"/>
    <w:rsid w:val="00AE455E"/>
    <w:rsid w:val="00AF2EFA"/>
    <w:rsid w:val="00AF701C"/>
    <w:rsid w:val="00AF7A61"/>
    <w:rsid w:val="00B005D1"/>
    <w:rsid w:val="00B011B3"/>
    <w:rsid w:val="00B045F8"/>
    <w:rsid w:val="00B113C2"/>
    <w:rsid w:val="00B139E1"/>
    <w:rsid w:val="00B210C8"/>
    <w:rsid w:val="00B2657E"/>
    <w:rsid w:val="00B27AF6"/>
    <w:rsid w:val="00B304C8"/>
    <w:rsid w:val="00B31531"/>
    <w:rsid w:val="00B32565"/>
    <w:rsid w:val="00B34D9D"/>
    <w:rsid w:val="00B37101"/>
    <w:rsid w:val="00B37A27"/>
    <w:rsid w:val="00B41EC5"/>
    <w:rsid w:val="00B44273"/>
    <w:rsid w:val="00B44C06"/>
    <w:rsid w:val="00B605C7"/>
    <w:rsid w:val="00B62111"/>
    <w:rsid w:val="00B62305"/>
    <w:rsid w:val="00B63911"/>
    <w:rsid w:val="00B646AA"/>
    <w:rsid w:val="00B64F8D"/>
    <w:rsid w:val="00B72005"/>
    <w:rsid w:val="00B72A37"/>
    <w:rsid w:val="00B7451D"/>
    <w:rsid w:val="00B76046"/>
    <w:rsid w:val="00B81189"/>
    <w:rsid w:val="00B81DE9"/>
    <w:rsid w:val="00B90015"/>
    <w:rsid w:val="00B9334F"/>
    <w:rsid w:val="00B955A4"/>
    <w:rsid w:val="00B96CC8"/>
    <w:rsid w:val="00B97BD3"/>
    <w:rsid w:val="00B97DA6"/>
    <w:rsid w:val="00BB0394"/>
    <w:rsid w:val="00BB40E2"/>
    <w:rsid w:val="00BB67D1"/>
    <w:rsid w:val="00BB6A57"/>
    <w:rsid w:val="00BC47F7"/>
    <w:rsid w:val="00BD5D00"/>
    <w:rsid w:val="00BE4659"/>
    <w:rsid w:val="00BE5742"/>
    <w:rsid w:val="00BF3E21"/>
    <w:rsid w:val="00BF633A"/>
    <w:rsid w:val="00C0272B"/>
    <w:rsid w:val="00C074B6"/>
    <w:rsid w:val="00C11202"/>
    <w:rsid w:val="00C11215"/>
    <w:rsid w:val="00C13FBE"/>
    <w:rsid w:val="00C1750B"/>
    <w:rsid w:val="00C1793E"/>
    <w:rsid w:val="00C206A1"/>
    <w:rsid w:val="00C22A89"/>
    <w:rsid w:val="00C23254"/>
    <w:rsid w:val="00C2364B"/>
    <w:rsid w:val="00C24101"/>
    <w:rsid w:val="00C25FCB"/>
    <w:rsid w:val="00C272E7"/>
    <w:rsid w:val="00C31D78"/>
    <w:rsid w:val="00C32F48"/>
    <w:rsid w:val="00C34B8F"/>
    <w:rsid w:val="00C36657"/>
    <w:rsid w:val="00C376CC"/>
    <w:rsid w:val="00C479BA"/>
    <w:rsid w:val="00C5198B"/>
    <w:rsid w:val="00C52215"/>
    <w:rsid w:val="00C53699"/>
    <w:rsid w:val="00C536BE"/>
    <w:rsid w:val="00C53E6D"/>
    <w:rsid w:val="00C53E71"/>
    <w:rsid w:val="00C554C7"/>
    <w:rsid w:val="00C62C8A"/>
    <w:rsid w:val="00C64E23"/>
    <w:rsid w:val="00C65151"/>
    <w:rsid w:val="00C668CC"/>
    <w:rsid w:val="00C71651"/>
    <w:rsid w:val="00C72BC1"/>
    <w:rsid w:val="00C77B14"/>
    <w:rsid w:val="00C81081"/>
    <w:rsid w:val="00C85383"/>
    <w:rsid w:val="00C9267C"/>
    <w:rsid w:val="00C933DE"/>
    <w:rsid w:val="00C97E54"/>
    <w:rsid w:val="00C97F33"/>
    <w:rsid w:val="00CA0387"/>
    <w:rsid w:val="00CA0402"/>
    <w:rsid w:val="00CA08AA"/>
    <w:rsid w:val="00CA2F76"/>
    <w:rsid w:val="00CA52CF"/>
    <w:rsid w:val="00CA7C31"/>
    <w:rsid w:val="00CB0B1C"/>
    <w:rsid w:val="00CB0D8F"/>
    <w:rsid w:val="00CB41E5"/>
    <w:rsid w:val="00CC11E6"/>
    <w:rsid w:val="00CC1432"/>
    <w:rsid w:val="00CC14CD"/>
    <w:rsid w:val="00CC1675"/>
    <w:rsid w:val="00CC29D5"/>
    <w:rsid w:val="00CC5CC1"/>
    <w:rsid w:val="00CC7C3E"/>
    <w:rsid w:val="00CD065C"/>
    <w:rsid w:val="00CD07AB"/>
    <w:rsid w:val="00CD09DA"/>
    <w:rsid w:val="00CD0B26"/>
    <w:rsid w:val="00CD177B"/>
    <w:rsid w:val="00CD19CD"/>
    <w:rsid w:val="00CD3ABB"/>
    <w:rsid w:val="00CD48D9"/>
    <w:rsid w:val="00CE12B7"/>
    <w:rsid w:val="00CE7D9E"/>
    <w:rsid w:val="00CF0B01"/>
    <w:rsid w:val="00CF6AE7"/>
    <w:rsid w:val="00D03F81"/>
    <w:rsid w:val="00D0559A"/>
    <w:rsid w:val="00D1130D"/>
    <w:rsid w:val="00D1588B"/>
    <w:rsid w:val="00D1775F"/>
    <w:rsid w:val="00D17862"/>
    <w:rsid w:val="00D25016"/>
    <w:rsid w:val="00D25631"/>
    <w:rsid w:val="00D27667"/>
    <w:rsid w:val="00D2787C"/>
    <w:rsid w:val="00D30074"/>
    <w:rsid w:val="00D31377"/>
    <w:rsid w:val="00D31749"/>
    <w:rsid w:val="00D321B0"/>
    <w:rsid w:val="00D3579A"/>
    <w:rsid w:val="00D4366F"/>
    <w:rsid w:val="00D44BAD"/>
    <w:rsid w:val="00D450B0"/>
    <w:rsid w:val="00D452D8"/>
    <w:rsid w:val="00D46FF9"/>
    <w:rsid w:val="00D508D1"/>
    <w:rsid w:val="00D50FA4"/>
    <w:rsid w:val="00D54BAC"/>
    <w:rsid w:val="00D55A80"/>
    <w:rsid w:val="00D5706D"/>
    <w:rsid w:val="00D62973"/>
    <w:rsid w:val="00D675C5"/>
    <w:rsid w:val="00D6782A"/>
    <w:rsid w:val="00D702FC"/>
    <w:rsid w:val="00D72C50"/>
    <w:rsid w:val="00D73248"/>
    <w:rsid w:val="00D73628"/>
    <w:rsid w:val="00D75505"/>
    <w:rsid w:val="00D8013F"/>
    <w:rsid w:val="00D80227"/>
    <w:rsid w:val="00D80E8B"/>
    <w:rsid w:val="00D813B0"/>
    <w:rsid w:val="00D815C0"/>
    <w:rsid w:val="00D83087"/>
    <w:rsid w:val="00D86FDA"/>
    <w:rsid w:val="00D9073F"/>
    <w:rsid w:val="00D94E70"/>
    <w:rsid w:val="00D95000"/>
    <w:rsid w:val="00DA3566"/>
    <w:rsid w:val="00DA409F"/>
    <w:rsid w:val="00DA69B0"/>
    <w:rsid w:val="00DA75CD"/>
    <w:rsid w:val="00DB0B09"/>
    <w:rsid w:val="00DB6E47"/>
    <w:rsid w:val="00DB7799"/>
    <w:rsid w:val="00DC21C2"/>
    <w:rsid w:val="00DC2D59"/>
    <w:rsid w:val="00DC436B"/>
    <w:rsid w:val="00DC4457"/>
    <w:rsid w:val="00DC5562"/>
    <w:rsid w:val="00DD247B"/>
    <w:rsid w:val="00DD2D9B"/>
    <w:rsid w:val="00DD414A"/>
    <w:rsid w:val="00DD43C5"/>
    <w:rsid w:val="00DD4A91"/>
    <w:rsid w:val="00DD4B09"/>
    <w:rsid w:val="00DD7286"/>
    <w:rsid w:val="00DD7E98"/>
    <w:rsid w:val="00DE3BB5"/>
    <w:rsid w:val="00DE42A6"/>
    <w:rsid w:val="00DE448C"/>
    <w:rsid w:val="00DE599F"/>
    <w:rsid w:val="00DE66A2"/>
    <w:rsid w:val="00DF060D"/>
    <w:rsid w:val="00DF4FD5"/>
    <w:rsid w:val="00DF68FA"/>
    <w:rsid w:val="00DF6F6E"/>
    <w:rsid w:val="00E0103E"/>
    <w:rsid w:val="00E010BB"/>
    <w:rsid w:val="00E0192E"/>
    <w:rsid w:val="00E01B79"/>
    <w:rsid w:val="00E01D8F"/>
    <w:rsid w:val="00E021C5"/>
    <w:rsid w:val="00E040EA"/>
    <w:rsid w:val="00E05F99"/>
    <w:rsid w:val="00E06586"/>
    <w:rsid w:val="00E06958"/>
    <w:rsid w:val="00E07A4B"/>
    <w:rsid w:val="00E11FA9"/>
    <w:rsid w:val="00E13982"/>
    <w:rsid w:val="00E160E3"/>
    <w:rsid w:val="00E210AA"/>
    <w:rsid w:val="00E2389F"/>
    <w:rsid w:val="00E24F11"/>
    <w:rsid w:val="00E253F4"/>
    <w:rsid w:val="00E25496"/>
    <w:rsid w:val="00E267C9"/>
    <w:rsid w:val="00E27290"/>
    <w:rsid w:val="00E27584"/>
    <w:rsid w:val="00E30E0E"/>
    <w:rsid w:val="00E33228"/>
    <w:rsid w:val="00E33D53"/>
    <w:rsid w:val="00E3446E"/>
    <w:rsid w:val="00E34DFC"/>
    <w:rsid w:val="00E36CCD"/>
    <w:rsid w:val="00E37BE2"/>
    <w:rsid w:val="00E41A1B"/>
    <w:rsid w:val="00E43645"/>
    <w:rsid w:val="00E44C15"/>
    <w:rsid w:val="00E46ECE"/>
    <w:rsid w:val="00E471D4"/>
    <w:rsid w:val="00E47505"/>
    <w:rsid w:val="00E546E7"/>
    <w:rsid w:val="00E55469"/>
    <w:rsid w:val="00E6693D"/>
    <w:rsid w:val="00E70A1D"/>
    <w:rsid w:val="00E70A7D"/>
    <w:rsid w:val="00E70CBB"/>
    <w:rsid w:val="00E71831"/>
    <w:rsid w:val="00E84EEF"/>
    <w:rsid w:val="00E85850"/>
    <w:rsid w:val="00E85B2A"/>
    <w:rsid w:val="00E87B4D"/>
    <w:rsid w:val="00E87F07"/>
    <w:rsid w:val="00E933DD"/>
    <w:rsid w:val="00E94184"/>
    <w:rsid w:val="00E94A4F"/>
    <w:rsid w:val="00EA5F6B"/>
    <w:rsid w:val="00EA6DB0"/>
    <w:rsid w:val="00EA7262"/>
    <w:rsid w:val="00EA7B00"/>
    <w:rsid w:val="00EA7C4A"/>
    <w:rsid w:val="00EB3022"/>
    <w:rsid w:val="00EB3F7D"/>
    <w:rsid w:val="00EB45B7"/>
    <w:rsid w:val="00EB65C4"/>
    <w:rsid w:val="00EB7B20"/>
    <w:rsid w:val="00EC17F3"/>
    <w:rsid w:val="00EC2F88"/>
    <w:rsid w:val="00EC4E72"/>
    <w:rsid w:val="00ED0DF6"/>
    <w:rsid w:val="00ED1CB4"/>
    <w:rsid w:val="00ED76A3"/>
    <w:rsid w:val="00EE1A0C"/>
    <w:rsid w:val="00EE29EF"/>
    <w:rsid w:val="00EE687F"/>
    <w:rsid w:val="00EE746B"/>
    <w:rsid w:val="00EE7B8C"/>
    <w:rsid w:val="00EF0160"/>
    <w:rsid w:val="00EF3350"/>
    <w:rsid w:val="00EF4563"/>
    <w:rsid w:val="00EF508C"/>
    <w:rsid w:val="00F00129"/>
    <w:rsid w:val="00F0051A"/>
    <w:rsid w:val="00F01683"/>
    <w:rsid w:val="00F018DC"/>
    <w:rsid w:val="00F020FC"/>
    <w:rsid w:val="00F03502"/>
    <w:rsid w:val="00F03C40"/>
    <w:rsid w:val="00F05307"/>
    <w:rsid w:val="00F10AF9"/>
    <w:rsid w:val="00F15E43"/>
    <w:rsid w:val="00F171C3"/>
    <w:rsid w:val="00F204D7"/>
    <w:rsid w:val="00F223AB"/>
    <w:rsid w:val="00F26234"/>
    <w:rsid w:val="00F27680"/>
    <w:rsid w:val="00F36271"/>
    <w:rsid w:val="00F41135"/>
    <w:rsid w:val="00F42957"/>
    <w:rsid w:val="00F46661"/>
    <w:rsid w:val="00F47A2F"/>
    <w:rsid w:val="00F50A18"/>
    <w:rsid w:val="00F53820"/>
    <w:rsid w:val="00F55C58"/>
    <w:rsid w:val="00F61497"/>
    <w:rsid w:val="00F661C7"/>
    <w:rsid w:val="00F72127"/>
    <w:rsid w:val="00F72AC1"/>
    <w:rsid w:val="00F72BB3"/>
    <w:rsid w:val="00F7429E"/>
    <w:rsid w:val="00F75526"/>
    <w:rsid w:val="00F77F9E"/>
    <w:rsid w:val="00F82F05"/>
    <w:rsid w:val="00F9244C"/>
    <w:rsid w:val="00F92F95"/>
    <w:rsid w:val="00FA0A42"/>
    <w:rsid w:val="00FA18D2"/>
    <w:rsid w:val="00FA1F3D"/>
    <w:rsid w:val="00FA1FE3"/>
    <w:rsid w:val="00FA46CC"/>
    <w:rsid w:val="00FA66F0"/>
    <w:rsid w:val="00FA6FFD"/>
    <w:rsid w:val="00FA7406"/>
    <w:rsid w:val="00FA7744"/>
    <w:rsid w:val="00FB44C3"/>
    <w:rsid w:val="00FB52A4"/>
    <w:rsid w:val="00FB6B85"/>
    <w:rsid w:val="00FB70FE"/>
    <w:rsid w:val="00FC0C9A"/>
    <w:rsid w:val="00FC1194"/>
    <w:rsid w:val="00FC21B5"/>
    <w:rsid w:val="00FD69B0"/>
    <w:rsid w:val="00FE2D11"/>
    <w:rsid w:val="00FE409A"/>
    <w:rsid w:val="00FE759E"/>
    <w:rsid w:val="00FF0415"/>
    <w:rsid w:val="00FF2F61"/>
    <w:rsid w:val="00FF6E0D"/>
    <w:rsid w:val="00FF785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E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DC0E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125"/>
    <w:rPr>
      <w:rFonts w:ascii="Lucida Grande" w:hAnsi="Lucida Grande"/>
      <w:sz w:val="18"/>
      <w:szCs w:val="18"/>
    </w:rPr>
  </w:style>
  <w:style w:type="character" w:customStyle="1" w:styleId="BalloonTextChar">
    <w:name w:val="Balloon Text Char"/>
    <w:basedOn w:val="DefaultParagraphFont"/>
    <w:link w:val="BalloonText"/>
    <w:uiPriority w:val="99"/>
    <w:semiHidden/>
    <w:rsid w:val="00862125"/>
    <w:rPr>
      <w:rFonts w:ascii="Lucida Grande" w:hAnsi="Lucida Grande"/>
      <w:sz w:val="18"/>
      <w:szCs w:val="18"/>
    </w:rPr>
  </w:style>
  <w:style w:type="paragraph" w:styleId="FootnoteText">
    <w:name w:val="footnote text"/>
    <w:basedOn w:val="Normal"/>
    <w:link w:val="FootnoteTextChar"/>
    <w:rsid w:val="00DD2D9B"/>
  </w:style>
  <w:style w:type="character" w:customStyle="1" w:styleId="FootnoteTextChar">
    <w:name w:val="Footnote Text Char"/>
    <w:basedOn w:val="DefaultParagraphFont"/>
    <w:link w:val="FootnoteText"/>
    <w:rsid w:val="00DD2D9B"/>
  </w:style>
  <w:style w:type="character" w:styleId="FootnoteReference">
    <w:name w:val="footnote reference"/>
    <w:basedOn w:val="DefaultParagraphFont"/>
    <w:rsid w:val="00DD2D9B"/>
    <w:rPr>
      <w:vertAlign w:val="superscript"/>
    </w:rPr>
  </w:style>
  <w:style w:type="paragraph" w:styleId="Header">
    <w:name w:val="header"/>
    <w:basedOn w:val="Normal"/>
    <w:link w:val="HeaderChar"/>
    <w:rsid w:val="00044C92"/>
    <w:pPr>
      <w:tabs>
        <w:tab w:val="center" w:pos="4536"/>
        <w:tab w:val="right" w:pos="9072"/>
      </w:tabs>
    </w:pPr>
  </w:style>
  <w:style w:type="character" w:customStyle="1" w:styleId="HeaderChar">
    <w:name w:val="Header Char"/>
    <w:basedOn w:val="DefaultParagraphFont"/>
    <w:link w:val="Header"/>
    <w:rsid w:val="00044C92"/>
  </w:style>
  <w:style w:type="paragraph" w:styleId="Footer">
    <w:name w:val="footer"/>
    <w:basedOn w:val="Normal"/>
    <w:link w:val="FooterChar"/>
    <w:rsid w:val="00044C92"/>
    <w:pPr>
      <w:tabs>
        <w:tab w:val="center" w:pos="4536"/>
        <w:tab w:val="right" w:pos="9072"/>
      </w:tabs>
    </w:pPr>
  </w:style>
  <w:style w:type="character" w:customStyle="1" w:styleId="FooterChar">
    <w:name w:val="Footer Char"/>
    <w:basedOn w:val="DefaultParagraphFont"/>
    <w:link w:val="Footer"/>
    <w:rsid w:val="00044C92"/>
  </w:style>
  <w:style w:type="numbering" w:customStyle="1" w:styleId="Aucuneliste1">
    <w:name w:val="Aucune liste1"/>
    <w:next w:val="NoList"/>
    <w:semiHidden/>
    <w:unhideWhenUsed/>
    <w:rsid w:val="00847C3D"/>
  </w:style>
  <w:style w:type="character" w:styleId="CommentReference">
    <w:name w:val="annotation reference"/>
    <w:basedOn w:val="DefaultParagraphFont"/>
    <w:semiHidden/>
    <w:unhideWhenUsed/>
    <w:rsid w:val="00E41A1B"/>
    <w:rPr>
      <w:sz w:val="18"/>
      <w:szCs w:val="18"/>
    </w:rPr>
  </w:style>
  <w:style w:type="paragraph" w:styleId="CommentText">
    <w:name w:val="annotation text"/>
    <w:basedOn w:val="Normal"/>
    <w:link w:val="CommentTextChar"/>
    <w:semiHidden/>
    <w:unhideWhenUsed/>
    <w:rsid w:val="00E41A1B"/>
  </w:style>
  <w:style w:type="character" w:customStyle="1" w:styleId="CommentTextChar">
    <w:name w:val="Comment Text Char"/>
    <w:basedOn w:val="DefaultParagraphFont"/>
    <w:link w:val="CommentText"/>
    <w:semiHidden/>
    <w:rsid w:val="00E41A1B"/>
    <w:rPr>
      <w:lang w:val="en-GB"/>
    </w:rPr>
  </w:style>
  <w:style w:type="paragraph" w:styleId="CommentSubject">
    <w:name w:val="annotation subject"/>
    <w:basedOn w:val="CommentText"/>
    <w:next w:val="CommentText"/>
    <w:link w:val="CommentSubjectChar"/>
    <w:semiHidden/>
    <w:unhideWhenUsed/>
    <w:rsid w:val="00E41A1B"/>
    <w:rPr>
      <w:b/>
      <w:bCs/>
      <w:sz w:val="20"/>
      <w:szCs w:val="20"/>
    </w:rPr>
  </w:style>
  <w:style w:type="character" w:customStyle="1" w:styleId="CommentSubjectChar">
    <w:name w:val="Comment Subject Char"/>
    <w:basedOn w:val="CommentTextChar"/>
    <w:link w:val="CommentSubject"/>
    <w:semiHidden/>
    <w:rsid w:val="00E41A1B"/>
    <w:rPr>
      <w:b/>
      <w:bCs/>
      <w:sz w:val="20"/>
      <w:szCs w:val="20"/>
      <w:lang w:val="en-GB"/>
    </w:rPr>
  </w:style>
  <w:style w:type="paragraph" w:styleId="Revision">
    <w:name w:val="Revision"/>
    <w:hidden/>
    <w:semiHidden/>
    <w:rsid w:val="00CC5CC1"/>
    <w:rPr>
      <w:lang w:val="en-GB"/>
    </w:rPr>
  </w:style>
  <w:style w:type="character" w:styleId="PageNumber">
    <w:name w:val="page number"/>
    <w:basedOn w:val="DefaultParagraphFont"/>
    <w:semiHidden/>
    <w:unhideWhenUsed/>
    <w:rsid w:val="006D1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DC0E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125"/>
    <w:rPr>
      <w:rFonts w:ascii="Lucida Grande" w:hAnsi="Lucida Grande"/>
      <w:sz w:val="18"/>
      <w:szCs w:val="18"/>
    </w:rPr>
  </w:style>
  <w:style w:type="character" w:customStyle="1" w:styleId="BalloonTextChar">
    <w:name w:val="Balloon Text Char"/>
    <w:basedOn w:val="DefaultParagraphFont"/>
    <w:link w:val="BalloonText"/>
    <w:uiPriority w:val="99"/>
    <w:semiHidden/>
    <w:rsid w:val="00862125"/>
    <w:rPr>
      <w:rFonts w:ascii="Lucida Grande" w:hAnsi="Lucida Grande"/>
      <w:sz w:val="18"/>
      <w:szCs w:val="18"/>
    </w:rPr>
  </w:style>
  <w:style w:type="paragraph" w:styleId="FootnoteText">
    <w:name w:val="footnote text"/>
    <w:basedOn w:val="Normal"/>
    <w:link w:val="FootnoteTextChar"/>
    <w:rsid w:val="00DD2D9B"/>
  </w:style>
  <w:style w:type="character" w:customStyle="1" w:styleId="FootnoteTextChar">
    <w:name w:val="Footnote Text Char"/>
    <w:basedOn w:val="DefaultParagraphFont"/>
    <w:link w:val="FootnoteText"/>
    <w:rsid w:val="00DD2D9B"/>
  </w:style>
  <w:style w:type="character" w:styleId="FootnoteReference">
    <w:name w:val="footnote reference"/>
    <w:basedOn w:val="DefaultParagraphFont"/>
    <w:rsid w:val="00DD2D9B"/>
    <w:rPr>
      <w:vertAlign w:val="superscript"/>
    </w:rPr>
  </w:style>
  <w:style w:type="paragraph" w:styleId="Header">
    <w:name w:val="header"/>
    <w:basedOn w:val="Normal"/>
    <w:link w:val="HeaderChar"/>
    <w:rsid w:val="00044C92"/>
    <w:pPr>
      <w:tabs>
        <w:tab w:val="center" w:pos="4536"/>
        <w:tab w:val="right" w:pos="9072"/>
      </w:tabs>
    </w:pPr>
  </w:style>
  <w:style w:type="character" w:customStyle="1" w:styleId="HeaderChar">
    <w:name w:val="Header Char"/>
    <w:basedOn w:val="DefaultParagraphFont"/>
    <w:link w:val="Header"/>
    <w:rsid w:val="00044C92"/>
  </w:style>
  <w:style w:type="paragraph" w:styleId="Footer">
    <w:name w:val="footer"/>
    <w:basedOn w:val="Normal"/>
    <w:link w:val="FooterChar"/>
    <w:rsid w:val="00044C92"/>
    <w:pPr>
      <w:tabs>
        <w:tab w:val="center" w:pos="4536"/>
        <w:tab w:val="right" w:pos="9072"/>
      </w:tabs>
    </w:pPr>
  </w:style>
  <w:style w:type="character" w:customStyle="1" w:styleId="FooterChar">
    <w:name w:val="Footer Char"/>
    <w:basedOn w:val="DefaultParagraphFont"/>
    <w:link w:val="Footer"/>
    <w:rsid w:val="00044C92"/>
  </w:style>
  <w:style w:type="numbering" w:customStyle="1" w:styleId="Aucuneliste1">
    <w:name w:val="Aucune liste1"/>
    <w:next w:val="NoList"/>
    <w:semiHidden/>
    <w:unhideWhenUsed/>
    <w:rsid w:val="00847C3D"/>
  </w:style>
  <w:style w:type="character" w:styleId="CommentReference">
    <w:name w:val="annotation reference"/>
    <w:basedOn w:val="DefaultParagraphFont"/>
    <w:semiHidden/>
    <w:unhideWhenUsed/>
    <w:rsid w:val="00E41A1B"/>
    <w:rPr>
      <w:sz w:val="18"/>
      <w:szCs w:val="18"/>
    </w:rPr>
  </w:style>
  <w:style w:type="paragraph" w:styleId="CommentText">
    <w:name w:val="annotation text"/>
    <w:basedOn w:val="Normal"/>
    <w:link w:val="CommentTextChar"/>
    <w:semiHidden/>
    <w:unhideWhenUsed/>
    <w:rsid w:val="00E41A1B"/>
  </w:style>
  <w:style w:type="character" w:customStyle="1" w:styleId="CommentTextChar">
    <w:name w:val="Comment Text Char"/>
    <w:basedOn w:val="DefaultParagraphFont"/>
    <w:link w:val="CommentText"/>
    <w:semiHidden/>
    <w:rsid w:val="00E41A1B"/>
    <w:rPr>
      <w:lang w:val="en-GB"/>
    </w:rPr>
  </w:style>
  <w:style w:type="paragraph" w:styleId="CommentSubject">
    <w:name w:val="annotation subject"/>
    <w:basedOn w:val="CommentText"/>
    <w:next w:val="CommentText"/>
    <w:link w:val="CommentSubjectChar"/>
    <w:semiHidden/>
    <w:unhideWhenUsed/>
    <w:rsid w:val="00E41A1B"/>
    <w:rPr>
      <w:b/>
      <w:bCs/>
      <w:sz w:val="20"/>
      <w:szCs w:val="20"/>
    </w:rPr>
  </w:style>
  <w:style w:type="character" w:customStyle="1" w:styleId="CommentSubjectChar">
    <w:name w:val="Comment Subject Char"/>
    <w:basedOn w:val="CommentTextChar"/>
    <w:link w:val="CommentSubject"/>
    <w:semiHidden/>
    <w:rsid w:val="00E41A1B"/>
    <w:rPr>
      <w:b/>
      <w:bCs/>
      <w:sz w:val="20"/>
      <w:szCs w:val="20"/>
      <w:lang w:val="en-GB"/>
    </w:rPr>
  </w:style>
  <w:style w:type="paragraph" w:styleId="Revision">
    <w:name w:val="Revision"/>
    <w:hidden/>
    <w:semiHidden/>
    <w:rsid w:val="00CC5CC1"/>
    <w:rPr>
      <w:lang w:val="en-GB"/>
    </w:rPr>
  </w:style>
  <w:style w:type="character" w:styleId="PageNumber">
    <w:name w:val="page number"/>
    <w:basedOn w:val="DefaultParagraphFont"/>
    <w:semiHidden/>
    <w:unhideWhenUsed/>
    <w:rsid w:val="006D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202">
      <w:bodyDiv w:val="1"/>
      <w:marLeft w:val="0"/>
      <w:marRight w:val="0"/>
      <w:marTop w:val="0"/>
      <w:marBottom w:val="0"/>
      <w:divBdr>
        <w:top w:val="none" w:sz="0" w:space="0" w:color="auto"/>
        <w:left w:val="none" w:sz="0" w:space="0" w:color="auto"/>
        <w:bottom w:val="none" w:sz="0" w:space="0" w:color="auto"/>
        <w:right w:val="none" w:sz="0" w:space="0" w:color="auto"/>
      </w:divBdr>
    </w:div>
    <w:div w:id="496187839">
      <w:bodyDiv w:val="1"/>
      <w:marLeft w:val="0"/>
      <w:marRight w:val="0"/>
      <w:marTop w:val="0"/>
      <w:marBottom w:val="0"/>
      <w:divBdr>
        <w:top w:val="none" w:sz="0" w:space="0" w:color="auto"/>
        <w:left w:val="none" w:sz="0" w:space="0" w:color="auto"/>
        <w:bottom w:val="none" w:sz="0" w:space="0" w:color="auto"/>
        <w:right w:val="none" w:sz="0" w:space="0" w:color="auto"/>
      </w:divBdr>
      <w:divsChild>
        <w:div w:id="713045630">
          <w:marLeft w:val="0"/>
          <w:marRight w:val="0"/>
          <w:marTop w:val="0"/>
          <w:marBottom w:val="0"/>
          <w:divBdr>
            <w:top w:val="none" w:sz="0" w:space="0" w:color="auto"/>
            <w:left w:val="none" w:sz="0" w:space="0" w:color="auto"/>
            <w:bottom w:val="none" w:sz="0" w:space="0" w:color="auto"/>
            <w:right w:val="none" w:sz="0" w:space="0" w:color="auto"/>
          </w:divBdr>
        </w:div>
        <w:div w:id="890264978">
          <w:marLeft w:val="0"/>
          <w:marRight w:val="0"/>
          <w:marTop w:val="0"/>
          <w:marBottom w:val="0"/>
          <w:divBdr>
            <w:top w:val="none" w:sz="0" w:space="0" w:color="auto"/>
            <w:left w:val="none" w:sz="0" w:space="0" w:color="auto"/>
            <w:bottom w:val="none" w:sz="0" w:space="0" w:color="auto"/>
            <w:right w:val="none" w:sz="0" w:space="0" w:color="auto"/>
          </w:divBdr>
        </w:div>
        <w:div w:id="975064608">
          <w:marLeft w:val="0"/>
          <w:marRight w:val="0"/>
          <w:marTop w:val="0"/>
          <w:marBottom w:val="0"/>
          <w:divBdr>
            <w:top w:val="none" w:sz="0" w:space="0" w:color="auto"/>
            <w:left w:val="none" w:sz="0" w:space="0" w:color="auto"/>
            <w:bottom w:val="none" w:sz="0" w:space="0" w:color="auto"/>
            <w:right w:val="none" w:sz="0" w:space="0" w:color="auto"/>
          </w:divBdr>
        </w:div>
        <w:div w:id="1452632629">
          <w:marLeft w:val="0"/>
          <w:marRight w:val="0"/>
          <w:marTop w:val="0"/>
          <w:marBottom w:val="0"/>
          <w:divBdr>
            <w:top w:val="none" w:sz="0" w:space="0" w:color="auto"/>
            <w:left w:val="none" w:sz="0" w:space="0" w:color="auto"/>
            <w:bottom w:val="none" w:sz="0" w:space="0" w:color="auto"/>
            <w:right w:val="none" w:sz="0" w:space="0" w:color="auto"/>
          </w:divBdr>
        </w:div>
      </w:divsChild>
    </w:div>
    <w:div w:id="530267786">
      <w:bodyDiv w:val="1"/>
      <w:marLeft w:val="0"/>
      <w:marRight w:val="0"/>
      <w:marTop w:val="0"/>
      <w:marBottom w:val="0"/>
      <w:divBdr>
        <w:top w:val="none" w:sz="0" w:space="0" w:color="auto"/>
        <w:left w:val="none" w:sz="0" w:space="0" w:color="auto"/>
        <w:bottom w:val="none" w:sz="0" w:space="0" w:color="auto"/>
        <w:right w:val="none" w:sz="0" w:space="0" w:color="auto"/>
      </w:divBdr>
    </w:div>
    <w:div w:id="594637229">
      <w:bodyDiv w:val="1"/>
      <w:marLeft w:val="0"/>
      <w:marRight w:val="0"/>
      <w:marTop w:val="0"/>
      <w:marBottom w:val="0"/>
      <w:divBdr>
        <w:top w:val="none" w:sz="0" w:space="0" w:color="auto"/>
        <w:left w:val="none" w:sz="0" w:space="0" w:color="auto"/>
        <w:bottom w:val="none" w:sz="0" w:space="0" w:color="auto"/>
        <w:right w:val="none" w:sz="0" w:space="0" w:color="auto"/>
      </w:divBdr>
      <w:divsChild>
        <w:div w:id="800417340">
          <w:marLeft w:val="0"/>
          <w:marRight w:val="0"/>
          <w:marTop w:val="0"/>
          <w:marBottom w:val="0"/>
          <w:divBdr>
            <w:top w:val="none" w:sz="0" w:space="0" w:color="auto"/>
            <w:left w:val="none" w:sz="0" w:space="0" w:color="auto"/>
            <w:bottom w:val="none" w:sz="0" w:space="0" w:color="auto"/>
            <w:right w:val="none" w:sz="0" w:space="0" w:color="auto"/>
          </w:divBdr>
        </w:div>
        <w:div w:id="1341615598">
          <w:marLeft w:val="0"/>
          <w:marRight w:val="0"/>
          <w:marTop w:val="0"/>
          <w:marBottom w:val="0"/>
          <w:divBdr>
            <w:top w:val="none" w:sz="0" w:space="0" w:color="auto"/>
            <w:left w:val="none" w:sz="0" w:space="0" w:color="auto"/>
            <w:bottom w:val="none" w:sz="0" w:space="0" w:color="auto"/>
            <w:right w:val="none" w:sz="0" w:space="0" w:color="auto"/>
          </w:divBdr>
        </w:div>
        <w:div w:id="2006736997">
          <w:marLeft w:val="0"/>
          <w:marRight w:val="0"/>
          <w:marTop w:val="0"/>
          <w:marBottom w:val="0"/>
          <w:divBdr>
            <w:top w:val="none" w:sz="0" w:space="0" w:color="auto"/>
            <w:left w:val="none" w:sz="0" w:space="0" w:color="auto"/>
            <w:bottom w:val="none" w:sz="0" w:space="0" w:color="auto"/>
            <w:right w:val="none" w:sz="0" w:space="0" w:color="auto"/>
          </w:divBdr>
        </w:div>
        <w:div w:id="2093047283">
          <w:marLeft w:val="0"/>
          <w:marRight w:val="0"/>
          <w:marTop w:val="0"/>
          <w:marBottom w:val="0"/>
          <w:divBdr>
            <w:top w:val="none" w:sz="0" w:space="0" w:color="auto"/>
            <w:left w:val="none" w:sz="0" w:space="0" w:color="auto"/>
            <w:bottom w:val="none" w:sz="0" w:space="0" w:color="auto"/>
            <w:right w:val="none" w:sz="0" w:space="0" w:color="auto"/>
          </w:divBdr>
        </w:div>
      </w:divsChild>
    </w:div>
    <w:div w:id="604769006">
      <w:bodyDiv w:val="1"/>
      <w:marLeft w:val="0"/>
      <w:marRight w:val="0"/>
      <w:marTop w:val="0"/>
      <w:marBottom w:val="0"/>
      <w:divBdr>
        <w:top w:val="none" w:sz="0" w:space="0" w:color="auto"/>
        <w:left w:val="none" w:sz="0" w:space="0" w:color="auto"/>
        <w:bottom w:val="none" w:sz="0" w:space="0" w:color="auto"/>
        <w:right w:val="none" w:sz="0" w:space="0" w:color="auto"/>
      </w:divBdr>
    </w:div>
    <w:div w:id="629743810">
      <w:bodyDiv w:val="1"/>
      <w:marLeft w:val="0"/>
      <w:marRight w:val="0"/>
      <w:marTop w:val="0"/>
      <w:marBottom w:val="0"/>
      <w:divBdr>
        <w:top w:val="none" w:sz="0" w:space="0" w:color="auto"/>
        <w:left w:val="none" w:sz="0" w:space="0" w:color="auto"/>
        <w:bottom w:val="none" w:sz="0" w:space="0" w:color="auto"/>
        <w:right w:val="none" w:sz="0" w:space="0" w:color="auto"/>
      </w:divBdr>
    </w:div>
    <w:div w:id="642468439">
      <w:bodyDiv w:val="1"/>
      <w:marLeft w:val="0"/>
      <w:marRight w:val="0"/>
      <w:marTop w:val="0"/>
      <w:marBottom w:val="0"/>
      <w:divBdr>
        <w:top w:val="none" w:sz="0" w:space="0" w:color="auto"/>
        <w:left w:val="none" w:sz="0" w:space="0" w:color="auto"/>
        <w:bottom w:val="none" w:sz="0" w:space="0" w:color="auto"/>
        <w:right w:val="none" w:sz="0" w:space="0" w:color="auto"/>
      </w:divBdr>
      <w:divsChild>
        <w:div w:id="684794861">
          <w:marLeft w:val="0"/>
          <w:marRight w:val="0"/>
          <w:marTop w:val="0"/>
          <w:marBottom w:val="0"/>
          <w:divBdr>
            <w:top w:val="none" w:sz="0" w:space="0" w:color="auto"/>
            <w:left w:val="none" w:sz="0" w:space="0" w:color="auto"/>
            <w:bottom w:val="none" w:sz="0" w:space="0" w:color="auto"/>
            <w:right w:val="none" w:sz="0" w:space="0" w:color="auto"/>
          </w:divBdr>
        </w:div>
        <w:div w:id="1184132441">
          <w:marLeft w:val="0"/>
          <w:marRight w:val="0"/>
          <w:marTop w:val="0"/>
          <w:marBottom w:val="0"/>
          <w:divBdr>
            <w:top w:val="none" w:sz="0" w:space="0" w:color="auto"/>
            <w:left w:val="none" w:sz="0" w:space="0" w:color="auto"/>
            <w:bottom w:val="none" w:sz="0" w:space="0" w:color="auto"/>
            <w:right w:val="none" w:sz="0" w:space="0" w:color="auto"/>
          </w:divBdr>
        </w:div>
        <w:div w:id="1619944813">
          <w:marLeft w:val="0"/>
          <w:marRight w:val="0"/>
          <w:marTop w:val="0"/>
          <w:marBottom w:val="0"/>
          <w:divBdr>
            <w:top w:val="none" w:sz="0" w:space="0" w:color="auto"/>
            <w:left w:val="none" w:sz="0" w:space="0" w:color="auto"/>
            <w:bottom w:val="none" w:sz="0" w:space="0" w:color="auto"/>
            <w:right w:val="none" w:sz="0" w:space="0" w:color="auto"/>
          </w:divBdr>
        </w:div>
        <w:div w:id="1756129829">
          <w:marLeft w:val="0"/>
          <w:marRight w:val="0"/>
          <w:marTop w:val="0"/>
          <w:marBottom w:val="0"/>
          <w:divBdr>
            <w:top w:val="none" w:sz="0" w:space="0" w:color="auto"/>
            <w:left w:val="none" w:sz="0" w:space="0" w:color="auto"/>
            <w:bottom w:val="none" w:sz="0" w:space="0" w:color="auto"/>
            <w:right w:val="none" w:sz="0" w:space="0" w:color="auto"/>
          </w:divBdr>
        </w:div>
      </w:divsChild>
    </w:div>
    <w:div w:id="703676031">
      <w:bodyDiv w:val="1"/>
      <w:marLeft w:val="0"/>
      <w:marRight w:val="0"/>
      <w:marTop w:val="0"/>
      <w:marBottom w:val="0"/>
      <w:divBdr>
        <w:top w:val="none" w:sz="0" w:space="0" w:color="auto"/>
        <w:left w:val="none" w:sz="0" w:space="0" w:color="auto"/>
        <w:bottom w:val="none" w:sz="0" w:space="0" w:color="auto"/>
        <w:right w:val="none" w:sz="0" w:space="0" w:color="auto"/>
      </w:divBdr>
    </w:div>
    <w:div w:id="844131631">
      <w:bodyDiv w:val="1"/>
      <w:marLeft w:val="0"/>
      <w:marRight w:val="0"/>
      <w:marTop w:val="0"/>
      <w:marBottom w:val="0"/>
      <w:divBdr>
        <w:top w:val="none" w:sz="0" w:space="0" w:color="auto"/>
        <w:left w:val="none" w:sz="0" w:space="0" w:color="auto"/>
        <w:bottom w:val="none" w:sz="0" w:space="0" w:color="auto"/>
        <w:right w:val="none" w:sz="0" w:space="0" w:color="auto"/>
      </w:divBdr>
      <w:divsChild>
        <w:div w:id="951210059">
          <w:marLeft w:val="0"/>
          <w:marRight w:val="0"/>
          <w:marTop w:val="0"/>
          <w:marBottom w:val="0"/>
          <w:divBdr>
            <w:top w:val="none" w:sz="0" w:space="0" w:color="auto"/>
            <w:left w:val="none" w:sz="0" w:space="0" w:color="auto"/>
            <w:bottom w:val="none" w:sz="0" w:space="0" w:color="auto"/>
            <w:right w:val="none" w:sz="0" w:space="0" w:color="auto"/>
          </w:divBdr>
        </w:div>
        <w:div w:id="1720474941">
          <w:marLeft w:val="0"/>
          <w:marRight w:val="0"/>
          <w:marTop w:val="0"/>
          <w:marBottom w:val="0"/>
          <w:divBdr>
            <w:top w:val="none" w:sz="0" w:space="0" w:color="auto"/>
            <w:left w:val="none" w:sz="0" w:space="0" w:color="auto"/>
            <w:bottom w:val="none" w:sz="0" w:space="0" w:color="auto"/>
            <w:right w:val="none" w:sz="0" w:space="0" w:color="auto"/>
          </w:divBdr>
        </w:div>
        <w:div w:id="1932811682">
          <w:marLeft w:val="0"/>
          <w:marRight w:val="0"/>
          <w:marTop w:val="0"/>
          <w:marBottom w:val="0"/>
          <w:divBdr>
            <w:top w:val="none" w:sz="0" w:space="0" w:color="auto"/>
            <w:left w:val="none" w:sz="0" w:space="0" w:color="auto"/>
            <w:bottom w:val="none" w:sz="0" w:space="0" w:color="auto"/>
            <w:right w:val="none" w:sz="0" w:space="0" w:color="auto"/>
          </w:divBdr>
        </w:div>
        <w:div w:id="2144807970">
          <w:marLeft w:val="0"/>
          <w:marRight w:val="0"/>
          <w:marTop w:val="0"/>
          <w:marBottom w:val="0"/>
          <w:divBdr>
            <w:top w:val="none" w:sz="0" w:space="0" w:color="auto"/>
            <w:left w:val="none" w:sz="0" w:space="0" w:color="auto"/>
            <w:bottom w:val="none" w:sz="0" w:space="0" w:color="auto"/>
            <w:right w:val="none" w:sz="0" w:space="0" w:color="auto"/>
          </w:divBdr>
        </w:div>
      </w:divsChild>
    </w:div>
    <w:div w:id="860052417">
      <w:bodyDiv w:val="1"/>
      <w:marLeft w:val="0"/>
      <w:marRight w:val="0"/>
      <w:marTop w:val="0"/>
      <w:marBottom w:val="0"/>
      <w:divBdr>
        <w:top w:val="none" w:sz="0" w:space="0" w:color="auto"/>
        <w:left w:val="none" w:sz="0" w:space="0" w:color="auto"/>
        <w:bottom w:val="none" w:sz="0" w:space="0" w:color="auto"/>
        <w:right w:val="none" w:sz="0" w:space="0" w:color="auto"/>
      </w:divBdr>
    </w:div>
    <w:div w:id="924148716">
      <w:bodyDiv w:val="1"/>
      <w:marLeft w:val="0"/>
      <w:marRight w:val="0"/>
      <w:marTop w:val="0"/>
      <w:marBottom w:val="0"/>
      <w:divBdr>
        <w:top w:val="none" w:sz="0" w:space="0" w:color="auto"/>
        <w:left w:val="none" w:sz="0" w:space="0" w:color="auto"/>
        <w:bottom w:val="none" w:sz="0" w:space="0" w:color="auto"/>
        <w:right w:val="none" w:sz="0" w:space="0" w:color="auto"/>
      </w:divBdr>
      <w:divsChild>
        <w:div w:id="118762738">
          <w:marLeft w:val="0"/>
          <w:marRight w:val="0"/>
          <w:marTop w:val="0"/>
          <w:marBottom w:val="0"/>
          <w:divBdr>
            <w:top w:val="none" w:sz="0" w:space="0" w:color="auto"/>
            <w:left w:val="none" w:sz="0" w:space="0" w:color="auto"/>
            <w:bottom w:val="none" w:sz="0" w:space="0" w:color="auto"/>
            <w:right w:val="none" w:sz="0" w:space="0" w:color="auto"/>
          </w:divBdr>
        </w:div>
        <w:div w:id="139002494">
          <w:marLeft w:val="0"/>
          <w:marRight w:val="0"/>
          <w:marTop w:val="0"/>
          <w:marBottom w:val="0"/>
          <w:divBdr>
            <w:top w:val="none" w:sz="0" w:space="0" w:color="auto"/>
            <w:left w:val="none" w:sz="0" w:space="0" w:color="auto"/>
            <w:bottom w:val="none" w:sz="0" w:space="0" w:color="auto"/>
            <w:right w:val="none" w:sz="0" w:space="0" w:color="auto"/>
          </w:divBdr>
        </w:div>
        <w:div w:id="235626930">
          <w:marLeft w:val="0"/>
          <w:marRight w:val="0"/>
          <w:marTop w:val="0"/>
          <w:marBottom w:val="0"/>
          <w:divBdr>
            <w:top w:val="none" w:sz="0" w:space="0" w:color="auto"/>
            <w:left w:val="none" w:sz="0" w:space="0" w:color="auto"/>
            <w:bottom w:val="none" w:sz="0" w:space="0" w:color="auto"/>
            <w:right w:val="none" w:sz="0" w:space="0" w:color="auto"/>
          </w:divBdr>
        </w:div>
        <w:div w:id="314991485">
          <w:marLeft w:val="0"/>
          <w:marRight w:val="0"/>
          <w:marTop w:val="0"/>
          <w:marBottom w:val="0"/>
          <w:divBdr>
            <w:top w:val="none" w:sz="0" w:space="0" w:color="auto"/>
            <w:left w:val="none" w:sz="0" w:space="0" w:color="auto"/>
            <w:bottom w:val="none" w:sz="0" w:space="0" w:color="auto"/>
            <w:right w:val="none" w:sz="0" w:space="0" w:color="auto"/>
          </w:divBdr>
        </w:div>
        <w:div w:id="327514616">
          <w:marLeft w:val="0"/>
          <w:marRight w:val="0"/>
          <w:marTop w:val="0"/>
          <w:marBottom w:val="0"/>
          <w:divBdr>
            <w:top w:val="none" w:sz="0" w:space="0" w:color="auto"/>
            <w:left w:val="none" w:sz="0" w:space="0" w:color="auto"/>
            <w:bottom w:val="none" w:sz="0" w:space="0" w:color="auto"/>
            <w:right w:val="none" w:sz="0" w:space="0" w:color="auto"/>
          </w:divBdr>
        </w:div>
        <w:div w:id="370762784">
          <w:marLeft w:val="0"/>
          <w:marRight w:val="0"/>
          <w:marTop w:val="0"/>
          <w:marBottom w:val="0"/>
          <w:divBdr>
            <w:top w:val="none" w:sz="0" w:space="0" w:color="auto"/>
            <w:left w:val="none" w:sz="0" w:space="0" w:color="auto"/>
            <w:bottom w:val="none" w:sz="0" w:space="0" w:color="auto"/>
            <w:right w:val="none" w:sz="0" w:space="0" w:color="auto"/>
          </w:divBdr>
        </w:div>
        <w:div w:id="575363093">
          <w:marLeft w:val="0"/>
          <w:marRight w:val="0"/>
          <w:marTop w:val="0"/>
          <w:marBottom w:val="0"/>
          <w:divBdr>
            <w:top w:val="none" w:sz="0" w:space="0" w:color="auto"/>
            <w:left w:val="none" w:sz="0" w:space="0" w:color="auto"/>
            <w:bottom w:val="none" w:sz="0" w:space="0" w:color="auto"/>
            <w:right w:val="none" w:sz="0" w:space="0" w:color="auto"/>
          </w:divBdr>
        </w:div>
        <w:div w:id="956639632">
          <w:marLeft w:val="0"/>
          <w:marRight w:val="0"/>
          <w:marTop w:val="0"/>
          <w:marBottom w:val="0"/>
          <w:divBdr>
            <w:top w:val="none" w:sz="0" w:space="0" w:color="auto"/>
            <w:left w:val="none" w:sz="0" w:space="0" w:color="auto"/>
            <w:bottom w:val="none" w:sz="0" w:space="0" w:color="auto"/>
            <w:right w:val="none" w:sz="0" w:space="0" w:color="auto"/>
          </w:divBdr>
        </w:div>
        <w:div w:id="1133324216">
          <w:marLeft w:val="0"/>
          <w:marRight w:val="0"/>
          <w:marTop w:val="0"/>
          <w:marBottom w:val="0"/>
          <w:divBdr>
            <w:top w:val="none" w:sz="0" w:space="0" w:color="auto"/>
            <w:left w:val="none" w:sz="0" w:space="0" w:color="auto"/>
            <w:bottom w:val="none" w:sz="0" w:space="0" w:color="auto"/>
            <w:right w:val="none" w:sz="0" w:space="0" w:color="auto"/>
          </w:divBdr>
        </w:div>
        <w:div w:id="1157772083">
          <w:marLeft w:val="0"/>
          <w:marRight w:val="0"/>
          <w:marTop w:val="0"/>
          <w:marBottom w:val="0"/>
          <w:divBdr>
            <w:top w:val="none" w:sz="0" w:space="0" w:color="auto"/>
            <w:left w:val="none" w:sz="0" w:space="0" w:color="auto"/>
            <w:bottom w:val="none" w:sz="0" w:space="0" w:color="auto"/>
            <w:right w:val="none" w:sz="0" w:space="0" w:color="auto"/>
          </w:divBdr>
        </w:div>
        <w:div w:id="1172068758">
          <w:marLeft w:val="0"/>
          <w:marRight w:val="0"/>
          <w:marTop w:val="0"/>
          <w:marBottom w:val="0"/>
          <w:divBdr>
            <w:top w:val="none" w:sz="0" w:space="0" w:color="auto"/>
            <w:left w:val="none" w:sz="0" w:space="0" w:color="auto"/>
            <w:bottom w:val="none" w:sz="0" w:space="0" w:color="auto"/>
            <w:right w:val="none" w:sz="0" w:space="0" w:color="auto"/>
          </w:divBdr>
        </w:div>
        <w:div w:id="1192841619">
          <w:marLeft w:val="0"/>
          <w:marRight w:val="0"/>
          <w:marTop w:val="0"/>
          <w:marBottom w:val="0"/>
          <w:divBdr>
            <w:top w:val="none" w:sz="0" w:space="0" w:color="auto"/>
            <w:left w:val="none" w:sz="0" w:space="0" w:color="auto"/>
            <w:bottom w:val="none" w:sz="0" w:space="0" w:color="auto"/>
            <w:right w:val="none" w:sz="0" w:space="0" w:color="auto"/>
          </w:divBdr>
        </w:div>
        <w:div w:id="1201167241">
          <w:marLeft w:val="0"/>
          <w:marRight w:val="0"/>
          <w:marTop w:val="0"/>
          <w:marBottom w:val="0"/>
          <w:divBdr>
            <w:top w:val="none" w:sz="0" w:space="0" w:color="auto"/>
            <w:left w:val="none" w:sz="0" w:space="0" w:color="auto"/>
            <w:bottom w:val="none" w:sz="0" w:space="0" w:color="auto"/>
            <w:right w:val="none" w:sz="0" w:space="0" w:color="auto"/>
          </w:divBdr>
        </w:div>
        <w:div w:id="1204825464">
          <w:marLeft w:val="0"/>
          <w:marRight w:val="0"/>
          <w:marTop w:val="0"/>
          <w:marBottom w:val="0"/>
          <w:divBdr>
            <w:top w:val="none" w:sz="0" w:space="0" w:color="auto"/>
            <w:left w:val="none" w:sz="0" w:space="0" w:color="auto"/>
            <w:bottom w:val="none" w:sz="0" w:space="0" w:color="auto"/>
            <w:right w:val="none" w:sz="0" w:space="0" w:color="auto"/>
          </w:divBdr>
        </w:div>
        <w:div w:id="1428312843">
          <w:marLeft w:val="0"/>
          <w:marRight w:val="0"/>
          <w:marTop w:val="0"/>
          <w:marBottom w:val="0"/>
          <w:divBdr>
            <w:top w:val="none" w:sz="0" w:space="0" w:color="auto"/>
            <w:left w:val="none" w:sz="0" w:space="0" w:color="auto"/>
            <w:bottom w:val="none" w:sz="0" w:space="0" w:color="auto"/>
            <w:right w:val="none" w:sz="0" w:space="0" w:color="auto"/>
          </w:divBdr>
        </w:div>
        <w:div w:id="1501651961">
          <w:marLeft w:val="0"/>
          <w:marRight w:val="0"/>
          <w:marTop w:val="0"/>
          <w:marBottom w:val="0"/>
          <w:divBdr>
            <w:top w:val="none" w:sz="0" w:space="0" w:color="auto"/>
            <w:left w:val="none" w:sz="0" w:space="0" w:color="auto"/>
            <w:bottom w:val="none" w:sz="0" w:space="0" w:color="auto"/>
            <w:right w:val="none" w:sz="0" w:space="0" w:color="auto"/>
          </w:divBdr>
        </w:div>
        <w:div w:id="1684240506">
          <w:marLeft w:val="0"/>
          <w:marRight w:val="0"/>
          <w:marTop w:val="0"/>
          <w:marBottom w:val="0"/>
          <w:divBdr>
            <w:top w:val="none" w:sz="0" w:space="0" w:color="auto"/>
            <w:left w:val="none" w:sz="0" w:space="0" w:color="auto"/>
            <w:bottom w:val="none" w:sz="0" w:space="0" w:color="auto"/>
            <w:right w:val="none" w:sz="0" w:space="0" w:color="auto"/>
          </w:divBdr>
        </w:div>
        <w:div w:id="1807965363">
          <w:marLeft w:val="0"/>
          <w:marRight w:val="0"/>
          <w:marTop w:val="0"/>
          <w:marBottom w:val="0"/>
          <w:divBdr>
            <w:top w:val="none" w:sz="0" w:space="0" w:color="auto"/>
            <w:left w:val="none" w:sz="0" w:space="0" w:color="auto"/>
            <w:bottom w:val="none" w:sz="0" w:space="0" w:color="auto"/>
            <w:right w:val="none" w:sz="0" w:space="0" w:color="auto"/>
          </w:divBdr>
        </w:div>
        <w:div w:id="1847743518">
          <w:marLeft w:val="0"/>
          <w:marRight w:val="0"/>
          <w:marTop w:val="0"/>
          <w:marBottom w:val="0"/>
          <w:divBdr>
            <w:top w:val="none" w:sz="0" w:space="0" w:color="auto"/>
            <w:left w:val="none" w:sz="0" w:space="0" w:color="auto"/>
            <w:bottom w:val="none" w:sz="0" w:space="0" w:color="auto"/>
            <w:right w:val="none" w:sz="0" w:space="0" w:color="auto"/>
          </w:divBdr>
        </w:div>
        <w:div w:id="1886062500">
          <w:marLeft w:val="0"/>
          <w:marRight w:val="0"/>
          <w:marTop w:val="0"/>
          <w:marBottom w:val="0"/>
          <w:divBdr>
            <w:top w:val="none" w:sz="0" w:space="0" w:color="auto"/>
            <w:left w:val="none" w:sz="0" w:space="0" w:color="auto"/>
            <w:bottom w:val="none" w:sz="0" w:space="0" w:color="auto"/>
            <w:right w:val="none" w:sz="0" w:space="0" w:color="auto"/>
          </w:divBdr>
        </w:div>
        <w:div w:id="2009290275">
          <w:marLeft w:val="0"/>
          <w:marRight w:val="0"/>
          <w:marTop w:val="0"/>
          <w:marBottom w:val="0"/>
          <w:divBdr>
            <w:top w:val="none" w:sz="0" w:space="0" w:color="auto"/>
            <w:left w:val="none" w:sz="0" w:space="0" w:color="auto"/>
            <w:bottom w:val="none" w:sz="0" w:space="0" w:color="auto"/>
            <w:right w:val="none" w:sz="0" w:space="0" w:color="auto"/>
          </w:divBdr>
        </w:div>
      </w:divsChild>
    </w:div>
    <w:div w:id="951976591">
      <w:bodyDiv w:val="1"/>
      <w:marLeft w:val="0"/>
      <w:marRight w:val="0"/>
      <w:marTop w:val="0"/>
      <w:marBottom w:val="0"/>
      <w:divBdr>
        <w:top w:val="none" w:sz="0" w:space="0" w:color="auto"/>
        <w:left w:val="none" w:sz="0" w:space="0" w:color="auto"/>
        <w:bottom w:val="none" w:sz="0" w:space="0" w:color="auto"/>
        <w:right w:val="none" w:sz="0" w:space="0" w:color="auto"/>
      </w:divBdr>
    </w:div>
    <w:div w:id="1065643473">
      <w:bodyDiv w:val="1"/>
      <w:marLeft w:val="0"/>
      <w:marRight w:val="0"/>
      <w:marTop w:val="0"/>
      <w:marBottom w:val="0"/>
      <w:divBdr>
        <w:top w:val="none" w:sz="0" w:space="0" w:color="auto"/>
        <w:left w:val="none" w:sz="0" w:space="0" w:color="auto"/>
        <w:bottom w:val="none" w:sz="0" w:space="0" w:color="auto"/>
        <w:right w:val="none" w:sz="0" w:space="0" w:color="auto"/>
      </w:divBdr>
      <w:divsChild>
        <w:div w:id="476604326">
          <w:marLeft w:val="0"/>
          <w:marRight w:val="0"/>
          <w:marTop w:val="0"/>
          <w:marBottom w:val="0"/>
          <w:divBdr>
            <w:top w:val="none" w:sz="0" w:space="0" w:color="auto"/>
            <w:left w:val="none" w:sz="0" w:space="0" w:color="auto"/>
            <w:bottom w:val="none" w:sz="0" w:space="0" w:color="auto"/>
            <w:right w:val="none" w:sz="0" w:space="0" w:color="auto"/>
          </w:divBdr>
        </w:div>
        <w:div w:id="695345889">
          <w:marLeft w:val="0"/>
          <w:marRight w:val="0"/>
          <w:marTop w:val="0"/>
          <w:marBottom w:val="0"/>
          <w:divBdr>
            <w:top w:val="none" w:sz="0" w:space="0" w:color="auto"/>
            <w:left w:val="none" w:sz="0" w:space="0" w:color="auto"/>
            <w:bottom w:val="none" w:sz="0" w:space="0" w:color="auto"/>
            <w:right w:val="none" w:sz="0" w:space="0" w:color="auto"/>
          </w:divBdr>
        </w:div>
        <w:div w:id="1344865152">
          <w:marLeft w:val="0"/>
          <w:marRight w:val="0"/>
          <w:marTop w:val="0"/>
          <w:marBottom w:val="0"/>
          <w:divBdr>
            <w:top w:val="none" w:sz="0" w:space="0" w:color="auto"/>
            <w:left w:val="none" w:sz="0" w:space="0" w:color="auto"/>
            <w:bottom w:val="none" w:sz="0" w:space="0" w:color="auto"/>
            <w:right w:val="none" w:sz="0" w:space="0" w:color="auto"/>
          </w:divBdr>
        </w:div>
        <w:div w:id="2087603397">
          <w:marLeft w:val="0"/>
          <w:marRight w:val="0"/>
          <w:marTop w:val="0"/>
          <w:marBottom w:val="0"/>
          <w:divBdr>
            <w:top w:val="none" w:sz="0" w:space="0" w:color="auto"/>
            <w:left w:val="none" w:sz="0" w:space="0" w:color="auto"/>
            <w:bottom w:val="none" w:sz="0" w:space="0" w:color="auto"/>
            <w:right w:val="none" w:sz="0" w:space="0" w:color="auto"/>
          </w:divBdr>
        </w:div>
      </w:divsChild>
    </w:div>
    <w:div w:id="1131703972">
      <w:bodyDiv w:val="1"/>
      <w:marLeft w:val="0"/>
      <w:marRight w:val="0"/>
      <w:marTop w:val="0"/>
      <w:marBottom w:val="0"/>
      <w:divBdr>
        <w:top w:val="none" w:sz="0" w:space="0" w:color="auto"/>
        <w:left w:val="none" w:sz="0" w:space="0" w:color="auto"/>
        <w:bottom w:val="none" w:sz="0" w:space="0" w:color="auto"/>
        <w:right w:val="none" w:sz="0" w:space="0" w:color="auto"/>
      </w:divBdr>
      <w:divsChild>
        <w:div w:id="184097232">
          <w:marLeft w:val="0"/>
          <w:marRight w:val="0"/>
          <w:marTop w:val="0"/>
          <w:marBottom w:val="0"/>
          <w:divBdr>
            <w:top w:val="none" w:sz="0" w:space="0" w:color="auto"/>
            <w:left w:val="none" w:sz="0" w:space="0" w:color="auto"/>
            <w:bottom w:val="none" w:sz="0" w:space="0" w:color="auto"/>
            <w:right w:val="none" w:sz="0" w:space="0" w:color="auto"/>
          </w:divBdr>
        </w:div>
        <w:div w:id="195579473">
          <w:marLeft w:val="0"/>
          <w:marRight w:val="0"/>
          <w:marTop w:val="0"/>
          <w:marBottom w:val="0"/>
          <w:divBdr>
            <w:top w:val="none" w:sz="0" w:space="0" w:color="auto"/>
            <w:left w:val="none" w:sz="0" w:space="0" w:color="auto"/>
            <w:bottom w:val="none" w:sz="0" w:space="0" w:color="auto"/>
            <w:right w:val="none" w:sz="0" w:space="0" w:color="auto"/>
          </w:divBdr>
        </w:div>
        <w:div w:id="689721245">
          <w:marLeft w:val="0"/>
          <w:marRight w:val="0"/>
          <w:marTop w:val="0"/>
          <w:marBottom w:val="0"/>
          <w:divBdr>
            <w:top w:val="none" w:sz="0" w:space="0" w:color="auto"/>
            <w:left w:val="none" w:sz="0" w:space="0" w:color="auto"/>
            <w:bottom w:val="none" w:sz="0" w:space="0" w:color="auto"/>
            <w:right w:val="none" w:sz="0" w:space="0" w:color="auto"/>
          </w:divBdr>
        </w:div>
        <w:div w:id="1641956347">
          <w:marLeft w:val="0"/>
          <w:marRight w:val="0"/>
          <w:marTop w:val="0"/>
          <w:marBottom w:val="0"/>
          <w:divBdr>
            <w:top w:val="none" w:sz="0" w:space="0" w:color="auto"/>
            <w:left w:val="none" w:sz="0" w:space="0" w:color="auto"/>
            <w:bottom w:val="none" w:sz="0" w:space="0" w:color="auto"/>
            <w:right w:val="none" w:sz="0" w:space="0" w:color="auto"/>
          </w:divBdr>
        </w:div>
      </w:divsChild>
    </w:div>
    <w:div w:id="1431392160">
      <w:bodyDiv w:val="1"/>
      <w:marLeft w:val="0"/>
      <w:marRight w:val="0"/>
      <w:marTop w:val="0"/>
      <w:marBottom w:val="0"/>
      <w:divBdr>
        <w:top w:val="none" w:sz="0" w:space="0" w:color="auto"/>
        <w:left w:val="none" w:sz="0" w:space="0" w:color="auto"/>
        <w:bottom w:val="none" w:sz="0" w:space="0" w:color="auto"/>
        <w:right w:val="none" w:sz="0" w:space="0" w:color="auto"/>
      </w:divBdr>
      <w:divsChild>
        <w:div w:id="389813722">
          <w:marLeft w:val="0"/>
          <w:marRight w:val="0"/>
          <w:marTop w:val="0"/>
          <w:marBottom w:val="0"/>
          <w:divBdr>
            <w:top w:val="none" w:sz="0" w:space="0" w:color="auto"/>
            <w:left w:val="none" w:sz="0" w:space="0" w:color="auto"/>
            <w:bottom w:val="none" w:sz="0" w:space="0" w:color="auto"/>
            <w:right w:val="none" w:sz="0" w:space="0" w:color="auto"/>
          </w:divBdr>
        </w:div>
        <w:div w:id="587155004">
          <w:marLeft w:val="0"/>
          <w:marRight w:val="0"/>
          <w:marTop w:val="0"/>
          <w:marBottom w:val="0"/>
          <w:divBdr>
            <w:top w:val="none" w:sz="0" w:space="0" w:color="auto"/>
            <w:left w:val="none" w:sz="0" w:space="0" w:color="auto"/>
            <w:bottom w:val="none" w:sz="0" w:space="0" w:color="auto"/>
            <w:right w:val="none" w:sz="0" w:space="0" w:color="auto"/>
          </w:divBdr>
        </w:div>
      </w:divsChild>
    </w:div>
    <w:div w:id="1511721803">
      <w:bodyDiv w:val="1"/>
      <w:marLeft w:val="0"/>
      <w:marRight w:val="0"/>
      <w:marTop w:val="0"/>
      <w:marBottom w:val="0"/>
      <w:divBdr>
        <w:top w:val="none" w:sz="0" w:space="0" w:color="auto"/>
        <w:left w:val="none" w:sz="0" w:space="0" w:color="auto"/>
        <w:bottom w:val="none" w:sz="0" w:space="0" w:color="auto"/>
        <w:right w:val="none" w:sz="0" w:space="0" w:color="auto"/>
      </w:divBdr>
      <w:divsChild>
        <w:div w:id="11540516">
          <w:marLeft w:val="0"/>
          <w:marRight w:val="0"/>
          <w:marTop w:val="0"/>
          <w:marBottom w:val="0"/>
          <w:divBdr>
            <w:top w:val="none" w:sz="0" w:space="0" w:color="auto"/>
            <w:left w:val="none" w:sz="0" w:space="0" w:color="auto"/>
            <w:bottom w:val="none" w:sz="0" w:space="0" w:color="auto"/>
            <w:right w:val="none" w:sz="0" w:space="0" w:color="auto"/>
          </w:divBdr>
        </w:div>
        <w:div w:id="145438714">
          <w:marLeft w:val="0"/>
          <w:marRight w:val="0"/>
          <w:marTop w:val="0"/>
          <w:marBottom w:val="0"/>
          <w:divBdr>
            <w:top w:val="none" w:sz="0" w:space="0" w:color="auto"/>
            <w:left w:val="none" w:sz="0" w:space="0" w:color="auto"/>
            <w:bottom w:val="none" w:sz="0" w:space="0" w:color="auto"/>
            <w:right w:val="none" w:sz="0" w:space="0" w:color="auto"/>
          </w:divBdr>
        </w:div>
        <w:div w:id="226233604">
          <w:marLeft w:val="0"/>
          <w:marRight w:val="0"/>
          <w:marTop w:val="0"/>
          <w:marBottom w:val="0"/>
          <w:divBdr>
            <w:top w:val="none" w:sz="0" w:space="0" w:color="auto"/>
            <w:left w:val="none" w:sz="0" w:space="0" w:color="auto"/>
            <w:bottom w:val="none" w:sz="0" w:space="0" w:color="auto"/>
            <w:right w:val="none" w:sz="0" w:space="0" w:color="auto"/>
          </w:divBdr>
        </w:div>
        <w:div w:id="322127756">
          <w:marLeft w:val="0"/>
          <w:marRight w:val="0"/>
          <w:marTop w:val="0"/>
          <w:marBottom w:val="0"/>
          <w:divBdr>
            <w:top w:val="none" w:sz="0" w:space="0" w:color="auto"/>
            <w:left w:val="none" w:sz="0" w:space="0" w:color="auto"/>
            <w:bottom w:val="none" w:sz="0" w:space="0" w:color="auto"/>
            <w:right w:val="none" w:sz="0" w:space="0" w:color="auto"/>
          </w:divBdr>
        </w:div>
        <w:div w:id="378095846">
          <w:marLeft w:val="0"/>
          <w:marRight w:val="0"/>
          <w:marTop w:val="0"/>
          <w:marBottom w:val="0"/>
          <w:divBdr>
            <w:top w:val="none" w:sz="0" w:space="0" w:color="auto"/>
            <w:left w:val="none" w:sz="0" w:space="0" w:color="auto"/>
            <w:bottom w:val="none" w:sz="0" w:space="0" w:color="auto"/>
            <w:right w:val="none" w:sz="0" w:space="0" w:color="auto"/>
          </w:divBdr>
        </w:div>
        <w:div w:id="405685224">
          <w:marLeft w:val="0"/>
          <w:marRight w:val="0"/>
          <w:marTop w:val="0"/>
          <w:marBottom w:val="0"/>
          <w:divBdr>
            <w:top w:val="none" w:sz="0" w:space="0" w:color="auto"/>
            <w:left w:val="none" w:sz="0" w:space="0" w:color="auto"/>
            <w:bottom w:val="none" w:sz="0" w:space="0" w:color="auto"/>
            <w:right w:val="none" w:sz="0" w:space="0" w:color="auto"/>
          </w:divBdr>
        </w:div>
        <w:div w:id="413820479">
          <w:marLeft w:val="0"/>
          <w:marRight w:val="0"/>
          <w:marTop w:val="0"/>
          <w:marBottom w:val="0"/>
          <w:divBdr>
            <w:top w:val="none" w:sz="0" w:space="0" w:color="auto"/>
            <w:left w:val="none" w:sz="0" w:space="0" w:color="auto"/>
            <w:bottom w:val="none" w:sz="0" w:space="0" w:color="auto"/>
            <w:right w:val="none" w:sz="0" w:space="0" w:color="auto"/>
          </w:divBdr>
        </w:div>
        <w:div w:id="655695016">
          <w:marLeft w:val="0"/>
          <w:marRight w:val="0"/>
          <w:marTop w:val="0"/>
          <w:marBottom w:val="0"/>
          <w:divBdr>
            <w:top w:val="none" w:sz="0" w:space="0" w:color="auto"/>
            <w:left w:val="none" w:sz="0" w:space="0" w:color="auto"/>
            <w:bottom w:val="none" w:sz="0" w:space="0" w:color="auto"/>
            <w:right w:val="none" w:sz="0" w:space="0" w:color="auto"/>
          </w:divBdr>
        </w:div>
        <w:div w:id="835850475">
          <w:marLeft w:val="0"/>
          <w:marRight w:val="0"/>
          <w:marTop w:val="0"/>
          <w:marBottom w:val="0"/>
          <w:divBdr>
            <w:top w:val="none" w:sz="0" w:space="0" w:color="auto"/>
            <w:left w:val="none" w:sz="0" w:space="0" w:color="auto"/>
            <w:bottom w:val="none" w:sz="0" w:space="0" w:color="auto"/>
            <w:right w:val="none" w:sz="0" w:space="0" w:color="auto"/>
          </w:divBdr>
        </w:div>
        <w:div w:id="967929899">
          <w:marLeft w:val="0"/>
          <w:marRight w:val="0"/>
          <w:marTop w:val="0"/>
          <w:marBottom w:val="0"/>
          <w:divBdr>
            <w:top w:val="none" w:sz="0" w:space="0" w:color="auto"/>
            <w:left w:val="none" w:sz="0" w:space="0" w:color="auto"/>
            <w:bottom w:val="none" w:sz="0" w:space="0" w:color="auto"/>
            <w:right w:val="none" w:sz="0" w:space="0" w:color="auto"/>
          </w:divBdr>
        </w:div>
        <w:div w:id="982202738">
          <w:marLeft w:val="0"/>
          <w:marRight w:val="0"/>
          <w:marTop w:val="0"/>
          <w:marBottom w:val="0"/>
          <w:divBdr>
            <w:top w:val="none" w:sz="0" w:space="0" w:color="auto"/>
            <w:left w:val="none" w:sz="0" w:space="0" w:color="auto"/>
            <w:bottom w:val="none" w:sz="0" w:space="0" w:color="auto"/>
            <w:right w:val="none" w:sz="0" w:space="0" w:color="auto"/>
          </w:divBdr>
        </w:div>
        <w:div w:id="1065224525">
          <w:marLeft w:val="0"/>
          <w:marRight w:val="0"/>
          <w:marTop w:val="0"/>
          <w:marBottom w:val="0"/>
          <w:divBdr>
            <w:top w:val="none" w:sz="0" w:space="0" w:color="auto"/>
            <w:left w:val="none" w:sz="0" w:space="0" w:color="auto"/>
            <w:bottom w:val="none" w:sz="0" w:space="0" w:color="auto"/>
            <w:right w:val="none" w:sz="0" w:space="0" w:color="auto"/>
          </w:divBdr>
        </w:div>
        <w:div w:id="1313603684">
          <w:marLeft w:val="0"/>
          <w:marRight w:val="0"/>
          <w:marTop w:val="0"/>
          <w:marBottom w:val="0"/>
          <w:divBdr>
            <w:top w:val="none" w:sz="0" w:space="0" w:color="auto"/>
            <w:left w:val="none" w:sz="0" w:space="0" w:color="auto"/>
            <w:bottom w:val="none" w:sz="0" w:space="0" w:color="auto"/>
            <w:right w:val="none" w:sz="0" w:space="0" w:color="auto"/>
          </w:divBdr>
        </w:div>
        <w:div w:id="1317760768">
          <w:marLeft w:val="0"/>
          <w:marRight w:val="0"/>
          <w:marTop w:val="0"/>
          <w:marBottom w:val="0"/>
          <w:divBdr>
            <w:top w:val="none" w:sz="0" w:space="0" w:color="auto"/>
            <w:left w:val="none" w:sz="0" w:space="0" w:color="auto"/>
            <w:bottom w:val="none" w:sz="0" w:space="0" w:color="auto"/>
            <w:right w:val="none" w:sz="0" w:space="0" w:color="auto"/>
          </w:divBdr>
        </w:div>
        <w:div w:id="1386759572">
          <w:marLeft w:val="0"/>
          <w:marRight w:val="0"/>
          <w:marTop w:val="0"/>
          <w:marBottom w:val="0"/>
          <w:divBdr>
            <w:top w:val="none" w:sz="0" w:space="0" w:color="auto"/>
            <w:left w:val="none" w:sz="0" w:space="0" w:color="auto"/>
            <w:bottom w:val="none" w:sz="0" w:space="0" w:color="auto"/>
            <w:right w:val="none" w:sz="0" w:space="0" w:color="auto"/>
          </w:divBdr>
        </w:div>
        <w:div w:id="1405839581">
          <w:marLeft w:val="0"/>
          <w:marRight w:val="0"/>
          <w:marTop w:val="0"/>
          <w:marBottom w:val="0"/>
          <w:divBdr>
            <w:top w:val="none" w:sz="0" w:space="0" w:color="auto"/>
            <w:left w:val="none" w:sz="0" w:space="0" w:color="auto"/>
            <w:bottom w:val="none" w:sz="0" w:space="0" w:color="auto"/>
            <w:right w:val="none" w:sz="0" w:space="0" w:color="auto"/>
          </w:divBdr>
        </w:div>
        <w:div w:id="1519083821">
          <w:marLeft w:val="0"/>
          <w:marRight w:val="0"/>
          <w:marTop w:val="0"/>
          <w:marBottom w:val="0"/>
          <w:divBdr>
            <w:top w:val="none" w:sz="0" w:space="0" w:color="auto"/>
            <w:left w:val="none" w:sz="0" w:space="0" w:color="auto"/>
            <w:bottom w:val="none" w:sz="0" w:space="0" w:color="auto"/>
            <w:right w:val="none" w:sz="0" w:space="0" w:color="auto"/>
          </w:divBdr>
        </w:div>
        <w:div w:id="1539931679">
          <w:marLeft w:val="0"/>
          <w:marRight w:val="0"/>
          <w:marTop w:val="0"/>
          <w:marBottom w:val="0"/>
          <w:divBdr>
            <w:top w:val="none" w:sz="0" w:space="0" w:color="auto"/>
            <w:left w:val="none" w:sz="0" w:space="0" w:color="auto"/>
            <w:bottom w:val="none" w:sz="0" w:space="0" w:color="auto"/>
            <w:right w:val="none" w:sz="0" w:space="0" w:color="auto"/>
          </w:divBdr>
        </w:div>
        <w:div w:id="1722628157">
          <w:marLeft w:val="0"/>
          <w:marRight w:val="0"/>
          <w:marTop w:val="0"/>
          <w:marBottom w:val="0"/>
          <w:divBdr>
            <w:top w:val="none" w:sz="0" w:space="0" w:color="auto"/>
            <w:left w:val="none" w:sz="0" w:space="0" w:color="auto"/>
            <w:bottom w:val="none" w:sz="0" w:space="0" w:color="auto"/>
            <w:right w:val="none" w:sz="0" w:space="0" w:color="auto"/>
          </w:divBdr>
        </w:div>
        <w:div w:id="1768381875">
          <w:marLeft w:val="0"/>
          <w:marRight w:val="0"/>
          <w:marTop w:val="0"/>
          <w:marBottom w:val="0"/>
          <w:divBdr>
            <w:top w:val="none" w:sz="0" w:space="0" w:color="auto"/>
            <w:left w:val="none" w:sz="0" w:space="0" w:color="auto"/>
            <w:bottom w:val="none" w:sz="0" w:space="0" w:color="auto"/>
            <w:right w:val="none" w:sz="0" w:space="0" w:color="auto"/>
          </w:divBdr>
        </w:div>
        <w:div w:id="1994601587">
          <w:marLeft w:val="0"/>
          <w:marRight w:val="0"/>
          <w:marTop w:val="0"/>
          <w:marBottom w:val="0"/>
          <w:divBdr>
            <w:top w:val="none" w:sz="0" w:space="0" w:color="auto"/>
            <w:left w:val="none" w:sz="0" w:space="0" w:color="auto"/>
            <w:bottom w:val="none" w:sz="0" w:space="0" w:color="auto"/>
            <w:right w:val="none" w:sz="0" w:space="0" w:color="auto"/>
          </w:divBdr>
        </w:div>
      </w:divsChild>
    </w:div>
    <w:div w:id="1895315947">
      <w:bodyDiv w:val="1"/>
      <w:marLeft w:val="0"/>
      <w:marRight w:val="0"/>
      <w:marTop w:val="0"/>
      <w:marBottom w:val="0"/>
      <w:divBdr>
        <w:top w:val="none" w:sz="0" w:space="0" w:color="auto"/>
        <w:left w:val="none" w:sz="0" w:space="0" w:color="auto"/>
        <w:bottom w:val="none" w:sz="0" w:space="0" w:color="auto"/>
        <w:right w:val="none" w:sz="0" w:space="0" w:color="auto"/>
      </w:divBdr>
      <w:divsChild>
        <w:div w:id="525019140">
          <w:marLeft w:val="0"/>
          <w:marRight w:val="0"/>
          <w:marTop w:val="0"/>
          <w:marBottom w:val="0"/>
          <w:divBdr>
            <w:top w:val="none" w:sz="0" w:space="0" w:color="auto"/>
            <w:left w:val="none" w:sz="0" w:space="0" w:color="auto"/>
            <w:bottom w:val="none" w:sz="0" w:space="0" w:color="auto"/>
            <w:right w:val="none" w:sz="0" w:space="0" w:color="auto"/>
          </w:divBdr>
        </w:div>
        <w:div w:id="728309512">
          <w:marLeft w:val="0"/>
          <w:marRight w:val="0"/>
          <w:marTop w:val="0"/>
          <w:marBottom w:val="0"/>
          <w:divBdr>
            <w:top w:val="none" w:sz="0" w:space="0" w:color="auto"/>
            <w:left w:val="none" w:sz="0" w:space="0" w:color="auto"/>
            <w:bottom w:val="none" w:sz="0" w:space="0" w:color="auto"/>
            <w:right w:val="none" w:sz="0" w:space="0" w:color="auto"/>
          </w:divBdr>
        </w:div>
        <w:div w:id="1137071464">
          <w:marLeft w:val="0"/>
          <w:marRight w:val="0"/>
          <w:marTop w:val="0"/>
          <w:marBottom w:val="0"/>
          <w:divBdr>
            <w:top w:val="none" w:sz="0" w:space="0" w:color="auto"/>
            <w:left w:val="none" w:sz="0" w:space="0" w:color="auto"/>
            <w:bottom w:val="none" w:sz="0" w:space="0" w:color="auto"/>
            <w:right w:val="none" w:sz="0" w:space="0" w:color="auto"/>
          </w:divBdr>
        </w:div>
        <w:div w:id="2002854100">
          <w:marLeft w:val="0"/>
          <w:marRight w:val="0"/>
          <w:marTop w:val="0"/>
          <w:marBottom w:val="0"/>
          <w:divBdr>
            <w:top w:val="none" w:sz="0" w:space="0" w:color="auto"/>
            <w:left w:val="none" w:sz="0" w:space="0" w:color="auto"/>
            <w:bottom w:val="none" w:sz="0" w:space="0" w:color="auto"/>
            <w:right w:val="none" w:sz="0" w:space="0" w:color="auto"/>
          </w:divBdr>
        </w:div>
      </w:divsChild>
    </w:div>
    <w:div w:id="2101102911">
      <w:bodyDiv w:val="1"/>
      <w:marLeft w:val="0"/>
      <w:marRight w:val="0"/>
      <w:marTop w:val="0"/>
      <w:marBottom w:val="0"/>
      <w:divBdr>
        <w:top w:val="none" w:sz="0" w:space="0" w:color="auto"/>
        <w:left w:val="none" w:sz="0" w:space="0" w:color="auto"/>
        <w:bottom w:val="none" w:sz="0" w:space="0" w:color="auto"/>
        <w:right w:val="none" w:sz="0" w:space="0" w:color="auto"/>
      </w:divBdr>
    </w:div>
    <w:div w:id="2121218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9947</Words>
  <Characters>56700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Maripier Isabelle</dc:creator>
  <cp:keywords/>
  <dc:description/>
  <cp:lastModifiedBy>Owner</cp:lastModifiedBy>
  <cp:revision>4</cp:revision>
  <cp:lastPrinted>2017-05-19T12:24:00Z</cp:lastPrinted>
  <dcterms:created xsi:type="dcterms:W3CDTF">2017-07-11T14:37:00Z</dcterms:created>
  <dcterms:modified xsi:type="dcterms:W3CDTF">2017-07-11T21:39:00Z</dcterms:modified>
</cp:coreProperties>
</file>