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A7" w:rsidRDefault="00A106A7" w:rsidP="005522FB">
      <w:pPr>
        <w:pStyle w:val="NoSpacing"/>
        <w:rPr>
          <w:rFonts w:ascii="Times New Roman" w:hAnsi="Times New Roman" w:cs="Times New Roman"/>
          <w:b/>
          <w:sz w:val="28"/>
          <w:szCs w:val="28"/>
        </w:rPr>
      </w:pPr>
    </w:p>
    <w:p w:rsidR="00A106A7" w:rsidRDefault="00A106A7" w:rsidP="005522FB">
      <w:pPr>
        <w:pStyle w:val="NoSpacing"/>
        <w:rPr>
          <w:rFonts w:ascii="Times New Roman" w:hAnsi="Times New Roman" w:cs="Times New Roman"/>
          <w:b/>
          <w:sz w:val="28"/>
          <w:szCs w:val="28"/>
        </w:rPr>
      </w:pPr>
    </w:p>
    <w:p w:rsidR="00623A19" w:rsidRDefault="00623A19" w:rsidP="005522FB">
      <w:pPr>
        <w:pStyle w:val="NoSpacing"/>
        <w:rPr>
          <w:rFonts w:ascii="Austin News Text Semibold" w:eastAsia="Times New Roman" w:hAnsi="Austin News Text Semibold" w:cs="Arial"/>
          <w:color w:val="333333"/>
          <w:sz w:val="15"/>
          <w:szCs w:val="15"/>
          <w:lang w:val="en-GB"/>
        </w:rPr>
      </w:pPr>
    </w:p>
    <w:p w:rsidR="00A106A7" w:rsidRDefault="00A106A7" w:rsidP="005522FB">
      <w:pPr>
        <w:pStyle w:val="NoSpacing"/>
        <w:rPr>
          <w:rFonts w:ascii="Austin News Text Semibold" w:eastAsia="Times New Roman" w:hAnsi="Austin News Text Semibold" w:cs="Arial"/>
          <w:color w:val="333333"/>
          <w:sz w:val="15"/>
          <w:szCs w:val="15"/>
          <w:lang w:val="en-GB"/>
        </w:rPr>
      </w:pPr>
      <w:bookmarkStart w:id="0" w:name="_GoBack"/>
      <w:bookmarkEnd w:id="0"/>
    </w:p>
    <w:p w:rsidR="00A106A7" w:rsidRDefault="00A106A7" w:rsidP="00A106A7">
      <w:pPr>
        <w:pStyle w:val="NoSpacing"/>
        <w:rPr>
          <w:rFonts w:ascii="Times New Roman" w:hAnsi="Times New Roman" w:cs="Times New Roman"/>
          <w:b/>
          <w:sz w:val="28"/>
          <w:szCs w:val="28"/>
        </w:rPr>
      </w:pPr>
    </w:p>
    <w:p w:rsidR="00B40FC0"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“The Impact of </w:t>
      </w:r>
      <w:r w:rsidRPr="005522FB">
        <w:rPr>
          <w:rFonts w:ascii="Times New Roman" w:hAnsi="Times New Roman" w:cs="Times New Roman"/>
          <w:b/>
          <w:sz w:val="28"/>
          <w:szCs w:val="28"/>
        </w:rPr>
        <w:t xml:space="preserve">Slow Economic </w:t>
      </w:r>
      <w:r>
        <w:rPr>
          <w:rFonts w:ascii="Times New Roman" w:hAnsi="Times New Roman" w:cs="Times New Roman"/>
          <w:b/>
          <w:sz w:val="28"/>
          <w:szCs w:val="28"/>
        </w:rPr>
        <w:t>Growth on</w:t>
      </w:r>
      <w:r w:rsidRPr="005522FB">
        <w:rPr>
          <w:rFonts w:ascii="Times New Roman" w:hAnsi="Times New Roman" w:cs="Times New Roman"/>
          <w:b/>
          <w:sz w:val="28"/>
          <w:szCs w:val="28"/>
        </w:rPr>
        <w:t xml:space="preserve"> Health Sector </w:t>
      </w:r>
      <w:r>
        <w:rPr>
          <w:rFonts w:ascii="Times New Roman" w:hAnsi="Times New Roman" w:cs="Times New Roman"/>
          <w:b/>
          <w:sz w:val="28"/>
          <w:szCs w:val="28"/>
        </w:rPr>
        <w:t xml:space="preserve">Reform: </w:t>
      </w:r>
    </w:p>
    <w:p w:rsidR="00A106A7" w:rsidRDefault="00B40FC0"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875CDA">
        <w:rPr>
          <w:rFonts w:ascii="Times New Roman" w:hAnsi="Times New Roman" w:cs="Times New Roman"/>
          <w:b/>
          <w:sz w:val="28"/>
          <w:szCs w:val="28"/>
        </w:rPr>
        <w:t xml:space="preserve">     </w:t>
      </w:r>
      <w:r w:rsidR="00B46F41">
        <w:rPr>
          <w:rFonts w:ascii="Times New Roman" w:hAnsi="Times New Roman" w:cs="Times New Roman"/>
          <w:b/>
          <w:sz w:val="28"/>
          <w:szCs w:val="28"/>
        </w:rPr>
        <w:t xml:space="preserve">     </w:t>
      </w:r>
      <w:r w:rsidR="00784CF8">
        <w:rPr>
          <w:rFonts w:ascii="Times New Roman" w:hAnsi="Times New Roman" w:cs="Times New Roman"/>
          <w:b/>
          <w:sz w:val="28"/>
          <w:szCs w:val="28"/>
        </w:rPr>
        <w:t>A Cross-National</w:t>
      </w:r>
      <w:r w:rsidR="00A106A7">
        <w:rPr>
          <w:rFonts w:ascii="Times New Roman" w:hAnsi="Times New Roman" w:cs="Times New Roman"/>
          <w:b/>
          <w:sz w:val="28"/>
          <w:szCs w:val="28"/>
        </w:rPr>
        <w:t xml:space="preserve"> Perspective”</w:t>
      </w:r>
    </w:p>
    <w:p w:rsidR="00A106A7" w:rsidRDefault="00A106A7" w:rsidP="00A106A7">
      <w:pPr>
        <w:pStyle w:val="NoSpacing"/>
        <w:rPr>
          <w:rFonts w:ascii="Times New Roman" w:hAnsi="Times New Roman" w:cs="Times New Roman"/>
          <w:b/>
          <w:sz w:val="28"/>
          <w:szCs w:val="28"/>
        </w:rPr>
      </w:pPr>
    </w:p>
    <w:p w:rsidR="00A106A7" w:rsidRDefault="00A106A7" w:rsidP="00A106A7">
      <w:pPr>
        <w:pStyle w:val="NoSpacing"/>
        <w:rPr>
          <w:rFonts w:ascii="Times New Roman" w:hAnsi="Times New Roman" w:cs="Times New Roman"/>
          <w:b/>
          <w:sz w:val="28"/>
          <w:szCs w:val="28"/>
        </w:rPr>
      </w:pP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rsidR="00EB6D02" w:rsidRDefault="00EB6D02"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REVISED VERSION</w:t>
      </w: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EB6D0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977D4">
        <w:rPr>
          <w:rFonts w:ascii="Times New Roman" w:hAnsi="Times New Roman" w:cs="Times New Roman"/>
          <w:b/>
          <w:sz w:val="28"/>
          <w:szCs w:val="28"/>
        </w:rPr>
        <w:t>26</w:t>
      </w:r>
      <w:r w:rsidR="000D6021">
        <w:rPr>
          <w:rFonts w:ascii="Times New Roman" w:hAnsi="Times New Roman" w:cs="Times New Roman"/>
          <w:b/>
          <w:sz w:val="28"/>
          <w:szCs w:val="28"/>
        </w:rPr>
        <w:t xml:space="preserve"> </w:t>
      </w:r>
      <w:r w:rsidR="00C95302">
        <w:rPr>
          <w:rFonts w:ascii="Times New Roman" w:hAnsi="Times New Roman" w:cs="Times New Roman"/>
          <w:b/>
          <w:sz w:val="28"/>
          <w:szCs w:val="28"/>
        </w:rPr>
        <w:t>May</w:t>
      </w:r>
      <w:r>
        <w:rPr>
          <w:rFonts w:ascii="Times New Roman" w:hAnsi="Times New Roman" w:cs="Times New Roman"/>
          <w:b/>
          <w:sz w:val="28"/>
          <w:szCs w:val="28"/>
        </w:rPr>
        <w:t xml:space="preserve"> 2017</w:t>
      </w:r>
    </w:p>
    <w:p w:rsidR="00EB6D02" w:rsidRDefault="00EB6D02" w:rsidP="00A106A7">
      <w:pPr>
        <w:pStyle w:val="NoSpacing"/>
        <w:rPr>
          <w:rFonts w:ascii="Times New Roman" w:hAnsi="Times New Roman" w:cs="Times New Roman"/>
          <w:b/>
          <w:sz w:val="28"/>
          <w:szCs w:val="28"/>
        </w:rPr>
      </w:pPr>
    </w:p>
    <w:p w:rsidR="00EB6D02" w:rsidRDefault="00EB6D02"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rsidR="00A106A7" w:rsidRDefault="00A106A7" w:rsidP="00A106A7">
      <w:pPr>
        <w:pStyle w:val="NoSpacing"/>
        <w:rPr>
          <w:rFonts w:ascii="Times New Roman" w:hAnsi="Times New Roman" w:cs="Times New Roman"/>
          <w:b/>
          <w:sz w:val="28"/>
          <w:szCs w:val="28"/>
        </w:rPr>
      </w:pP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Richard B. Saltman, Ph.D</w:t>
      </w: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Professor of Health Policy and Management</w:t>
      </w: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Rollins School of Public Health</w:t>
      </w: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Emory University</w:t>
      </w: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Atlanta, GA</w:t>
      </w:r>
    </w:p>
    <w:p w:rsidR="008254FA" w:rsidRDefault="00A106A7"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8254FA">
        <w:rPr>
          <w:rFonts w:ascii="Times New Roman" w:hAnsi="Times New Roman" w:cs="Times New Roman"/>
          <w:b/>
          <w:sz w:val="28"/>
          <w:szCs w:val="28"/>
        </w:rPr>
        <w:t>USA</w:t>
      </w: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F760C9" w:rsidRDefault="008254FA"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A106A7">
        <w:rPr>
          <w:rFonts w:ascii="Times New Roman" w:hAnsi="Times New Roman" w:cs="Times New Roman"/>
          <w:b/>
          <w:sz w:val="28"/>
          <w:szCs w:val="28"/>
        </w:rPr>
        <w:t>Paper prepared for AMS 80</w:t>
      </w:r>
      <w:r w:rsidR="00A106A7" w:rsidRPr="00A000F9">
        <w:rPr>
          <w:rFonts w:ascii="Times New Roman" w:hAnsi="Times New Roman" w:cs="Times New Roman"/>
          <w:b/>
          <w:sz w:val="28"/>
          <w:szCs w:val="28"/>
          <w:vertAlign w:val="superscript"/>
        </w:rPr>
        <w:t>th</w:t>
      </w:r>
      <w:r w:rsidR="00A106A7">
        <w:rPr>
          <w:rFonts w:ascii="Times New Roman" w:hAnsi="Times New Roman" w:cs="Times New Roman"/>
          <w:b/>
          <w:sz w:val="28"/>
          <w:szCs w:val="28"/>
        </w:rPr>
        <w:t xml:space="preserve"> Anniversary Symposium, </w:t>
      </w:r>
    </w:p>
    <w:p w:rsidR="00A106A7" w:rsidRDefault="00F760C9"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A106A7">
        <w:rPr>
          <w:rFonts w:ascii="Times New Roman" w:hAnsi="Times New Roman" w:cs="Times New Roman"/>
          <w:b/>
          <w:sz w:val="28"/>
          <w:szCs w:val="28"/>
        </w:rPr>
        <w:t>May 11-12, 2017</w:t>
      </w:r>
      <w:r>
        <w:rPr>
          <w:rFonts w:ascii="Times New Roman" w:hAnsi="Times New Roman" w:cs="Times New Roman"/>
          <w:b/>
          <w:sz w:val="28"/>
          <w:szCs w:val="28"/>
        </w:rPr>
        <w:t xml:space="preserve">, </w:t>
      </w:r>
      <w:r w:rsidR="00A106A7">
        <w:rPr>
          <w:rFonts w:ascii="Times New Roman" w:hAnsi="Times New Roman" w:cs="Times New Roman"/>
          <w:b/>
          <w:sz w:val="28"/>
          <w:szCs w:val="28"/>
        </w:rPr>
        <w:t>Toronto</w:t>
      </w:r>
      <w:r>
        <w:rPr>
          <w:rFonts w:ascii="Times New Roman" w:hAnsi="Times New Roman" w:cs="Times New Roman"/>
          <w:b/>
          <w:sz w:val="28"/>
          <w:szCs w:val="28"/>
        </w:rPr>
        <w:t>, Canada</w:t>
      </w:r>
    </w:p>
    <w:p w:rsidR="00A106A7" w:rsidRDefault="00A106A7" w:rsidP="00A106A7">
      <w:pPr>
        <w:pStyle w:val="NoSpacing"/>
        <w:rPr>
          <w:rFonts w:ascii="Times New Roman" w:hAnsi="Times New Roman" w:cs="Times New Roman"/>
          <w:b/>
          <w:sz w:val="28"/>
          <w:szCs w:val="28"/>
        </w:rPr>
      </w:pPr>
    </w:p>
    <w:p w:rsidR="00A106A7" w:rsidRDefault="00A106A7" w:rsidP="00A106A7">
      <w:pPr>
        <w:pStyle w:val="NoSpacing"/>
        <w:rPr>
          <w:rFonts w:ascii="Times New Roman" w:hAnsi="Times New Roman" w:cs="Times New Roman"/>
          <w:b/>
          <w:sz w:val="28"/>
          <w:szCs w:val="28"/>
        </w:rPr>
      </w:pPr>
    </w:p>
    <w:p w:rsidR="00A106A7" w:rsidRDefault="00A106A7" w:rsidP="00A106A7">
      <w:pPr>
        <w:pStyle w:val="NoSpacing"/>
        <w:rPr>
          <w:rFonts w:ascii="Times New Roman" w:hAnsi="Times New Roman" w:cs="Times New Roman"/>
          <w:b/>
          <w:sz w:val="28"/>
          <w:szCs w:val="28"/>
        </w:rPr>
      </w:pPr>
    </w:p>
    <w:p w:rsidR="00A106A7" w:rsidRDefault="008254FA" w:rsidP="00A106A7">
      <w:pPr>
        <w:pStyle w:val="NoSpacing"/>
        <w:rPr>
          <w:rFonts w:ascii="Times New Roman" w:hAnsi="Times New Roman" w:cs="Times New Roman"/>
          <w:b/>
          <w:sz w:val="28"/>
          <w:szCs w:val="28"/>
        </w:rPr>
      </w:pPr>
      <w:r>
        <w:rPr>
          <w:rFonts w:ascii="Times New Roman" w:hAnsi="Times New Roman" w:cs="Times New Roman"/>
          <w:b/>
          <w:sz w:val="28"/>
          <w:szCs w:val="28"/>
        </w:rPr>
        <w:t xml:space="preserve">             For submission to </w:t>
      </w:r>
      <w:r w:rsidRPr="008254FA">
        <w:rPr>
          <w:rFonts w:ascii="Times New Roman" w:hAnsi="Times New Roman" w:cs="Times New Roman"/>
          <w:b/>
          <w:sz w:val="28"/>
          <w:szCs w:val="28"/>
          <w:u w:val="single"/>
        </w:rPr>
        <w:t>Health Economics Policy and Law</w:t>
      </w:r>
    </w:p>
    <w:p w:rsidR="00A106A7" w:rsidRDefault="00A106A7" w:rsidP="008254FA">
      <w:pPr>
        <w:pStyle w:val="NoSpacing"/>
        <w:jc w:val="right"/>
        <w:rPr>
          <w:rFonts w:ascii="Times New Roman" w:hAnsi="Times New Roman" w:cs="Times New Roman"/>
          <w:b/>
          <w:sz w:val="28"/>
          <w:szCs w:val="28"/>
        </w:rPr>
      </w:pPr>
    </w:p>
    <w:p w:rsidR="003326A8" w:rsidRDefault="003326A8"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8254FA" w:rsidRDefault="008254FA" w:rsidP="00A106A7">
      <w:pPr>
        <w:pStyle w:val="NoSpacing"/>
        <w:rPr>
          <w:rFonts w:ascii="Times New Roman" w:hAnsi="Times New Roman" w:cs="Times New Roman"/>
          <w:b/>
          <w:sz w:val="28"/>
          <w:szCs w:val="28"/>
        </w:rPr>
      </w:pPr>
    </w:p>
    <w:p w:rsidR="00A106A7" w:rsidRDefault="00A106A7" w:rsidP="00A106A7">
      <w:pPr>
        <w:pStyle w:val="NoSpacing"/>
        <w:rPr>
          <w:rFonts w:ascii="Times New Roman" w:hAnsi="Times New Roman" w:cs="Times New Roman"/>
          <w:b/>
          <w:sz w:val="28"/>
          <w:szCs w:val="28"/>
        </w:rPr>
      </w:pPr>
      <w:r w:rsidRPr="00A000F9">
        <w:rPr>
          <w:rFonts w:ascii="Times New Roman" w:hAnsi="Times New Roman" w:cs="Times New Roman"/>
          <w:b/>
          <w:sz w:val="28"/>
          <w:szCs w:val="28"/>
        </w:rPr>
        <w:lastRenderedPageBreak/>
        <w:t>Abstract</w:t>
      </w:r>
    </w:p>
    <w:p w:rsidR="00A106A7" w:rsidRDefault="00A106A7" w:rsidP="00A106A7">
      <w:pPr>
        <w:pStyle w:val="NoSpacing"/>
        <w:rPr>
          <w:rFonts w:ascii="Times New Roman" w:hAnsi="Times New Roman" w:cs="Times New Roman"/>
          <w:b/>
          <w:sz w:val="28"/>
          <w:szCs w:val="28"/>
        </w:rPr>
      </w:pPr>
    </w:p>
    <w:p w:rsidR="00D56575" w:rsidRDefault="00A106A7" w:rsidP="00A106A7">
      <w:pPr>
        <w:pStyle w:val="NoSpacing"/>
        <w:rPr>
          <w:rFonts w:ascii="Times New Roman" w:hAnsi="Times New Roman" w:cs="Times New Roman"/>
          <w:sz w:val="28"/>
          <w:szCs w:val="28"/>
        </w:rPr>
      </w:pPr>
      <w:r w:rsidRPr="00C279AB">
        <w:rPr>
          <w:rFonts w:ascii="Times New Roman" w:hAnsi="Times New Roman" w:cs="Times New Roman"/>
          <w:sz w:val="28"/>
          <w:szCs w:val="28"/>
        </w:rPr>
        <w:t>This paper</w:t>
      </w:r>
      <w:r w:rsidR="00777041">
        <w:rPr>
          <w:rFonts w:ascii="Times New Roman" w:hAnsi="Times New Roman" w:cs="Times New Roman"/>
          <w:sz w:val="28"/>
          <w:szCs w:val="28"/>
        </w:rPr>
        <w:t xml:space="preserve"> assesses recent</w:t>
      </w:r>
      <w:r>
        <w:rPr>
          <w:rFonts w:ascii="Times New Roman" w:hAnsi="Times New Roman" w:cs="Times New Roman"/>
          <w:sz w:val="28"/>
          <w:szCs w:val="28"/>
        </w:rPr>
        <w:t xml:space="preserve"> health sector reform strategies across Europe adopted since the onset of the 2008 fin</w:t>
      </w:r>
      <w:r w:rsidR="00D56575">
        <w:rPr>
          <w:rFonts w:ascii="Times New Roman" w:hAnsi="Times New Roman" w:cs="Times New Roman"/>
          <w:sz w:val="28"/>
          <w:szCs w:val="28"/>
        </w:rPr>
        <w:t>ancial crisis. It begins with a brief</w:t>
      </w:r>
      <w:r>
        <w:rPr>
          <w:rFonts w:ascii="Times New Roman" w:hAnsi="Times New Roman" w:cs="Times New Roman"/>
          <w:sz w:val="28"/>
          <w:szCs w:val="28"/>
        </w:rPr>
        <w:t xml:space="preserve"> overview of the continued economic pressure on public funding for health care services, particularly in tax-funded Northern European health care systems. While economic growth rates across Europe have risen a bit in </w:t>
      </w:r>
      <w:r w:rsidR="00A80B0C">
        <w:rPr>
          <w:rFonts w:ascii="Times New Roman" w:hAnsi="Times New Roman" w:cs="Times New Roman"/>
          <w:sz w:val="28"/>
          <w:szCs w:val="28"/>
        </w:rPr>
        <w:t xml:space="preserve">the last year, they remain </w:t>
      </w:r>
      <w:r>
        <w:rPr>
          <w:rFonts w:ascii="Times New Roman" w:hAnsi="Times New Roman" w:cs="Times New Roman"/>
          <w:sz w:val="28"/>
          <w:szCs w:val="28"/>
        </w:rPr>
        <w:t>below the level necessary</w:t>
      </w:r>
      <w:r w:rsidR="00841A96">
        <w:rPr>
          <w:rFonts w:ascii="Times New Roman" w:hAnsi="Times New Roman" w:cs="Times New Roman"/>
          <w:sz w:val="28"/>
          <w:szCs w:val="28"/>
        </w:rPr>
        <w:t xml:space="preserve"> to provide the needed </w:t>
      </w:r>
      <w:r>
        <w:rPr>
          <w:rFonts w:ascii="Times New Roman" w:hAnsi="Times New Roman" w:cs="Times New Roman"/>
          <w:sz w:val="28"/>
          <w:szCs w:val="28"/>
        </w:rPr>
        <w:t xml:space="preserve">expansion of public health sector revenues. </w:t>
      </w:r>
      <w:r w:rsidR="008F6734">
        <w:rPr>
          <w:rFonts w:ascii="Times New Roman" w:hAnsi="Times New Roman" w:cs="Times New Roman"/>
          <w:sz w:val="28"/>
          <w:szCs w:val="28"/>
        </w:rPr>
        <w:t xml:space="preserve">This continued public revenue shortage has become the central challenge that policymakers in these health systems confront, and </w:t>
      </w:r>
      <w:r w:rsidR="00165C57">
        <w:rPr>
          <w:rFonts w:ascii="Times New Roman" w:hAnsi="Times New Roman" w:cs="Times New Roman"/>
          <w:sz w:val="28"/>
          <w:szCs w:val="28"/>
        </w:rPr>
        <w:t>increasingly constrains the</w:t>
      </w:r>
      <w:r w:rsidR="00C75302">
        <w:rPr>
          <w:rFonts w:ascii="Times New Roman" w:hAnsi="Times New Roman" w:cs="Times New Roman"/>
          <w:sz w:val="28"/>
          <w:szCs w:val="28"/>
        </w:rPr>
        <w:t>ir</w:t>
      </w:r>
      <w:r w:rsidR="00165C57">
        <w:rPr>
          <w:rFonts w:ascii="Times New Roman" w:hAnsi="Times New Roman" w:cs="Times New Roman"/>
          <w:sz w:val="28"/>
          <w:szCs w:val="28"/>
        </w:rPr>
        <w:t xml:space="preserve"> potential range of policy options. </w:t>
      </w:r>
      <w:r w:rsidR="00D56575">
        <w:rPr>
          <w:rFonts w:ascii="Times New Roman" w:hAnsi="Times New Roman" w:cs="Times New Roman"/>
          <w:sz w:val="28"/>
          <w:szCs w:val="28"/>
        </w:rPr>
        <w:t xml:space="preserve"> </w:t>
      </w:r>
    </w:p>
    <w:p w:rsidR="00A106A7" w:rsidRDefault="00A106A7" w:rsidP="00A106A7">
      <w:pPr>
        <w:pStyle w:val="NoSpacing"/>
        <w:rPr>
          <w:rFonts w:ascii="Times New Roman" w:hAnsi="Times New Roman" w:cs="Times New Roman"/>
          <w:sz w:val="28"/>
          <w:szCs w:val="28"/>
        </w:rPr>
      </w:pPr>
    </w:p>
    <w:p w:rsidR="00A61FF4" w:rsidRDefault="00D56575" w:rsidP="00A106A7">
      <w:pPr>
        <w:pStyle w:val="NoSpacing"/>
        <w:rPr>
          <w:rFonts w:ascii="Times New Roman" w:hAnsi="Times New Roman" w:cs="Times New Roman"/>
          <w:sz w:val="28"/>
          <w:szCs w:val="28"/>
        </w:rPr>
      </w:pPr>
      <w:r>
        <w:rPr>
          <w:rFonts w:ascii="Times New Roman" w:hAnsi="Times New Roman" w:cs="Times New Roman"/>
          <w:sz w:val="28"/>
          <w:szCs w:val="28"/>
        </w:rPr>
        <w:t>The paper then examines the types of t</w:t>
      </w:r>
      <w:r w:rsidR="003A6DCE">
        <w:rPr>
          <w:rFonts w:ascii="Times New Roman" w:hAnsi="Times New Roman" w:cs="Times New Roman"/>
          <w:sz w:val="28"/>
          <w:szCs w:val="28"/>
        </w:rPr>
        <w:t>argeted reforms that various</w:t>
      </w:r>
      <w:r>
        <w:rPr>
          <w:rFonts w:ascii="Times New Roman" w:hAnsi="Times New Roman" w:cs="Times New Roman"/>
          <w:sz w:val="28"/>
          <w:szCs w:val="28"/>
        </w:rPr>
        <w:t xml:space="preserve"> European governments have introduced in response to this increased fiscal stringency. Particularly in tax-funded health systems, these efforts have been focused on two types of changes on the production side of their health systems: consolidating and/or centralizing administrative authority over public hospitals, and revamping secondary and primary health services as well as social services to reduce the volume, cost, and less-than-optimal outcomes of existing pub</w:t>
      </w:r>
      <w:r w:rsidR="003A6DCE">
        <w:rPr>
          <w:rFonts w:ascii="Times New Roman" w:hAnsi="Times New Roman" w:cs="Times New Roman"/>
          <w:sz w:val="28"/>
          <w:szCs w:val="28"/>
        </w:rPr>
        <w:t>lic elderly ca</w:t>
      </w:r>
      <w:r>
        <w:rPr>
          <w:rFonts w:ascii="Times New Roman" w:hAnsi="Times New Roman" w:cs="Times New Roman"/>
          <w:sz w:val="28"/>
          <w:szCs w:val="28"/>
        </w:rPr>
        <w:t xml:space="preserve">re programs. </w:t>
      </w:r>
      <w:r w:rsidR="003A6DCE">
        <w:rPr>
          <w:rFonts w:ascii="Times New Roman" w:hAnsi="Times New Roman" w:cs="Times New Roman"/>
          <w:sz w:val="28"/>
          <w:szCs w:val="28"/>
        </w:rPr>
        <w:t xml:space="preserve">While revamping elderly care services also was pursued in the social health insurance system in </w:t>
      </w:r>
      <w:r w:rsidR="00EE203D">
        <w:rPr>
          <w:rFonts w:ascii="Times New Roman" w:hAnsi="Times New Roman" w:cs="Times New Roman"/>
          <w:sz w:val="28"/>
          <w:szCs w:val="28"/>
        </w:rPr>
        <w:t>t</w:t>
      </w:r>
      <w:r w:rsidR="003A6DCE">
        <w:rPr>
          <w:rFonts w:ascii="Times New Roman" w:hAnsi="Times New Roman" w:cs="Times New Roman"/>
          <w:sz w:val="28"/>
          <w:szCs w:val="28"/>
        </w:rPr>
        <w:t>he Netherlands, both the Dutch and the German health systems also made important changes on the financing side of their health systems.</w:t>
      </w:r>
    </w:p>
    <w:p w:rsidR="00A106A7" w:rsidRDefault="00A61FF4" w:rsidP="00A106A7">
      <w:pPr>
        <w:pStyle w:val="NoSpacing"/>
        <w:rPr>
          <w:rFonts w:ascii="Times New Roman" w:hAnsi="Times New Roman" w:cs="Times New Roman"/>
          <w:sz w:val="28"/>
          <w:szCs w:val="28"/>
        </w:rPr>
      </w:pPr>
      <w:r>
        <w:rPr>
          <w:rFonts w:ascii="Times New Roman" w:hAnsi="Times New Roman" w:cs="Times New Roman"/>
          <w:sz w:val="28"/>
          <w:szCs w:val="28"/>
        </w:rPr>
        <w:t>Both types of targeted reforms are illustrated</w:t>
      </w:r>
      <w:r w:rsidR="003A6DCE">
        <w:rPr>
          <w:rFonts w:ascii="Times New Roman" w:hAnsi="Times New Roman" w:cs="Times New Roman"/>
          <w:sz w:val="28"/>
          <w:szCs w:val="28"/>
        </w:rPr>
        <w:t xml:space="preserve"> </w:t>
      </w:r>
      <w:r>
        <w:rPr>
          <w:rFonts w:ascii="Times New Roman" w:hAnsi="Times New Roman" w:cs="Times New Roman"/>
          <w:sz w:val="28"/>
          <w:szCs w:val="28"/>
        </w:rPr>
        <w:t>through short country case studies.</w:t>
      </w:r>
    </w:p>
    <w:p w:rsidR="00A61FF4" w:rsidRDefault="00A61FF4" w:rsidP="00A106A7">
      <w:pPr>
        <w:pStyle w:val="NoSpacing"/>
        <w:rPr>
          <w:rFonts w:ascii="Times New Roman" w:hAnsi="Times New Roman" w:cs="Times New Roman"/>
          <w:sz w:val="28"/>
          <w:szCs w:val="28"/>
        </w:rPr>
      </w:pPr>
    </w:p>
    <w:p w:rsidR="00A106A7" w:rsidRDefault="00A106A7" w:rsidP="00A106A7">
      <w:pPr>
        <w:pStyle w:val="NoSpacing"/>
        <w:rPr>
          <w:rFonts w:ascii="Times New Roman" w:hAnsi="Times New Roman" w:cs="Times New Roman"/>
          <w:sz w:val="28"/>
          <w:szCs w:val="28"/>
        </w:rPr>
      </w:pPr>
      <w:r>
        <w:rPr>
          <w:rFonts w:ascii="Times New Roman" w:hAnsi="Times New Roman" w:cs="Times New Roman"/>
          <w:sz w:val="28"/>
          <w:szCs w:val="28"/>
        </w:rPr>
        <w:t xml:space="preserve">Each of these country </w:t>
      </w:r>
      <w:r w:rsidR="00144D6E">
        <w:rPr>
          <w:rFonts w:ascii="Times New Roman" w:hAnsi="Times New Roman" w:cs="Times New Roman"/>
          <w:sz w:val="28"/>
          <w:szCs w:val="28"/>
        </w:rPr>
        <w:t xml:space="preserve">assessments flags up </w:t>
      </w:r>
      <w:r>
        <w:rPr>
          <w:rFonts w:ascii="Times New Roman" w:hAnsi="Times New Roman" w:cs="Times New Roman"/>
          <w:sz w:val="28"/>
          <w:szCs w:val="28"/>
        </w:rPr>
        <w:t>new mechanisms that have been introduced and which potential</w:t>
      </w:r>
      <w:r w:rsidR="00144D6E">
        <w:rPr>
          <w:rFonts w:ascii="Times New Roman" w:hAnsi="Times New Roman" w:cs="Times New Roman"/>
          <w:sz w:val="28"/>
          <w:szCs w:val="28"/>
        </w:rPr>
        <w:t>ly could be reshaped and applied</w:t>
      </w:r>
      <w:r>
        <w:rPr>
          <w:rFonts w:ascii="Times New Roman" w:hAnsi="Times New Roman" w:cs="Times New Roman"/>
          <w:sz w:val="28"/>
          <w:szCs w:val="28"/>
        </w:rPr>
        <w:t xml:space="preserve"> in other national health sector contexts. Reflecting the tax-funded structure of the Canadian health system, the preponderance of cases discussed focus on tax-funded countries (Norway, Denmark, Sweden, Finland, England, Ireland), with additional brief assessments of recent changes in the SHI-funded health systems in </w:t>
      </w:r>
      <w:r w:rsidR="00EE203D">
        <w:rPr>
          <w:rFonts w:ascii="Times New Roman" w:hAnsi="Times New Roman" w:cs="Times New Roman"/>
          <w:sz w:val="28"/>
          <w:szCs w:val="28"/>
        </w:rPr>
        <w:t>t</w:t>
      </w:r>
      <w:r>
        <w:rPr>
          <w:rFonts w:ascii="Times New Roman" w:hAnsi="Times New Roman" w:cs="Times New Roman"/>
          <w:sz w:val="28"/>
          <w:szCs w:val="28"/>
        </w:rPr>
        <w:t>he Netherlands and Germany.</w:t>
      </w:r>
    </w:p>
    <w:p w:rsidR="00A106A7" w:rsidRDefault="00A106A7" w:rsidP="00A106A7">
      <w:pPr>
        <w:pStyle w:val="NoSpacing"/>
        <w:rPr>
          <w:rFonts w:ascii="Times New Roman" w:hAnsi="Times New Roman" w:cs="Times New Roman"/>
          <w:sz w:val="28"/>
          <w:szCs w:val="28"/>
        </w:rPr>
      </w:pPr>
    </w:p>
    <w:p w:rsidR="00A106A7" w:rsidRDefault="00A106A7" w:rsidP="00A106A7">
      <w:pPr>
        <w:pStyle w:val="NoSpacing"/>
        <w:rPr>
          <w:rFonts w:ascii="Times New Roman" w:hAnsi="Times New Roman" w:cs="Times New Roman"/>
          <w:b/>
          <w:sz w:val="28"/>
          <w:szCs w:val="28"/>
        </w:rPr>
      </w:pPr>
      <w:r>
        <w:rPr>
          <w:rFonts w:ascii="Times New Roman" w:hAnsi="Times New Roman" w:cs="Times New Roman"/>
          <w:sz w:val="28"/>
          <w:szCs w:val="28"/>
        </w:rPr>
        <w:t>T</w:t>
      </w:r>
      <w:r w:rsidR="00BD7659">
        <w:rPr>
          <w:rFonts w:ascii="Times New Roman" w:hAnsi="Times New Roman" w:cs="Times New Roman"/>
          <w:sz w:val="28"/>
          <w:szCs w:val="28"/>
        </w:rPr>
        <w:t>he paper concludes</w:t>
      </w:r>
      <w:r w:rsidR="004D6692">
        <w:rPr>
          <w:rFonts w:ascii="Times New Roman" w:hAnsi="Times New Roman" w:cs="Times New Roman"/>
          <w:sz w:val="28"/>
          <w:szCs w:val="28"/>
        </w:rPr>
        <w:t xml:space="preserve"> that post-2008</w:t>
      </w:r>
      <w:r w:rsidR="00BD7659">
        <w:rPr>
          <w:rFonts w:ascii="Times New Roman" w:hAnsi="Times New Roman" w:cs="Times New Roman"/>
          <w:sz w:val="28"/>
          <w:szCs w:val="28"/>
        </w:rPr>
        <w:t xml:space="preserve"> </w:t>
      </w:r>
      <w:r w:rsidR="0040252E">
        <w:rPr>
          <w:rFonts w:ascii="Times New Roman" w:hAnsi="Times New Roman" w:cs="Times New Roman"/>
          <w:sz w:val="28"/>
          <w:szCs w:val="28"/>
        </w:rPr>
        <w:t xml:space="preserve">European </w:t>
      </w:r>
      <w:r>
        <w:rPr>
          <w:rFonts w:ascii="Times New Roman" w:hAnsi="Times New Roman" w:cs="Times New Roman"/>
          <w:sz w:val="28"/>
          <w:szCs w:val="28"/>
        </w:rPr>
        <w:t>reforms</w:t>
      </w:r>
      <w:r w:rsidR="0040252E">
        <w:rPr>
          <w:rFonts w:ascii="Times New Roman" w:hAnsi="Times New Roman" w:cs="Times New Roman"/>
          <w:sz w:val="28"/>
          <w:szCs w:val="28"/>
        </w:rPr>
        <w:t xml:space="preserve"> have helped</w:t>
      </w:r>
      <w:r w:rsidR="009140CF">
        <w:rPr>
          <w:rFonts w:ascii="Times New Roman" w:hAnsi="Times New Roman" w:cs="Times New Roman"/>
          <w:sz w:val="28"/>
          <w:szCs w:val="28"/>
        </w:rPr>
        <w:t xml:space="preserve"> </w:t>
      </w:r>
      <w:r w:rsidR="00BE6AE3">
        <w:rPr>
          <w:rFonts w:ascii="Times New Roman" w:hAnsi="Times New Roman" w:cs="Times New Roman"/>
          <w:sz w:val="28"/>
          <w:szCs w:val="28"/>
        </w:rPr>
        <w:t>stretch existing</w:t>
      </w:r>
      <w:r w:rsidR="0040252E">
        <w:rPr>
          <w:rFonts w:ascii="Times New Roman" w:hAnsi="Times New Roman" w:cs="Times New Roman"/>
          <w:sz w:val="28"/>
          <w:szCs w:val="28"/>
        </w:rPr>
        <w:t xml:space="preserve"> public funds more effectively</w:t>
      </w:r>
      <w:r w:rsidR="00C042C6">
        <w:rPr>
          <w:rFonts w:ascii="Times New Roman" w:hAnsi="Times New Roman" w:cs="Times New Roman"/>
          <w:sz w:val="28"/>
          <w:szCs w:val="28"/>
        </w:rPr>
        <w:t>, but</w:t>
      </w:r>
      <w:r w:rsidR="005C59F9">
        <w:rPr>
          <w:rFonts w:ascii="Times New Roman" w:hAnsi="Times New Roman" w:cs="Times New Roman"/>
          <w:sz w:val="28"/>
          <w:szCs w:val="28"/>
        </w:rPr>
        <w:t xml:space="preserve"> seem unlikely to </w:t>
      </w:r>
      <w:r w:rsidR="006316BA">
        <w:rPr>
          <w:rFonts w:ascii="Times New Roman" w:hAnsi="Times New Roman" w:cs="Times New Roman"/>
          <w:sz w:val="28"/>
          <w:szCs w:val="28"/>
        </w:rPr>
        <w:t xml:space="preserve">resolve </w:t>
      </w:r>
      <w:r w:rsidR="00BE6AE3">
        <w:rPr>
          <w:rFonts w:ascii="Times New Roman" w:hAnsi="Times New Roman" w:cs="Times New Roman"/>
          <w:sz w:val="28"/>
          <w:szCs w:val="28"/>
        </w:rPr>
        <w:t xml:space="preserve">the core problem of </w:t>
      </w:r>
      <w:r w:rsidR="009140CF">
        <w:rPr>
          <w:rFonts w:ascii="Times New Roman" w:hAnsi="Times New Roman" w:cs="Times New Roman"/>
          <w:sz w:val="28"/>
          <w:szCs w:val="28"/>
        </w:rPr>
        <w:t>inadequate overall public</w:t>
      </w:r>
      <w:r w:rsidR="00BE6AE3">
        <w:rPr>
          <w:rFonts w:ascii="Times New Roman" w:hAnsi="Times New Roman" w:cs="Times New Roman"/>
          <w:sz w:val="28"/>
          <w:szCs w:val="28"/>
        </w:rPr>
        <w:t xml:space="preserve"> fun</w:t>
      </w:r>
      <w:r w:rsidR="009140CF">
        <w:rPr>
          <w:rFonts w:ascii="Times New Roman" w:hAnsi="Times New Roman" w:cs="Times New Roman"/>
          <w:sz w:val="28"/>
          <w:szCs w:val="28"/>
        </w:rPr>
        <w:t>ding, particularly in tax-based</w:t>
      </w:r>
      <w:r w:rsidR="00BE6AE3">
        <w:rPr>
          <w:rFonts w:ascii="Times New Roman" w:hAnsi="Times New Roman" w:cs="Times New Roman"/>
          <w:sz w:val="28"/>
          <w:szCs w:val="28"/>
        </w:rPr>
        <w:t xml:space="preserve"> health </w:t>
      </w:r>
      <w:r w:rsidR="006316BA">
        <w:rPr>
          <w:rFonts w:ascii="Times New Roman" w:hAnsi="Times New Roman" w:cs="Times New Roman"/>
          <w:sz w:val="28"/>
          <w:szCs w:val="28"/>
        </w:rPr>
        <w:t>systems</w:t>
      </w:r>
      <w:r w:rsidR="00BE6AE3">
        <w:rPr>
          <w:rFonts w:ascii="Times New Roman" w:hAnsi="Times New Roman" w:cs="Times New Roman"/>
          <w:sz w:val="28"/>
          <w:szCs w:val="28"/>
        </w:rPr>
        <w:t xml:space="preserve">. </w:t>
      </w:r>
      <w:r w:rsidR="0040252E">
        <w:rPr>
          <w:rFonts w:ascii="Times New Roman" w:hAnsi="Times New Roman" w:cs="Times New Roman"/>
          <w:sz w:val="28"/>
          <w:szCs w:val="28"/>
        </w:rPr>
        <w:t xml:space="preserve">This observation suggests that </w:t>
      </w:r>
      <w:r w:rsidR="005C59F9">
        <w:rPr>
          <w:rFonts w:ascii="Times New Roman" w:hAnsi="Times New Roman" w:cs="Times New Roman"/>
          <w:sz w:val="28"/>
          <w:szCs w:val="28"/>
        </w:rPr>
        <w:t>ongoing Canadian efforts to consolidate and better integrate</w:t>
      </w:r>
      <w:r w:rsidR="004D6692">
        <w:rPr>
          <w:rFonts w:ascii="Times New Roman" w:hAnsi="Times New Roman" w:cs="Times New Roman"/>
          <w:sz w:val="28"/>
          <w:szCs w:val="28"/>
        </w:rPr>
        <w:t xml:space="preserve"> its</w:t>
      </w:r>
      <w:r w:rsidR="0040252E">
        <w:rPr>
          <w:rFonts w:ascii="Times New Roman" w:hAnsi="Times New Roman" w:cs="Times New Roman"/>
          <w:sz w:val="28"/>
          <w:szCs w:val="28"/>
        </w:rPr>
        <w:t xml:space="preserve"> healt</w:t>
      </w:r>
      <w:r w:rsidR="005C59F9">
        <w:rPr>
          <w:rFonts w:ascii="Times New Roman" w:hAnsi="Times New Roman" w:cs="Times New Roman"/>
          <w:sz w:val="28"/>
          <w:szCs w:val="28"/>
        </w:rPr>
        <w:t>h care providers, while important</w:t>
      </w:r>
      <w:r w:rsidR="0040252E">
        <w:rPr>
          <w:rFonts w:ascii="Times New Roman" w:hAnsi="Times New Roman" w:cs="Times New Roman"/>
          <w:sz w:val="28"/>
          <w:szCs w:val="28"/>
        </w:rPr>
        <w:t xml:space="preserve">, may </w:t>
      </w:r>
      <w:r w:rsidR="005C59F9">
        <w:rPr>
          <w:rFonts w:ascii="Times New Roman" w:hAnsi="Times New Roman" w:cs="Times New Roman"/>
          <w:sz w:val="28"/>
          <w:szCs w:val="28"/>
        </w:rPr>
        <w:t>not eliminate</w:t>
      </w:r>
      <w:r w:rsidR="004D6692">
        <w:rPr>
          <w:rFonts w:ascii="Times New Roman" w:hAnsi="Times New Roman" w:cs="Times New Roman"/>
          <w:sz w:val="28"/>
          <w:szCs w:val="28"/>
        </w:rPr>
        <w:t xml:space="preserve"> long-term </w:t>
      </w:r>
      <w:r w:rsidR="005C59F9">
        <w:rPr>
          <w:rFonts w:ascii="Times New Roman" w:hAnsi="Times New Roman" w:cs="Times New Roman"/>
          <w:sz w:val="28"/>
          <w:szCs w:val="28"/>
        </w:rPr>
        <w:t>health sector funding dilemmas</w:t>
      </w:r>
      <w:r w:rsidR="004D6692">
        <w:rPr>
          <w:rFonts w:ascii="Times New Roman" w:hAnsi="Times New Roman" w:cs="Times New Roman"/>
          <w:sz w:val="28"/>
          <w:szCs w:val="28"/>
        </w:rPr>
        <w:t>.</w:t>
      </w:r>
      <w:r w:rsidR="0040252E">
        <w:rPr>
          <w:rFonts w:ascii="Times New Roman" w:hAnsi="Times New Roman" w:cs="Times New Roman"/>
          <w:sz w:val="28"/>
          <w:szCs w:val="28"/>
        </w:rPr>
        <w:t xml:space="preserve"> </w:t>
      </w:r>
      <w:r w:rsidR="00C042C6">
        <w:rPr>
          <w:rFonts w:ascii="Times New Roman" w:hAnsi="Times New Roman" w:cs="Times New Roman"/>
          <w:sz w:val="28"/>
          <w:szCs w:val="28"/>
        </w:rPr>
        <w:t xml:space="preserve"> </w:t>
      </w:r>
    </w:p>
    <w:p w:rsidR="003326A8" w:rsidRDefault="003326A8" w:rsidP="003326A8">
      <w:pPr>
        <w:pStyle w:val="NoSpacing"/>
        <w:ind w:left="1080"/>
        <w:rPr>
          <w:rFonts w:ascii="Times New Roman" w:hAnsi="Times New Roman" w:cs="Times New Roman"/>
          <w:b/>
          <w:sz w:val="28"/>
          <w:szCs w:val="28"/>
        </w:rPr>
      </w:pPr>
    </w:p>
    <w:p w:rsidR="003326A8" w:rsidRDefault="003326A8" w:rsidP="003326A8">
      <w:pPr>
        <w:pStyle w:val="NoSpacing"/>
        <w:ind w:left="1080"/>
        <w:rPr>
          <w:rFonts w:ascii="Times New Roman" w:hAnsi="Times New Roman" w:cs="Times New Roman"/>
          <w:b/>
          <w:sz w:val="28"/>
          <w:szCs w:val="28"/>
        </w:rPr>
      </w:pPr>
    </w:p>
    <w:p w:rsidR="00ED45AA" w:rsidRDefault="00ED45AA" w:rsidP="00ED45AA">
      <w:pPr>
        <w:pStyle w:val="NoSpacing"/>
        <w:ind w:left="1080"/>
        <w:rPr>
          <w:rFonts w:ascii="Times New Roman" w:hAnsi="Times New Roman" w:cs="Times New Roman"/>
          <w:b/>
          <w:sz w:val="28"/>
          <w:szCs w:val="28"/>
        </w:rPr>
      </w:pPr>
    </w:p>
    <w:p w:rsidR="00670412" w:rsidRDefault="00670412" w:rsidP="00670412">
      <w:pPr>
        <w:pStyle w:val="NoSpacing"/>
        <w:ind w:left="1080"/>
        <w:rPr>
          <w:rFonts w:ascii="Times New Roman" w:hAnsi="Times New Roman" w:cs="Times New Roman"/>
          <w:b/>
          <w:sz w:val="28"/>
          <w:szCs w:val="28"/>
        </w:rPr>
      </w:pPr>
    </w:p>
    <w:p w:rsidR="00C81390" w:rsidRDefault="00C81390" w:rsidP="00670412">
      <w:pPr>
        <w:pStyle w:val="NoSpacing"/>
        <w:ind w:left="1080"/>
        <w:rPr>
          <w:rFonts w:ascii="Times New Roman" w:hAnsi="Times New Roman" w:cs="Times New Roman"/>
          <w:b/>
          <w:sz w:val="28"/>
          <w:szCs w:val="28"/>
        </w:rPr>
      </w:pPr>
    </w:p>
    <w:p w:rsidR="00C81390" w:rsidRDefault="00C81390" w:rsidP="00670412">
      <w:pPr>
        <w:pStyle w:val="NoSpacing"/>
        <w:ind w:left="1080"/>
        <w:rPr>
          <w:rFonts w:ascii="Times New Roman" w:hAnsi="Times New Roman" w:cs="Times New Roman"/>
          <w:b/>
          <w:sz w:val="28"/>
          <w:szCs w:val="28"/>
        </w:rPr>
      </w:pPr>
    </w:p>
    <w:p w:rsidR="00C81390" w:rsidRDefault="00C81390" w:rsidP="00670412">
      <w:pPr>
        <w:pStyle w:val="NoSpacing"/>
        <w:ind w:left="1080"/>
        <w:rPr>
          <w:rFonts w:ascii="Times New Roman" w:hAnsi="Times New Roman" w:cs="Times New Roman"/>
          <w:b/>
          <w:sz w:val="28"/>
          <w:szCs w:val="28"/>
        </w:rPr>
      </w:pPr>
      <w:r>
        <w:rPr>
          <w:rFonts w:ascii="Times New Roman" w:hAnsi="Times New Roman" w:cs="Times New Roman"/>
          <w:b/>
          <w:sz w:val="28"/>
          <w:szCs w:val="28"/>
        </w:rPr>
        <w:t>Introduction</w:t>
      </w:r>
    </w:p>
    <w:p w:rsidR="00C81390" w:rsidRDefault="00C81390" w:rsidP="00670412">
      <w:pPr>
        <w:pStyle w:val="NoSpacing"/>
        <w:ind w:left="1080"/>
        <w:rPr>
          <w:rFonts w:ascii="Times New Roman" w:hAnsi="Times New Roman" w:cs="Times New Roman"/>
          <w:b/>
          <w:sz w:val="28"/>
          <w:szCs w:val="28"/>
        </w:rPr>
      </w:pPr>
    </w:p>
    <w:p w:rsidR="00C96679" w:rsidRDefault="006F5386" w:rsidP="00600855">
      <w:pPr>
        <w:pStyle w:val="NoSpacing"/>
        <w:rPr>
          <w:rFonts w:ascii="Times New Roman" w:hAnsi="Times New Roman" w:cs="Times New Roman"/>
          <w:sz w:val="28"/>
          <w:szCs w:val="28"/>
        </w:rPr>
      </w:pPr>
      <w:r>
        <w:rPr>
          <w:rFonts w:ascii="Times New Roman" w:hAnsi="Times New Roman" w:cs="Times New Roman"/>
          <w:sz w:val="28"/>
          <w:szCs w:val="28"/>
        </w:rPr>
        <w:t>This article</w:t>
      </w:r>
      <w:r w:rsidR="005D498A">
        <w:rPr>
          <w:rFonts w:ascii="Times New Roman" w:hAnsi="Times New Roman" w:cs="Times New Roman"/>
          <w:sz w:val="28"/>
          <w:szCs w:val="28"/>
        </w:rPr>
        <w:t xml:space="preserve"> e</w:t>
      </w:r>
      <w:r w:rsidR="0005502C">
        <w:rPr>
          <w:rFonts w:ascii="Times New Roman" w:hAnsi="Times New Roman" w:cs="Times New Roman"/>
          <w:sz w:val="28"/>
          <w:szCs w:val="28"/>
        </w:rPr>
        <w:t>xplores</w:t>
      </w:r>
      <w:r w:rsidR="005D498A">
        <w:rPr>
          <w:rFonts w:ascii="Times New Roman" w:hAnsi="Times New Roman" w:cs="Times New Roman"/>
          <w:sz w:val="28"/>
          <w:szCs w:val="28"/>
        </w:rPr>
        <w:t xml:space="preserve"> </w:t>
      </w:r>
      <w:r w:rsidR="00C165F1">
        <w:rPr>
          <w:rFonts w:ascii="Times New Roman" w:hAnsi="Times New Roman" w:cs="Times New Roman"/>
          <w:sz w:val="28"/>
          <w:szCs w:val="28"/>
        </w:rPr>
        <w:t>two important elements</w:t>
      </w:r>
      <w:r>
        <w:rPr>
          <w:rFonts w:ascii="Times New Roman" w:hAnsi="Times New Roman" w:cs="Times New Roman"/>
          <w:sz w:val="28"/>
          <w:szCs w:val="28"/>
        </w:rPr>
        <w:t xml:space="preserve"> of</w:t>
      </w:r>
      <w:r w:rsidR="009B219A">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9B219A">
        <w:rPr>
          <w:rFonts w:ascii="Times New Roman" w:hAnsi="Times New Roman" w:cs="Times New Roman"/>
          <w:sz w:val="28"/>
          <w:szCs w:val="28"/>
        </w:rPr>
        <w:t>health</w:t>
      </w:r>
      <w:r w:rsidR="005D498A">
        <w:rPr>
          <w:rFonts w:ascii="Times New Roman" w:hAnsi="Times New Roman" w:cs="Times New Roman"/>
          <w:sz w:val="28"/>
          <w:szCs w:val="28"/>
        </w:rPr>
        <w:t xml:space="preserve"> policymaking</w:t>
      </w:r>
      <w:r w:rsidR="009B219A">
        <w:rPr>
          <w:rFonts w:ascii="Times New Roman" w:hAnsi="Times New Roman" w:cs="Times New Roman"/>
          <w:sz w:val="28"/>
          <w:szCs w:val="28"/>
        </w:rPr>
        <w:t xml:space="preserve"> environment</w:t>
      </w:r>
      <w:r w:rsidR="005D498A">
        <w:rPr>
          <w:rFonts w:ascii="Times New Roman" w:hAnsi="Times New Roman" w:cs="Times New Roman"/>
          <w:sz w:val="28"/>
          <w:szCs w:val="28"/>
        </w:rPr>
        <w:t xml:space="preserve"> in </w:t>
      </w:r>
      <w:r w:rsidR="0005502C">
        <w:rPr>
          <w:rFonts w:ascii="Times New Roman" w:hAnsi="Times New Roman" w:cs="Times New Roman"/>
          <w:sz w:val="28"/>
          <w:szCs w:val="28"/>
        </w:rPr>
        <w:t xml:space="preserve">Northern </w:t>
      </w:r>
      <w:r w:rsidR="005D498A">
        <w:rPr>
          <w:rFonts w:ascii="Times New Roman" w:hAnsi="Times New Roman" w:cs="Times New Roman"/>
          <w:sz w:val="28"/>
          <w:szCs w:val="28"/>
        </w:rPr>
        <w:t xml:space="preserve">Europe in the aftermath of the 2008 financial crisis. </w:t>
      </w:r>
      <w:r w:rsidR="009B219A">
        <w:rPr>
          <w:rFonts w:ascii="Times New Roman" w:hAnsi="Times New Roman" w:cs="Times New Roman"/>
          <w:sz w:val="28"/>
          <w:szCs w:val="28"/>
        </w:rPr>
        <w:t>The first part</w:t>
      </w:r>
      <w:r>
        <w:rPr>
          <w:rFonts w:ascii="Times New Roman" w:hAnsi="Times New Roman" w:cs="Times New Roman"/>
          <w:sz w:val="28"/>
          <w:szCs w:val="28"/>
        </w:rPr>
        <w:t xml:space="preserve"> of the pa</w:t>
      </w:r>
      <w:r w:rsidR="00C96679">
        <w:rPr>
          <w:rFonts w:ascii="Times New Roman" w:hAnsi="Times New Roman" w:cs="Times New Roman"/>
          <w:sz w:val="28"/>
          <w:szCs w:val="28"/>
        </w:rPr>
        <w:t xml:space="preserve">per considers the impact of a </w:t>
      </w:r>
      <w:r w:rsidR="009B219A">
        <w:rPr>
          <w:rFonts w:ascii="Times New Roman" w:hAnsi="Times New Roman" w:cs="Times New Roman"/>
          <w:sz w:val="28"/>
          <w:szCs w:val="28"/>
        </w:rPr>
        <w:t xml:space="preserve">continued lack of growth in the </w:t>
      </w:r>
      <w:r>
        <w:rPr>
          <w:rFonts w:ascii="Times New Roman" w:hAnsi="Times New Roman" w:cs="Times New Roman"/>
          <w:sz w:val="28"/>
          <w:szCs w:val="28"/>
        </w:rPr>
        <w:t>broader national</w:t>
      </w:r>
      <w:r w:rsidR="009B219A">
        <w:rPr>
          <w:rFonts w:ascii="Times New Roman" w:hAnsi="Times New Roman" w:cs="Times New Roman"/>
          <w:sz w:val="28"/>
          <w:szCs w:val="28"/>
        </w:rPr>
        <w:t xml:space="preserve"> economy</w:t>
      </w:r>
      <w:r>
        <w:rPr>
          <w:rFonts w:ascii="Times New Roman" w:hAnsi="Times New Roman" w:cs="Times New Roman"/>
          <w:sz w:val="28"/>
          <w:szCs w:val="28"/>
        </w:rPr>
        <w:t xml:space="preserve"> in constraining new public revenues. This shortage of new funding </w:t>
      </w:r>
      <w:r w:rsidR="00600855">
        <w:rPr>
          <w:rFonts w:ascii="Times New Roman" w:hAnsi="Times New Roman" w:cs="Times New Roman"/>
          <w:sz w:val="28"/>
          <w:szCs w:val="28"/>
        </w:rPr>
        <w:t>has become the central challenge that policymakers in these health systems now confront, and increasingly constrains their potential range of policy options.</w:t>
      </w:r>
    </w:p>
    <w:p w:rsidR="00C96679" w:rsidRDefault="00C96679" w:rsidP="005D498A">
      <w:pPr>
        <w:pStyle w:val="NoSpacing"/>
        <w:rPr>
          <w:rFonts w:ascii="Times New Roman" w:hAnsi="Times New Roman" w:cs="Times New Roman"/>
          <w:sz w:val="28"/>
          <w:szCs w:val="28"/>
        </w:rPr>
      </w:pPr>
    </w:p>
    <w:p w:rsidR="00470D88" w:rsidRDefault="009B219A" w:rsidP="00693C1D">
      <w:pPr>
        <w:pStyle w:val="NoSpacing"/>
        <w:rPr>
          <w:rFonts w:ascii="Times New Roman" w:hAnsi="Times New Roman" w:cs="Times New Roman"/>
          <w:sz w:val="28"/>
          <w:szCs w:val="28"/>
        </w:rPr>
      </w:pPr>
      <w:r>
        <w:rPr>
          <w:rFonts w:ascii="Times New Roman" w:hAnsi="Times New Roman" w:cs="Times New Roman"/>
          <w:sz w:val="28"/>
          <w:szCs w:val="28"/>
        </w:rPr>
        <w:t xml:space="preserve">The next sections </w:t>
      </w:r>
      <w:r w:rsidR="00DD5077">
        <w:rPr>
          <w:rFonts w:ascii="Times New Roman" w:hAnsi="Times New Roman" w:cs="Times New Roman"/>
          <w:sz w:val="28"/>
          <w:szCs w:val="28"/>
        </w:rPr>
        <w:t>of the article examine th</w:t>
      </w:r>
      <w:r w:rsidR="004666C5">
        <w:rPr>
          <w:rFonts w:ascii="Times New Roman" w:hAnsi="Times New Roman" w:cs="Times New Roman"/>
          <w:sz w:val="28"/>
          <w:szCs w:val="28"/>
        </w:rPr>
        <w:t>e types of reform strategies</w:t>
      </w:r>
      <w:r w:rsidR="00DD5077">
        <w:rPr>
          <w:rFonts w:ascii="Times New Roman" w:hAnsi="Times New Roman" w:cs="Times New Roman"/>
          <w:sz w:val="28"/>
          <w:szCs w:val="28"/>
        </w:rPr>
        <w:t xml:space="preserve"> that these health </w:t>
      </w:r>
      <w:r w:rsidR="004666C5">
        <w:rPr>
          <w:rFonts w:ascii="Times New Roman" w:hAnsi="Times New Roman" w:cs="Times New Roman"/>
          <w:sz w:val="28"/>
          <w:szCs w:val="28"/>
        </w:rPr>
        <w:t>systems have implemented</w:t>
      </w:r>
      <w:r w:rsidR="00C96679">
        <w:rPr>
          <w:rFonts w:ascii="Times New Roman" w:hAnsi="Times New Roman" w:cs="Times New Roman"/>
          <w:sz w:val="28"/>
          <w:szCs w:val="28"/>
        </w:rPr>
        <w:t xml:space="preserve"> in response to the intensified</w:t>
      </w:r>
      <w:r w:rsidR="00DD5077">
        <w:rPr>
          <w:rFonts w:ascii="Times New Roman" w:hAnsi="Times New Roman" w:cs="Times New Roman"/>
          <w:sz w:val="28"/>
          <w:szCs w:val="28"/>
        </w:rPr>
        <w:t xml:space="preserve"> fiscal stringency they face</w:t>
      </w:r>
      <w:r w:rsidR="004666C5">
        <w:rPr>
          <w:rFonts w:ascii="Times New Roman" w:hAnsi="Times New Roman" w:cs="Times New Roman"/>
          <w:sz w:val="28"/>
          <w:szCs w:val="28"/>
        </w:rPr>
        <w:t>,</w:t>
      </w:r>
      <w:r w:rsidR="00DD5077">
        <w:rPr>
          <w:rFonts w:ascii="Times New Roman" w:hAnsi="Times New Roman" w:cs="Times New Roman"/>
          <w:sz w:val="28"/>
          <w:szCs w:val="28"/>
        </w:rPr>
        <w:t xml:space="preserve"> as we</w:t>
      </w:r>
      <w:r w:rsidR="00C96679">
        <w:rPr>
          <w:rFonts w:ascii="Times New Roman" w:hAnsi="Times New Roman" w:cs="Times New Roman"/>
          <w:sz w:val="28"/>
          <w:szCs w:val="28"/>
        </w:rPr>
        <w:t>ll as increasing demands for service from</w:t>
      </w:r>
      <w:r w:rsidR="00DD5077">
        <w:rPr>
          <w:rFonts w:ascii="Times New Roman" w:hAnsi="Times New Roman" w:cs="Times New Roman"/>
          <w:sz w:val="28"/>
          <w:szCs w:val="28"/>
        </w:rPr>
        <w:t xml:space="preserve"> chronically </w:t>
      </w:r>
      <w:r w:rsidR="004666C5">
        <w:rPr>
          <w:rFonts w:ascii="Times New Roman" w:hAnsi="Times New Roman" w:cs="Times New Roman"/>
          <w:sz w:val="28"/>
          <w:szCs w:val="28"/>
        </w:rPr>
        <w:t>ill elderly. In tax-funded health systems, t</w:t>
      </w:r>
      <w:r w:rsidR="00DD5077">
        <w:rPr>
          <w:rFonts w:ascii="Times New Roman" w:hAnsi="Times New Roman" w:cs="Times New Roman"/>
          <w:sz w:val="28"/>
          <w:szCs w:val="28"/>
        </w:rPr>
        <w:t xml:space="preserve">hese reforms have </w:t>
      </w:r>
      <w:r w:rsidR="004666C5">
        <w:rPr>
          <w:rFonts w:ascii="Times New Roman" w:hAnsi="Times New Roman" w:cs="Times New Roman"/>
          <w:sz w:val="28"/>
          <w:szCs w:val="28"/>
        </w:rPr>
        <w:t xml:space="preserve">focused, first, on restructuring public </w:t>
      </w:r>
      <w:r w:rsidR="00C96679">
        <w:rPr>
          <w:rFonts w:ascii="Times New Roman" w:hAnsi="Times New Roman" w:cs="Times New Roman"/>
          <w:sz w:val="28"/>
          <w:szCs w:val="28"/>
        </w:rPr>
        <w:t xml:space="preserve">sector </w:t>
      </w:r>
      <w:r w:rsidR="004666C5">
        <w:rPr>
          <w:rFonts w:ascii="Times New Roman" w:hAnsi="Times New Roman" w:cs="Times New Roman"/>
          <w:sz w:val="28"/>
          <w:szCs w:val="28"/>
        </w:rPr>
        <w:t>administrative arrangements for he</w:t>
      </w:r>
      <w:r w:rsidR="00C96679">
        <w:rPr>
          <w:rFonts w:ascii="Times New Roman" w:hAnsi="Times New Roman" w:cs="Times New Roman"/>
          <w:sz w:val="28"/>
          <w:szCs w:val="28"/>
        </w:rPr>
        <w:t>alth</w:t>
      </w:r>
      <w:r w:rsidR="004666C5">
        <w:rPr>
          <w:rFonts w:ascii="Times New Roman" w:hAnsi="Times New Roman" w:cs="Times New Roman"/>
          <w:sz w:val="28"/>
          <w:szCs w:val="28"/>
        </w:rPr>
        <w:t xml:space="preserve"> providers, </w:t>
      </w:r>
      <w:r w:rsidR="00C96679">
        <w:rPr>
          <w:rFonts w:ascii="Times New Roman" w:hAnsi="Times New Roman" w:cs="Times New Roman"/>
          <w:sz w:val="28"/>
          <w:szCs w:val="28"/>
        </w:rPr>
        <w:t xml:space="preserve">particularly public hospitals, </w:t>
      </w:r>
      <w:r w:rsidR="004666C5">
        <w:rPr>
          <w:rFonts w:ascii="Times New Roman" w:hAnsi="Times New Roman" w:cs="Times New Roman"/>
          <w:sz w:val="28"/>
          <w:szCs w:val="28"/>
        </w:rPr>
        <w:t xml:space="preserve">and, second, on both streamlining </w:t>
      </w:r>
      <w:r w:rsidR="00C96679">
        <w:rPr>
          <w:rFonts w:ascii="Times New Roman" w:hAnsi="Times New Roman" w:cs="Times New Roman"/>
          <w:sz w:val="28"/>
          <w:szCs w:val="28"/>
        </w:rPr>
        <w:t xml:space="preserve">the delivery of, </w:t>
      </w:r>
      <w:r w:rsidR="004666C5">
        <w:rPr>
          <w:rFonts w:ascii="Times New Roman" w:hAnsi="Times New Roman" w:cs="Times New Roman"/>
          <w:sz w:val="28"/>
          <w:szCs w:val="28"/>
        </w:rPr>
        <w:t>and reducing the volume of demands for</w:t>
      </w:r>
      <w:r w:rsidR="00AC157D">
        <w:rPr>
          <w:rFonts w:ascii="Times New Roman" w:hAnsi="Times New Roman" w:cs="Times New Roman"/>
          <w:sz w:val="28"/>
          <w:szCs w:val="28"/>
        </w:rPr>
        <w:t>,</w:t>
      </w:r>
      <w:r w:rsidR="004666C5">
        <w:rPr>
          <w:rFonts w:ascii="Times New Roman" w:hAnsi="Times New Roman" w:cs="Times New Roman"/>
          <w:sz w:val="28"/>
          <w:szCs w:val="28"/>
        </w:rPr>
        <w:t xml:space="preserve"> health system services</w:t>
      </w:r>
      <w:r w:rsidR="00AC157D">
        <w:rPr>
          <w:rFonts w:ascii="Times New Roman" w:hAnsi="Times New Roman" w:cs="Times New Roman"/>
          <w:sz w:val="28"/>
          <w:szCs w:val="28"/>
        </w:rPr>
        <w:t xml:space="preserve"> from elderly patients.</w:t>
      </w:r>
      <w:r w:rsidR="00391656">
        <w:rPr>
          <w:rFonts w:ascii="Times New Roman" w:hAnsi="Times New Roman" w:cs="Times New Roman"/>
          <w:sz w:val="28"/>
          <w:szCs w:val="28"/>
        </w:rPr>
        <w:t xml:space="preserve"> Through these combined structural efforts, these health systems have</w:t>
      </w:r>
      <w:r w:rsidR="004666C5">
        <w:rPr>
          <w:rFonts w:ascii="Times New Roman" w:hAnsi="Times New Roman" w:cs="Times New Roman"/>
          <w:sz w:val="28"/>
          <w:szCs w:val="28"/>
        </w:rPr>
        <w:t xml:space="preserve"> sought to respond</w:t>
      </w:r>
      <w:r w:rsidR="00391656">
        <w:rPr>
          <w:rFonts w:ascii="Times New Roman" w:hAnsi="Times New Roman" w:cs="Times New Roman"/>
          <w:sz w:val="28"/>
          <w:szCs w:val="28"/>
        </w:rPr>
        <w:t xml:space="preserve"> to the constrained post-2008 fiscal</w:t>
      </w:r>
      <w:r w:rsidR="004666C5">
        <w:rPr>
          <w:rFonts w:ascii="Times New Roman" w:hAnsi="Times New Roman" w:cs="Times New Roman"/>
          <w:sz w:val="28"/>
          <w:szCs w:val="28"/>
        </w:rPr>
        <w:t xml:space="preserve"> environment with multiple efforts </w:t>
      </w:r>
      <w:r w:rsidR="00DD5077">
        <w:rPr>
          <w:rFonts w:ascii="Times New Roman" w:hAnsi="Times New Roman" w:cs="Times New Roman"/>
          <w:sz w:val="28"/>
          <w:szCs w:val="28"/>
        </w:rPr>
        <w:t xml:space="preserve">to improve the cost efficiency of </w:t>
      </w:r>
      <w:r w:rsidR="004666C5">
        <w:rPr>
          <w:rFonts w:ascii="Times New Roman" w:hAnsi="Times New Roman" w:cs="Times New Roman"/>
          <w:sz w:val="28"/>
          <w:szCs w:val="28"/>
        </w:rPr>
        <w:t xml:space="preserve">public </w:t>
      </w:r>
      <w:r w:rsidR="00DD5077">
        <w:rPr>
          <w:rFonts w:ascii="Times New Roman" w:hAnsi="Times New Roman" w:cs="Times New Roman"/>
          <w:sz w:val="28"/>
          <w:szCs w:val="28"/>
        </w:rPr>
        <w:t xml:space="preserve">service </w:t>
      </w:r>
      <w:r w:rsidR="004666C5">
        <w:rPr>
          <w:rFonts w:ascii="Times New Roman" w:hAnsi="Times New Roman" w:cs="Times New Roman"/>
          <w:sz w:val="28"/>
          <w:szCs w:val="28"/>
        </w:rPr>
        <w:t xml:space="preserve">management and </w:t>
      </w:r>
      <w:r w:rsidR="00DD5077">
        <w:rPr>
          <w:rFonts w:ascii="Times New Roman" w:hAnsi="Times New Roman" w:cs="Times New Roman"/>
          <w:sz w:val="28"/>
          <w:szCs w:val="28"/>
        </w:rPr>
        <w:t>delivery</w:t>
      </w:r>
      <w:r w:rsidR="004666C5">
        <w:rPr>
          <w:rFonts w:ascii="Times New Roman" w:hAnsi="Times New Roman" w:cs="Times New Roman"/>
          <w:sz w:val="28"/>
          <w:szCs w:val="28"/>
        </w:rPr>
        <w:t>.</w:t>
      </w:r>
    </w:p>
    <w:p w:rsidR="00470D88" w:rsidRDefault="00470D88" w:rsidP="00693C1D">
      <w:pPr>
        <w:pStyle w:val="NoSpacing"/>
        <w:rPr>
          <w:rFonts w:ascii="Times New Roman" w:hAnsi="Times New Roman" w:cs="Times New Roman"/>
          <w:sz w:val="28"/>
          <w:szCs w:val="28"/>
        </w:rPr>
      </w:pPr>
    </w:p>
    <w:p w:rsidR="005D498A" w:rsidRPr="00C81390" w:rsidRDefault="00470D88" w:rsidP="00693C1D">
      <w:pPr>
        <w:pStyle w:val="NoSpacing"/>
        <w:rPr>
          <w:rFonts w:ascii="Times New Roman" w:hAnsi="Times New Roman" w:cs="Times New Roman"/>
          <w:sz w:val="28"/>
          <w:szCs w:val="28"/>
        </w:rPr>
      </w:pPr>
      <w:r>
        <w:rPr>
          <w:rFonts w:ascii="Times New Roman" w:hAnsi="Times New Roman" w:cs="Times New Roman"/>
          <w:sz w:val="28"/>
          <w:szCs w:val="28"/>
        </w:rPr>
        <w:t xml:space="preserve">The article concludes with several parallels to recent and current decision-making strategies in several of the Canadian provinces.  </w:t>
      </w:r>
      <w:r w:rsidR="004666C5">
        <w:rPr>
          <w:rFonts w:ascii="Times New Roman" w:hAnsi="Times New Roman" w:cs="Times New Roman"/>
          <w:sz w:val="28"/>
          <w:szCs w:val="28"/>
        </w:rPr>
        <w:t xml:space="preserve"> </w:t>
      </w:r>
    </w:p>
    <w:p w:rsidR="00C81390" w:rsidRDefault="00C81390" w:rsidP="00670412">
      <w:pPr>
        <w:pStyle w:val="NoSpacing"/>
        <w:ind w:left="1080"/>
        <w:rPr>
          <w:rFonts w:ascii="Times New Roman" w:hAnsi="Times New Roman" w:cs="Times New Roman"/>
          <w:b/>
          <w:sz w:val="28"/>
          <w:szCs w:val="28"/>
        </w:rPr>
      </w:pPr>
    </w:p>
    <w:p w:rsidR="00C81390" w:rsidRDefault="00C81390" w:rsidP="00670412">
      <w:pPr>
        <w:pStyle w:val="NoSpacing"/>
        <w:ind w:left="1080"/>
        <w:rPr>
          <w:rFonts w:ascii="Times New Roman" w:hAnsi="Times New Roman" w:cs="Times New Roman"/>
          <w:b/>
          <w:sz w:val="28"/>
          <w:szCs w:val="28"/>
        </w:rPr>
      </w:pPr>
    </w:p>
    <w:p w:rsidR="002C010C" w:rsidRPr="00B46F41" w:rsidRDefault="002C010C" w:rsidP="002C010C">
      <w:pPr>
        <w:pStyle w:val="NoSpacing"/>
        <w:numPr>
          <w:ilvl w:val="0"/>
          <w:numId w:val="17"/>
        </w:numPr>
        <w:rPr>
          <w:rFonts w:ascii="Times New Roman" w:hAnsi="Times New Roman" w:cs="Times New Roman"/>
          <w:b/>
          <w:sz w:val="28"/>
          <w:szCs w:val="28"/>
        </w:rPr>
      </w:pPr>
      <w:r>
        <w:rPr>
          <w:rFonts w:ascii="Times New Roman" w:hAnsi="Times New Roman" w:cs="Times New Roman"/>
          <w:b/>
          <w:sz w:val="28"/>
          <w:szCs w:val="28"/>
        </w:rPr>
        <w:t>The European Health Sector’s Political Economy Problem</w:t>
      </w:r>
    </w:p>
    <w:p w:rsidR="00670412" w:rsidRDefault="00670412" w:rsidP="002C010C">
      <w:pPr>
        <w:pStyle w:val="NoSpacing"/>
        <w:ind w:left="1485"/>
        <w:rPr>
          <w:rFonts w:ascii="Times New Roman" w:hAnsi="Times New Roman" w:cs="Times New Roman"/>
          <w:b/>
          <w:sz w:val="28"/>
          <w:szCs w:val="28"/>
        </w:rPr>
      </w:pPr>
    </w:p>
    <w:p w:rsidR="00691458" w:rsidRDefault="00691458" w:rsidP="00691458">
      <w:pPr>
        <w:pStyle w:val="NoSpacing"/>
        <w:rPr>
          <w:rFonts w:ascii="Times New Roman" w:hAnsi="Times New Roman" w:cs="Times New Roman"/>
          <w:b/>
          <w:sz w:val="28"/>
          <w:szCs w:val="28"/>
        </w:rPr>
      </w:pPr>
    </w:p>
    <w:p w:rsidR="00D00DFF" w:rsidRDefault="00691458" w:rsidP="001A6550">
      <w:pPr>
        <w:pStyle w:val="NoSpacing"/>
        <w:rPr>
          <w:rFonts w:ascii="Times New Roman" w:hAnsi="Times New Roman" w:cs="Times New Roman"/>
          <w:sz w:val="28"/>
          <w:szCs w:val="28"/>
        </w:rPr>
      </w:pPr>
      <w:r w:rsidRPr="00691458">
        <w:rPr>
          <w:rFonts w:ascii="Times New Roman" w:hAnsi="Times New Roman" w:cs="Times New Roman"/>
          <w:sz w:val="28"/>
          <w:szCs w:val="28"/>
        </w:rPr>
        <w:t>The onset of the 2008 financial crisis signaled a fundamental s</w:t>
      </w:r>
      <w:r>
        <w:rPr>
          <w:rFonts w:ascii="Times New Roman" w:hAnsi="Times New Roman" w:cs="Times New Roman"/>
          <w:sz w:val="28"/>
          <w:szCs w:val="28"/>
        </w:rPr>
        <w:t>hift in the economic foundation</w:t>
      </w:r>
      <w:r w:rsidR="00625223">
        <w:rPr>
          <w:rFonts w:ascii="Times New Roman" w:hAnsi="Times New Roman" w:cs="Times New Roman"/>
          <w:sz w:val="28"/>
          <w:szCs w:val="28"/>
        </w:rPr>
        <w:t xml:space="preserve"> of</w:t>
      </w:r>
      <w:r w:rsidRPr="00691458">
        <w:rPr>
          <w:rFonts w:ascii="Times New Roman" w:hAnsi="Times New Roman" w:cs="Times New Roman"/>
          <w:sz w:val="28"/>
          <w:szCs w:val="28"/>
        </w:rPr>
        <w:t xml:space="preserve"> E</w:t>
      </w:r>
      <w:r w:rsidR="00625223">
        <w:rPr>
          <w:rFonts w:ascii="Times New Roman" w:hAnsi="Times New Roman" w:cs="Times New Roman"/>
          <w:sz w:val="28"/>
          <w:szCs w:val="28"/>
        </w:rPr>
        <w:t>uropean health care systems</w:t>
      </w:r>
      <w:r w:rsidRPr="00691458">
        <w:rPr>
          <w:rFonts w:ascii="Times New Roman" w:hAnsi="Times New Roman" w:cs="Times New Roman"/>
          <w:sz w:val="28"/>
          <w:szCs w:val="28"/>
        </w:rPr>
        <w:t xml:space="preserve">. </w:t>
      </w:r>
      <w:r w:rsidR="00625223">
        <w:rPr>
          <w:rFonts w:ascii="Times New Roman" w:hAnsi="Times New Roman" w:cs="Times New Roman"/>
          <w:sz w:val="28"/>
          <w:szCs w:val="28"/>
        </w:rPr>
        <w:t>Since the 1960s</w:t>
      </w:r>
      <w:r>
        <w:rPr>
          <w:rFonts w:ascii="Times New Roman" w:hAnsi="Times New Roman" w:cs="Times New Roman"/>
          <w:sz w:val="28"/>
          <w:szCs w:val="28"/>
        </w:rPr>
        <w:t xml:space="preserve">, </w:t>
      </w:r>
      <w:r w:rsidR="0048458D">
        <w:rPr>
          <w:rFonts w:ascii="Times New Roman" w:hAnsi="Times New Roman" w:cs="Times New Roman"/>
          <w:sz w:val="28"/>
          <w:szCs w:val="28"/>
        </w:rPr>
        <w:t xml:space="preserve">long-term </w:t>
      </w:r>
      <w:r>
        <w:rPr>
          <w:rFonts w:ascii="Times New Roman" w:hAnsi="Times New Roman" w:cs="Times New Roman"/>
          <w:sz w:val="28"/>
          <w:szCs w:val="28"/>
        </w:rPr>
        <w:t>economic growth, interrupted by the occasional re</w:t>
      </w:r>
      <w:r w:rsidR="0048458D">
        <w:rPr>
          <w:rFonts w:ascii="Times New Roman" w:hAnsi="Times New Roman" w:cs="Times New Roman"/>
          <w:sz w:val="28"/>
          <w:szCs w:val="28"/>
        </w:rPr>
        <w:t>cession, had provided</w:t>
      </w:r>
      <w:r>
        <w:rPr>
          <w:rFonts w:ascii="Times New Roman" w:hAnsi="Times New Roman" w:cs="Times New Roman"/>
          <w:sz w:val="28"/>
          <w:szCs w:val="28"/>
        </w:rPr>
        <w:t xml:space="preserve"> new sources of private sector earnings that could be taxed to provide increased public sector services. Even the</w:t>
      </w:r>
      <w:r w:rsidR="0048458D">
        <w:rPr>
          <w:rFonts w:ascii="Times New Roman" w:hAnsi="Times New Roman" w:cs="Times New Roman"/>
          <w:sz w:val="28"/>
          <w:szCs w:val="28"/>
        </w:rPr>
        <w:t xml:space="preserve"> longer slowdown that accompanied</w:t>
      </w:r>
      <w:r>
        <w:rPr>
          <w:rFonts w:ascii="Times New Roman" w:hAnsi="Times New Roman" w:cs="Times New Roman"/>
          <w:sz w:val="28"/>
          <w:szCs w:val="28"/>
        </w:rPr>
        <w:t xml:space="preserve"> oil pric</w:t>
      </w:r>
      <w:r w:rsidR="0048458D">
        <w:rPr>
          <w:rFonts w:ascii="Times New Roman" w:hAnsi="Times New Roman" w:cs="Times New Roman"/>
          <w:sz w:val="28"/>
          <w:szCs w:val="28"/>
        </w:rPr>
        <w:t>e hikes of 1973 and 197</w:t>
      </w:r>
      <w:r w:rsidR="00000BF7">
        <w:rPr>
          <w:rFonts w:ascii="Times New Roman" w:hAnsi="Times New Roman" w:cs="Times New Roman"/>
          <w:sz w:val="28"/>
          <w:szCs w:val="28"/>
        </w:rPr>
        <w:t xml:space="preserve">8 </w:t>
      </w:r>
      <w:r w:rsidR="0048458D">
        <w:rPr>
          <w:rFonts w:ascii="Times New Roman" w:hAnsi="Times New Roman" w:cs="Times New Roman"/>
          <w:sz w:val="28"/>
          <w:szCs w:val="28"/>
        </w:rPr>
        <w:t>gave way to rapid growth in the 1980s and 1990s.</w:t>
      </w:r>
    </w:p>
    <w:p w:rsidR="00610B2A" w:rsidRDefault="00610B2A" w:rsidP="001A6550">
      <w:pPr>
        <w:pStyle w:val="NoSpacing"/>
        <w:rPr>
          <w:rFonts w:ascii="Times New Roman" w:hAnsi="Times New Roman" w:cs="Times New Roman"/>
          <w:sz w:val="28"/>
          <w:szCs w:val="28"/>
        </w:rPr>
      </w:pPr>
    </w:p>
    <w:p w:rsidR="003F2A02" w:rsidRDefault="005C44B6" w:rsidP="004248B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9736D6">
        <w:rPr>
          <w:rFonts w:ascii="Times New Roman" w:hAnsi="Times New Roman" w:cs="Times New Roman"/>
          <w:sz w:val="28"/>
          <w:szCs w:val="28"/>
        </w:rPr>
        <w:t xml:space="preserve">economic </w:t>
      </w:r>
      <w:r>
        <w:rPr>
          <w:rFonts w:ascii="Times New Roman" w:hAnsi="Times New Roman" w:cs="Times New Roman"/>
          <w:sz w:val="28"/>
          <w:szCs w:val="28"/>
        </w:rPr>
        <w:t>growth problems triggered by the</w:t>
      </w:r>
      <w:r w:rsidR="00610B2A">
        <w:rPr>
          <w:rFonts w:ascii="Times New Roman" w:hAnsi="Times New Roman" w:cs="Times New Roman"/>
          <w:sz w:val="28"/>
          <w:szCs w:val="28"/>
        </w:rPr>
        <w:t xml:space="preserve"> 2008</w:t>
      </w:r>
      <w:r>
        <w:rPr>
          <w:rFonts w:ascii="Times New Roman" w:hAnsi="Times New Roman" w:cs="Times New Roman"/>
          <w:sz w:val="28"/>
          <w:szCs w:val="28"/>
        </w:rPr>
        <w:t xml:space="preserve"> crisis</w:t>
      </w:r>
      <w:r w:rsidR="00610B2A">
        <w:rPr>
          <w:rFonts w:ascii="Times New Roman" w:hAnsi="Times New Roman" w:cs="Times New Roman"/>
          <w:sz w:val="28"/>
          <w:szCs w:val="28"/>
        </w:rPr>
        <w:t xml:space="preserve">, however, </w:t>
      </w:r>
      <w:r w:rsidR="003A34D4">
        <w:rPr>
          <w:rFonts w:ascii="Times New Roman" w:hAnsi="Times New Roman" w:cs="Times New Roman"/>
          <w:sz w:val="28"/>
          <w:szCs w:val="28"/>
        </w:rPr>
        <w:t xml:space="preserve">have </w:t>
      </w:r>
      <w:r w:rsidR="00610B2A">
        <w:rPr>
          <w:rFonts w:ascii="Times New Roman" w:hAnsi="Times New Roman" w:cs="Times New Roman"/>
          <w:sz w:val="28"/>
          <w:szCs w:val="28"/>
        </w:rPr>
        <w:t xml:space="preserve">proved to be on a different scale. </w:t>
      </w:r>
      <w:r w:rsidR="008107C9">
        <w:rPr>
          <w:rFonts w:ascii="Times New Roman" w:hAnsi="Times New Roman" w:cs="Times New Roman"/>
          <w:sz w:val="28"/>
          <w:szCs w:val="28"/>
        </w:rPr>
        <w:t xml:space="preserve">Only in 2017, </w:t>
      </w:r>
      <w:r w:rsidR="008E023D">
        <w:rPr>
          <w:rFonts w:ascii="Times New Roman" w:hAnsi="Times New Roman" w:cs="Times New Roman"/>
          <w:sz w:val="28"/>
          <w:szCs w:val="28"/>
        </w:rPr>
        <w:t xml:space="preserve">nine years later, is there </w:t>
      </w:r>
      <w:r w:rsidR="00BC575D">
        <w:rPr>
          <w:rFonts w:ascii="Times New Roman" w:hAnsi="Times New Roman" w:cs="Times New Roman"/>
          <w:sz w:val="28"/>
          <w:szCs w:val="28"/>
        </w:rPr>
        <w:t xml:space="preserve">now </w:t>
      </w:r>
      <w:r w:rsidR="002C612C">
        <w:rPr>
          <w:rFonts w:ascii="Times New Roman" w:hAnsi="Times New Roman" w:cs="Times New Roman"/>
          <w:sz w:val="28"/>
          <w:szCs w:val="28"/>
        </w:rPr>
        <w:t>serious</w:t>
      </w:r>
      <w:r w:rsidR="008E023D">
        <w:rPr>
          <w:rFonts w:ascii="Times New Roman" w:hAnsi="Times New Roman" w:cs="Times New Roman"/>
          <w:sz w:val="28"/>
          <w:szCs w:val="28"/>
        </w:rPr>
        <w:t xml:space="preserve"> discussion ab</w:t>
      </w:r>
      <w:r w:rsidR="002C612C">
        <w:rPr>
          <w:rFonts w:ascii="Times New Roman" w:hAnsi="Times New Roman" w:cs="Times New Roman"/>
          <w:sz w:val="28"/>
          <w:szCs w:val="28"/>
        </w:rPr>
        <w:t>out the beginnings of</w:t>
      </w:r>
      <w:r w:rsidR="008E023D">
        <w:rPr>
          <w:rFonts w:ascii="Times New Roman" w:hAnsi="Times New Roman" w:cs="Times New Roman"/>
          <w:sz w:val="28"/>
          <w:szCs w:val="28"/>
        </w:rPr>
        <w:t xml:space="preserve"> economic recovery across Europe (Sylvers, 2017</w:t>
      </w:r>
      <w:r w:rsidR="003A34D4">
        <w:rPr>
          <w:rFonts w:ascii="Times New Roman" w:hAnsi="Times New Roman" w:cs="Times New Roman"/>
          <w:sz w:val="28"/>
          <w:szCs w:val="28"/>
        </w:rPr>
        <w:t>; Jones, 2017</w:t>
      </w:r>
      <w:r w:rsidR="008E023D">
        <w:rPr>
          <w:rFonts w:ascii="Times New Roman" w:hAnsi="Times New Roman" w:cs="Times New Roman"/>
          <w:sz w:val="28"/>
          <w:szCs w:val="28"/>
        </w:rPr>
        <w:t xml:space="preserve">). </w:t>
      </w:r>
      <w:r w:rsidR="00800AEC">
        <w:rPr>
          <w:rFonts w:ascii="Times New Roman" w:hAnsi="Times New Roman" w:cs="Times New Roman"/>
          <w:sz w:val="28"/>
          <w:szCs w:val="28"/>
        </w:rPr>
        <w:t>Recent</w:t>
      </w:r>
      <w:r w:rsidR="008F73CB">
        <w:rPr>
          <w:rFonts w:ascii="Times New Roman" w:hAnsi="Times New Roman" w:cs="Times New Roman"/>
          <w:sz w:val="28"/>
          <w:szCs w:val="28"/>
        </w:rPr>
        <w:t xml:space="preserve"> numbers about economic growth in Europe, while a bit better in the </w:t>
      </w:r>
      <w:r w:rsidR="005959BA">
        <w:rPr>
          <w:rFonts w:ascii="Times New Roman" w:hAnsi="Times New Roman" w:cs="Times New Roman"/>
          <w:sz w:val="28"/>
          <w:szCs w:val="28"/>
        </w:rPr>
        <w:t xml:space="preserve">first quarter of 2017 (Donnan et al, 2017), </w:t>
      </w:r>
      <w:r w:rsidR="008F73CB">
        <w:rPr>
          <w:rFonts w:ascii="Times New Roman" w:hAnsi="Times New Roman" w:cs="Times New Roman"/>
          <w:sz w:val="28"/>
          <w:szCs w:val="28"/>
        </w:rPr>
        <w:t xml:space="preserve">demonstrate the </w:t>
      </w:r>
      <w:r w:rsidR="009736D6">
        <w:rPr>
          <w:rFonts w:ascii="Times New Roman" w:hAnsi="Times New Roman" w:cs="Times New Roman"/>
          <w:sz w:val="28"/>
          <w:szCs w:val="28"/>
        </w:rPr>
        <w:t xml:space="preserve">extent to which </w:t>
      </w:r>
      <w:r w:rsidR="008F73CB">
        <w:rPr>
          <w:rFonts w:ascii="Times New Roman" w:hAnsi="Times New Roman" w:cs="Times New Roman"/>
          <w:sz w:val="28"/>
          <w:szCs w:val="28"/>
        </w:rPr>
        <w:t xml:space="preserve">many European countries still have not </w:t>
      </w:r>
      <w:r w:rsidR="003F2A02">
        <w:rPr>
          <w:rFonts w:ascii="Times New Roman" w:hAnsi="Times New Roman" w:cs="Times New Roman"/>
          <w:sz w:val="28"/>
          <w:szCs w:val="28"/>
        </w:rPr>
        <w:t>returned to the 3% per year level</w:t>
      </w:r>
      <w:r w:rsidR="008F73CB">
        <w:rPr>
          <w:rFonts w:ascii="Times New Roman" w:hAnsi="Times New Roman" w:cs="Times New Roman"/>
          <w:sz w:val="28"/>
          <w:szCs w:val="28"/>
        </w:rPr>
        <w:t xml:space="preserve"> that </w:t>
      </w:r>
      <w:r w:rsidR="003F2A02">
        <w:rPr>
          <w:rFonts w:ascii="Times New Roman" w:hAnsi="Times New Roman" w:cs="Times New Roman"/>
          <w:sz w:val="28"/>
          <w:szCs w:val="28"/>
        </w:rPr>
        <w:t>in the post-W</w:t>
      </w:r>
      <w:r w:rsidR="009736D6">
        <w:rPr>
          <w:rFonts w:ascii="Times New Roman" w:hAnsi="Times New Roman" w:cs="Times New Roman"/>
          <w:sz w:val="28"/>
          <w:szCs w:val="28"/>
        </w:rPr>
        <w:t>orld War II period</w:t>
      </w:r>
      <w:r w:rsidR="003F2A02">
        <w:rPr>
          <w:rFonts w:ascii="Times New Roman" w:hAnsi="Times New Roman" w:cs="Times New Roman"/>
          <w:sz w:val="28"/>
          <w:szCs w:val="28"/>
        </w:rPr>
        <w:t xml:space="preserve"> </w:t>
      </w:r>
      <w:r w:rsidR="009736D6">
        <w:rPr>
          <w:rFonts w:ascii="Times New Roman" w:hAnsi="Times New Roman" w:cs="Times New Roman"/>
          <w:sz w:val="28"/>
          <w:szCs w:val="28"/>
        </w:rPr>
        <w:t>was seen as</w:t>
      </w:r>
      <w:r w:rsidR="008F73CB">
        <w:rPr>
          <w:rFonts w:ascii="Times New Roman" w:hAnsi="Times New Roman" w:cs="Times New Roman"/>
          <w:sz w:val="28"/>
          <w:szCs w:val="28"/>
        </w:rPr>
        <w:t xml:space="preserve"> normal economic growth. Indeed, </w:t>
      </w:r>
      <w:r w:rsidR="003F2A02">
        <w:rPr>
          <w:rFonts w:ascii="Times New Roman" w:hAnsi="Times New Roman" w:cs="Times New Roman"/>
          <w:sz w:val="28"/>
          <w:szCs w:val="28"/>
        </w:rPr>
        <w:t xml:space="preserve">only in </w:t>
      </w:r>
      <w:r w:rsidR="00B337D2">
        <w:rPr>
          <w:rFonts w:ascii="Times New Roman" w:hAnsi="Times New Roman" w:cs="Times New Roman"/>
          <w:sz w:val="28"/>
          <w:szCs w:val="28"/>
        </w:rPr>
        <w:t>the 3</w:t>
      </w:r>
      <w:r w:rsidR="00B337D2" w:rsidRPr="00B337D2">
        <w:rPr>
          <w:rFonts w:ascii="Times New Roman" w:hAnsi="Times New Roman" w:cs="Times New Roman"/>
          <w:sz w:val="28"/>
          <w:szCs w:val="28"/>
          <w:vertAlign w:val="superscript"/>
        </w:rPr>
        <w:t>rd</w:t>
      </w:r>
      <w:r w:rsidR="00B337D2">
        <w:rPr>
          <w:rFonts w:ascii="Times New Roman" w:hAnsi="Times New Roman" w:cs="Times New Roman"/>
          <w:sz w:val="28"/>
          <w:szCs w:val="28"/>
        </w:rPr>
        <w:t xml:space="preserve"> quarter of 2013</w:t>
      </w:r>
      <w:r w:rsidR="003F2A02">
        <w:rPr>
          <w:rFonts w:ascii="Times New Roman" w:hAnsi="Times New Roman" w:cs="Times New Roman"/>
          <w:sz w:val="28"/>
          <w:szCs w:val="28"/>
        </w:rPr>
        <w:t xml:space="preserve"> </w:t>
      </w:r>
      <w:r w:rsidR="00B337D2">
        <w:rPr>
          <w:rFonts w:ascii="Times New Roman" w:hAnsi="Times New Roman" w:cs="Times New Roman"/>
          <w:sz w:val="28"/>
          <w:szCs w:val="28"/>
        </w:rPr>
        <w:t>did</w:t>
      </w:r>
      <w:r w:rsidR="005959BA">
        <w:rPr>
          <w:rFonts w:ascii="Times New Roman" w:hAnsi="Times New Roman" w:cs="Times New Roman"/>
          <w:sz w:val="28"/>
          <w:szCs w:val="28"/>
        </w:rPr>
        <w:t xml:space="preserve"> the </w:t>
      </w:r>
      <w:r w:rsidR="009736D6">
        <w:rPr>
          <w:rFonts w:ascii="Times New Roman" w:hAnsi="Times New Roman" w:cs="Times New Roman"/>
          <w:sz w:val="28"/>
          <w:szCs w:val="28"/>
        </w:rPr>
        <w:t xml:space="preserve">UK </w:t>
      </w:r>
      <w:r w:rsidR="003F2A02">
        <w:rPr>
          <w:rFonts w:ascii="Times New Roman" w:hAnsi="Times New Roman" w:cs="Times New Roman"/>
          <w:sz w:val="28"/>
          <w:szCs w:val="28"/>
        </w:rPr>
        <w:t>recover</w:t>
      </w:r>
      <w:r w:rsidR="008F73CB">
        <w:rPr>
          <w:rFonts w:ascii="Times New Roman" w:hAnsi="Times New Roman" w:cs="Times New Roman"/>
          <w:sz w:val="28"/>
          <w:szCs w:val="28"/>
        </w:rPr>
        <w:t xml:space="preserve"> to the point of pro</w:t>
      </w:r>
      <w:r w:rsidR="00B337D2">
        <w:rPr>
          <w:rFonts w:ascii="Times New Roman" w:hAnsi="Times New Roman" w:cs="Times New Roman"/>
          <w:sz w:val="28"/>
          <w:szCs w:val="28"/>
        </w:rPr>
        <w:t>ducing the same economic output</w:t>
      </w:r>
      <w:r w:rsidR="008F73CB">
        <w:rPr>
          <w:rFonts w:ascii="Times New Roman" w:hAnsi="Times New Roman" w:cs="Times New Roman"/>
          <w:sz w:val="28"/>
          <w:szCs w:val="28"/>
        </w:rPr>
        <w:t xml:space="preserve"> produced in 2006</w:t>
      </w:r>
      <w:r w:rsidR="00B337D2">
        <w:rPr>
          <w:rFonts w:ascii="Times New Roman" w:hAnsi="Times New Roman" w:cs="Times New Roman"/>
          <w:sz w:val="28"/>
          <w:szCs w:val="28"/>
        </w:rPr>
        <w:t>, while Italy and Portugal still have not returned to their pre-crisis GDP levels (Romei, 2017</w:t>
      </w:r>
      <w:r w:rsidR="008F73CB">
        <w:rPr>
          <w:rFonts w:ascii="Times New Roman" w:hAnsi="Times New Roman" w:cs="Times New Roman"/>
          <w:sz w:val="28"/>
          <w:szCs w:val="28"/>
        </w:rPr>
        <w:t>).</w:t>
      </w:r>
      <w:r w:rsidR="00B337D2">
        <w:rPr>
          <w:rFonts w:ascii="Times New Roman" w:hAnsi="Times New Roman" w:cs="Times New Roman"/>
          <w:sz w:val="28"/>
          <w:szCs w:val="28"/>
        </w:rPr>
        <w:t xml:space="preserve"> Also</w:t>
      </w:r>
      <w:r w:rsidR="001F5311">
        <w:rPr>
          <w:rFonts w:ascii="Times New Roman" w:hAnsi="Times New Roman" w:cs="Times New Roman"/>
          <w:sz w:val="28"/>
          <w:szCs w:val="28"/>
        </w:rPr>
        <w:t>,</w:t>
      </w:r>
      <w:r w:rsidR="00B337D2">
        <w:rPr>
          <w:rFonts w:ascii="Times New Roman" w:hAnsi="Times New Roman" w:cs="Times New Roman"/>
          <w:sz w:val="28"/>
          <w:szCs w:val="28"/>
        </w:rPr>
        <w:t xml:space="preserve"> </w:t>
      </w:r>
      <w:r w:rsidR="00800AEC">
        <w:rPr>
          <w:rFonts w:ascii="Times New Roman" w:hAnsi="Times New Roman" w:cs="Times New Roman"/>
          <w:sz w:val="28"/>
          <w:szCs w:val="28"/>
        </w:rPr>
        <w:t>Fr</w:t>
      </w:r>
      <w:r w:rsidR="00B337D2">
        <w:rPr>
          <w:rFonts w:ascii="Times New Roman" w:hAnsi="Times New Roman" w:cs="Times New Roman"/>
          <w:sz w:val="28"/>
          <w:szCs w:val="28"/>
        </w:rPr>
        <w:t>ance has yet to reach its</w:t>
      </w:r>
      <w:r w:rsidR="005959BA">
        <w:rPr>
          <w:rFonts w:ascii="Times New Roman" w:hAnsi="Times New Roman" w:cs="Times New Roman"/>
          <w:sz w:val="28"/>
          <w:szCs w:val="28"/>
        </w:rPr>
        <w:t xml:space="preserve"> </w:t>
      </w:r>
      <w:r w:rsidR="00800AEC">
        <w:rPr>
          <w:rFonts w:ascii="Times New Roman" w:hAnsi="Times New Roman" w:cs="Times New Roman"/>
          <w:sz w:val="28"/>
          <w:szCs w:val="28"/>
        </w:rPr>
        <w:t xml:space="preserve">2008 </w:t>
      </w:r>
      <w:r w:rsidR="00B337D2">
        <w:rPr>
          <w:rFonts w:ascii="Times New Roman" w:hAnsi="Times New Roman" w:cs="Times New Roman"/>
          <w:sz w:val="28"/>
          <w:szCs w:val="28"/>
        </w:rPr>
        <w:t xml:space="preserve">GDP </w:t>
      </w:r>
      <w:r w:rsidR="00800AEC">
        <w:rPr>
          <w:rFonts w:ascii="Times New Roman" w:hAnsi="Times New Roman" w:cs="Times New Roman"/>
          <w:sz w:val="28"/>
          <w:szCs w:val="28"/>
        </w:rPr>
        <w:t xml:space="preserve">production level (Ip, 2017). </w:t>
      </w:r>
      <w:r w:rsidR="00D06B56">
        <w:rPr>
          <w:rFonts w:ascii="Times New Roman" w:hAnsi="Times New Roman" w:cs="Times New Roman"/>
          <w:sz w:val="28"/>
          <w:szCs w:val="28"/>
        </w:rPr>
        <w:t>The</w:t>
      </w:r>
      <w:r w:rsidR="003E1036">
        <w:rPr>
          <w:rFonts w:ascii="Times New Roman" w:hAnsi="Times New Roman" w:cs="Times New Roman"/>
          <w:sz w:val="28"/>
          <w:szCs w:val="28"/>
        </w:rPr>
        <w:t xml:space="preserve"> OECD</w:t>
      </w:r>
      <w:r w:rsidR="00D06B56">
        <w:rPr>
          <w:rFonts w:ascii="Times New Roman" w:hAnsi="Times New Roman" w:cs="Times New Roman"/>
          <w:sz w:val="28"/>
          <w:szCs w:val="28"/>
        </w:rPr>
        <w:t>’s</w:t>
      </w:r>
      <w:r w:rsidR="003E1036">
        <w:rPr>
          <w:rFonts w:ascii="Times New Roman" w:hAnsi="Times New Roman" w:cs="Times New Roman"/>
          <w:sz w:val="28"/>
          <w:szCs w:val="28"/>
        </w:rPr>
        <w:t xml:space="preserve"> economic forecast </w:t>
      </w:r>
      <w:r w:rsidR="00800AEC">
        <w:rPr>
          <w:rFonts w:ascii="Times New Roman" w:hAnsi="Times New Roman" w:cs="Times New Roman"/>
          <w:sz w:val="28"/>
          <w:szCs w:val="28"/>
        </w:rPr>
        <w:t xml:space="preserve">for Europe </w:t>
      </w:r>
      <w:r w:rsidR="003E1036">
        <w:rPr>
          <w:rFonts w:ascii="Times New Roman" w:hAnsi="Times New Roman" w:cs="Times New Roman"/>
          <w:sz w:val="28"/>
          <w:szCs w:val="28"/>
        </w:rPr>
        <w:t>released on 7 March 2017 emphasized the need for a “durable</w:t>
      </w:r>
      <w:r w:rsidR="000D5C82">
        <w:rPr>
          <w:rFonts w:ascii="Times New Roman" w:hAnsi="Times New Roman" w:cs="Times New Roman"/>
          <w:sz w:val="28"/>
          <w:szCs w:val="28"/>
        </w:rPr>
        <w:t xml:space="preserve"> exi</w:t>
      </w:r>
      <w:r w:rsidR="003E1036">
        <w:rPr>
          <w:rFonts w:ascii="Times New Roman" w:hAnsi="Times New Roman" w:cs="Times New Roman"/>
          <w:sz w:val="28"/>
          <w:szCs w:val="28"/>
        </w:rPr>
        <w:t>t from the low-growth trap” (</w:t>
      </w:r>
      <w:r w:rsidR="000D5C82">
        <w:rPr>
          <w:rFonts w:ascii="Times New Roman" w:hAnsi="Times New Roman" w:cs="Times New Roman"/>
          <w:sz w:val="28"/>
          <w:szCs w:val="28"/>
        </w:rPr>
        <w:t>Giles, 2017).</w:t>
      </w:r>
      <w:r w:rsidR="004A5D27">
        <w:rPr>
          <w:rFonts w:ascii="Times New Roman" w:hAnsi="Times New Roman" w:cs="Times New Roman"/>
          <w:sz w:val="28"/>
          <w:szCs w:val="28"/>
        </w:rPr>
        <w:t xml:space="preserve"> </w:t>
      </w:r>
    </w:p>
    <w:p w:rsidR="003F2A02" w:rsidRDefault="003F2A02" w:rsidP="004248B7">
      <w:pPr>
        <w:pStyle w:val="NoSpacing"/>
        <w:rPr>
          <w:rFonts w:ascii="Times New Roman" w:hAnsi="Times New Roman" w:cs="Times New Roman"/>
          <w:sz w:val="28"/>
          <w:szCs w:val="28"/>
        </w:rPr>
      </w:pPr>
    </w:p>
    <w:p w:rsidR="003F2A02" w:rsidRDefault="008F73CB" w:rsidP="004248B7">
      <w:pPr>
        <w:pStyle w:val="NoSpacing"/>
        <w:rPr>
          <w:rFonts w:ascii="Times New Roman" w:hAnsi="Times New Roman" w:cs="Times New Roman"/>
          <w:sz w:val="28"/>
          <w:szCs w:val="28"/>
        </w:rPr>
      </w:pPr>
      <w:r>
        <w:rPr>
          <w:rFonts w:ascii="Times New Roman" w:hAnsi="Times New Roman" w:cs="Times New Roman"/>
          <w:sz w:val="28"/>
          <w:szCs w:val="28"/>
        </w:rPr>
        <w:t xml:space="preserve">The most </w:t>
      </w:r>
      <w:r w:rsidR="00405861">
        <w:rPr>
          <w:rFonts w:ascii="Times New Roman" w:hAnsi="Times New Roman" w:cs="Times New Roman"/>
          <w:sz w:val="28"/>
          <w:szCs w:val="28"/>
        </w:rPr>
        <w:t>recent GDP projections for 2017</w:t>
      </w:r>
      <w:r w:rsidR="00AA7B25">
        <w:rPr>
          <w:rFonts w:ascii="Times New Roman" w:hAnsi="Times New Roman" w:cs="Times New Roman"/>
          <w:sz w:val="28"/>
          <w:szCs w:val="28"/>
        </w:rPr>
        <w:t xml:space="preserve"> (</w:t>
      </w:r>
      <w:r w:rsidR="003A0BDC">
        <w:rPr>
          <w:rFonts w:ascii="Times New Roman" w:hAnsi="Times New Roman" w:cs="Times New Roman"/>
          <w:sz w:val="28"/>
          <w:szCs w:val="28"/>
        </w:rPr>
        <w:t>Figure 1</w:t>
      </w:r>
      <w:r>
        <w:rPr>
          <w:rFonts w:ascii="Times New Roman" w:hAnsi="Times New Roman" w:cs="Times New Roman"/>
          <w:sz w:val="28"/>
          <w:szCs w:val="28"/>
        </w:rPr>
        <w:t xml:space="preserve">) show that </w:t>
      </w:r>
      <w:r w:rsidR="002B3E1E">
        <w:rPr>
          <w:rFonts w:ascii="Times New Roman" w:hAnsi="Times New Roman" w:cs="Times New Roman"/>
          <w:sz w:val="28"/>
          <w:szCs w:val="28"/>
        </w:rPr>
        <w:t xml:space="preserve">even </w:t>
      </w:r>
      <w:r>
        <w:rPr>
          <w:rFonts w:ascii="Times New Roman" w:hAnsi="Times New Roman" w:cs="Times New Roman"/>
          <w:sz w:val="28"/>
          <w:szCs w:val="28"/>
        </w:rPr>
        <w:t>the best performing European count</w:t>
      </w:r>
      <w:r w:rsidR="003F2A02">
        <w:rPr>
          <w:rFonts w:ascii="Times New Roman" w:hAnsi="Times New Roman" w:cs="Times New Roman"/>
          <w:sz w:val="28"/>
          <w:szCs w:val="28"/>
        </w:rPr>
        <w:t>ries – such as Germany</w:t>
      </w:r>
      <w:r w:rsidR="00405861">
        <w:rPr>
          <w:rFonts w:ascii="Times New Roman" w:hAnsi="Times New Roman" w:cs="Times New Roman"/>
          <w:sz w:val="28"/>
          <w:szCs w:val="28"/>
        </w:rPr>
        <w:t xml:space="preserve"> at 1.6</w:t>
      </w:r>
      <w:r w:rsidR="002B3E1E">
        <w:rPr>
          <w:rFonts w:ascii="Times New Roman" w:hAnsi="Times New Roman" w:cs="Times New Roman"/>
          <w:sz w:val="28"/>
          <w:szCs w:val="28"/>
        </w:rPr>
        <w:t xml:space="preserve">% </w:t>
      </w:r>
      <w:r w:rsidR="003F2A02">
        <w:rPr>
          <w:rFonts w:ascii="Times New Roman" w:hAnsi="Times New Roman" w:cs="Times New Roman"/>
          <w:sz w:val="28"/>
          <w:szCs w:val="28"/>
        </w:rPr>
        <w:t xml:space="preserve">– </w:t>
      </w:r>
      <w:r w:rsidR="0012777C">
        <w:rPr>
          <w:rFonts w:ascii="Times New Roman" w:hAnsi="Times New Roman" w:cs="Times New Roman"/>
          <w:sz w:val="28"/>
          <w:szCs w:val="28"/>
        </w:rPr>
        <w:t xml:space="preserve">remain below </w:t>
      </w:r>
      <w:r>
        <w:rPr>
          <w:rFonts w:ascii="Times New Roman" w:hAnsi="Times New Roman" w:cs="Times New Roman"/>
          <w:sz w:val="28"/>
          <w:szCs w:val="28"/>
        </w:rPr>
        <w:t>the 2% per year economic gro</w:t>
      </w:r>
      <w:r w:rsidR="0012777C">
        <w:rPr>
          <w:rFonts w:ascii="Times New Roman" w:hAnsi="Times New Roman" w:cs="Times New Roman"/>
          <w:sz w:val="28"/>
          <w:szCs w:val="28"/>
        </w:rPr>
        <w:t>wth rate that economists</w:t>
      </w:r>
      <w:r>
        <w:rPr>
          <w:rFonts w:ascii="Times New Roman" w:hAnsi="Times New Roman" w:cs="Times New Roman"/>
          <w:sz w:val="28"/>
          <w:szCs w:val="28"/>
        </w:rPr>
        <w:t xml:space="preserve"> consider t</w:t>
      </w:r>
      <w:r w:rsidR="003F2A02">
        <w:rPr>
          <w:rFonts w:ascii="Times New Roman" w:hAnsi="Times New Roman" w:cs="Times New Roman"/>
          <w:sz w:val="28"/>
          <w:szCs w:val="28"/>
        </w:rPr>
        <w:t xml:space="preserve">he bare minimum for a sustainable </w:t>
      </w:r>
      <w:r w:rsidR="00797607">
        <w:rPr>
          <w:rFonts w:ascii="Times New Roman" w:hAnsi="Times New Roman" w:cs="Times New Roman"/>
          <w:sz w:val="28"/>
          <w:szCs w:val="28"/>
        </w:rPr>
        <w:t xml:space="preserve">economic expansion. </w:t>
      </w:r>
      <w:r>
        <w:rPr>
          <w:rFonts w:ascii="Times New Roman" w:hAnsi="Times New Roman" w:cs="Times New Roman"/>
          <w:sz w:val="28"/>
          <w:szCs w:val="28"/>
        </w:rPr>
        <w:t xml:space="preserve">Most of the rest of the continent </w:t>
      </w:r>
      <w:r w:rsidR="00832F15">
        <w:rPr>
          <w:rFonts w:ascii="Times New Roman" w:hAnsi="Times New Roman" w:cs="Times New Roman"/>
          <w:sz w:val="28"/>
          <w:szCs w:val="28"/>
        </w:rPr>
        <w:t xml:space="preserve">will </w:t>
      </w:r>
      <w:r>
        <w:rPr>
          <w:rFonts w:ascii="Times New Roman" w:hAnsi="Times New Roman" w:cs="Times New Roman"/>
          <w:sz w:val="28"/>
          <w:szCs w:val="28"/>
        </w:rPr>
        <w:t>c</w:t>
      </w:r>
      <w:r w:rsidR="00832F15">
        <w:rPr>
          <w:rFonts w:ascii="Times New Roman" w:hAnsi="Times New Roman" w:cs="Times New Roman"/>
          <w:sz w:val="28"/>
          <w:szCs w:val="28"/>
        </w:rPr>
        <w:t>ontinue to experience 1% to 2</w:t>
      </w:r>
      <w:r>
        <w:rPr>
          <w:rFonts w:ascii="Times New Roman" w:hAnsi="Times New Roman" w:cs="Times New Roman"/>
          <w:sz w:val="28"/>
          <w:szCs w:val="28"/>
        </w:rPr>
        <w:t>% as the best level of growth it can sustain.</w:t>
      </w:r>
      <w:r w:rsidR="008B7372">
        <w:rPr>
          <w:rFonts w:ascii="Times New Roman" w:hAnsi="Times New Roman" w:cs="Times New Roman"/>
          <w:sz w:val="28"/>
          <w:szCs w:val="28"/>
        </w:rPr>
        <w:t xml:space="preserve"> </w:t>
      </w:r>
      <w:r w:rsidR="0012777C">
        <w:rPr>
          <w:rFonts w:ascii="Times New Roman" w:hAnsi="Times New Roman" w:cs="Times New Roman"/>
          <w:sz w:val="28"/>
          <w:szCs w:val="28"/>
        </w:rPr>
        <w:t xml:space="preserve">Soberingly, </w:t>
      </w:r>
      <w:r w:rsidR="008B7372">
        <w:rPr>
          <w:rFonts w:ascii="Times New Roman" w:hAnsi="Times New Roman" w:cs="Times New Roman"/>
          <w:sz w:val="28"/>
          <w:szCs w:val="28"/>
        </w:rPr>
        <w:t xml:space="preserve">UK growth in the </w:t>
      </w:r>
      <w:r w:rsidR="00093916">
        <w:rPr>
          <w:rFonts w:ascii="Times New Roman" w:hAnsi="Times New Roman" w:cs="Times New Roman"/>
          <w:sz w:val="28"/>
          <w:szCs w:val="28"/>
        </w:rPr>
        <w:t>1st Quarter of 2017 was only 0.2</w:t>
      </w:r>
      <w:r w:rsidR="008B7372">
        <w:rPr>
          <w:rFonts w:ascii="Times New Roman" w:hAnsi="Times New Roman" w:cs="Times New Roman"/>
          <w:sz w:val="28"/>
          <w:szCs w:val="28"/>
        </w:rPr>
        <w:t>% at an annual rate</w:t>
      </w:r>
      <w:r w:rsidR="00093916">
        <w:rPr>
          <w:rFonts w:ascii="Times New Roman" w:hAnsi="Times New Roman" w:cs="Times New Roman"/>
          <w:sz w:val="28"/>
          <w:szCs w:val="28"/>
        </w:rPr>
        <w:t xml:space="preserve"> (Jackson, 2017)</w:t>
      </w:r>
      <w:r w:rsidR="008B7372">
        <w:rPr>
          <w:rFonts w:ascii="Times New Roman" w:hAnsi="Times New Roman" w:cs="Times New Roman"/>
          <w:sz w:val="28"/>
          <w:szCs w:val="28"/>
        </w:rPr>
        <w:t>, suggesting r</w:t>
      </w:r>
      <w:r w:rsidR="0071151C">
        <w:rPr>
          <w:rFonts w:ascii="Times New Roman" w:hAnsi="Times New Roman" w:cs="Times New Roman"/>
          <w:sz w:val="28"/>
          <w:szCs w:val="28"/>
        </w:rPr>
        <w:t>ecent gove</w:t>
      </w:r>
      <w:r w:rsidR="008B7372">
        <w:rPr>
          <w:rFonts w:ascii="Times New Roman" w:hAnsi="Times New Roman" w:cs="Times New Roman"/>
          <w:sz w:val="28"/>
          <w:szCs w:val="28"/>
        </w:rPr>
        <w:t xml:space="preserve">rnment projections for the UK, </w:t>
      </w:r>
      <w:r w:rsidR="008D6E69">
        <w:rPr>
          <w:rFonts w:ascii="Times New Roman" w:hAnsi="Times New Roman" w:cs="Times New Roman"/>
          <w:sz w:val="28"/>
          <w:szCs w:val="28"/>
        </w:rPr>
        <w:t>expect</w:t>
      </w:r>
      <w:r w:rsidR="008B7372">
        <w:rPr>
          <w:rFonts w:ascii="Times New Roman" w:hAnsi="Times New Roman" w:cs="Times New Roman"/>
          <w:sz w:val="28"/>
          <w:szCs w:val="28"/>
        </w:rPr>
        <w:t xml:space="preserve">ing GDP growth of </w:t>
      </w:r>
      <w:r w:rsidR="0071151C">
        <w:rPr>
          <w:rFonts w:ascii="Times New Roman" w:hAnsi="Times New Roman" w:cs="Times New Roman"/>
          <w:sz w:val="28"/>
          <w:szCs w:val="28"/>
        </w:rPr>
        <w:t>1.6% in 2018 and 2019 (Nixon, 2017)</w:t>
      </w:r>
      <w:r w:rsidR="00E92BC8">
        <w:rPr>
          <w:rFonts w:ascii="Times New Roman" w:hAnsi="Times New Roman" w:cs="Times New Roman"/>
          <w:sz w:val="28"/>
          <w:szCs w:val="28"/>
        </w:rPr>
        <w:t>,</w:t>
      </w:r>
      <w:r w:rsidR="00093916">
        <w:rPr>
          <w:rFonts w:ascii="Times New Roman" w:hAnsi="Times New Roman" w:cs="Times New Roman"/>
          <w:sz w:val="28"/>
          <w:szCs w:val="28"/>
        </w:rPr>
        <w:t xml:space="preserve"> may be substantially</w:t>
      </w:r>
      <w:r w:rsidR="008B7372">
        <w:rPr>
          <w:rFonts w:ascii="Times New Roman" w:hAnsi="Times New Roman" w:cs="Times New Roman"/>
          <w:sz w:val="28"/>
          <w:szCs w:val="28"/>
        </w:rPr>
        <w:t xml:space="preserve"> overstated</w:t>
      </w:r>
      <w:r w:rsidR="0071151C">
        <w:rPr>
          <w:rFonts w:ascii="Times New Roman" w:hAnsi="Times New Roman" w:cs="Times New Roman"/>
          <w:sz w:val="28"/>
          <w:szCs w:val="28"/>
        </w:rPr>
        <w:t xml:space="preserve">. </w:t>
      </w:r>
      <w:r w:rsidR="00B24D10">
        <w:rPr>
          <w:rFonts w:ascii="Times New Roman" w:hAnsi="Times New Roman" w:cs="Times New Roman"/>
          <w:sz w:val="28"/>
          <w:szCs w:val="28"/>
        </w:rPr>
        <w:t xml:space="preserve"> </w:t>
      </w:r>
      <w:r w:rsidR="005448CC">
        <w:rPr>
          <w:rFonts w:ascii="Times New Roman" w:hAnsi="Times New Roman" w:cs="Times New Roman"/>
          <w:sz w:val="28"/>
          <w:szCs w:val="28"/>
        </w:rPr>
        <w:t>Moreover, this continued slow g</w:t>
      </w:r>
      <w:r w:rsidR="00E5212B">
        <w:rPr>
          <w:rFonts w:ascii="Times New Roman" w:hAnsi="Times New Roman" w:cs="Times New Roman"/>
          <w:sz w:val="28"/>
          <w:szCs w:val="28"/>
        </w:rPr>
        <w:t xml:space="preserve">rowth is occurring despite </w:t>
      </w:r>
      <w:r w:rsidR="0012777C">
        <w:rPr>
          <w:rFonts w:ascii="Times New Roman" w:hAnsi="Times New Roman" w:cs="Times New Roman"/>
          <w:sz w:val="28"/>
          <w:szCs w:val="28"/>
        </w:rPr>
        <w:t xml:space="preserve">ongoing </w:t>
      </w:r>
      <w:r w:rsidR="00E5212B">
        <w:rPr>
          <w:rFonts w:ascii="Times New Roman" w:hAnsi="Times New Roman" w:cs="Times New Roman"/>
          <w:sz w:val="28"/>
          <w:szCs w:val="28"/>
        </w:rPr>
        <w:t>large</w:t>
      </w:r>
      <w:r w:rsidR="005448CC">
        <w:rPr>
          <w:rFonts w:ascii="Times New Roman" w:hAnsi="Times New Roman" w:cs="Times New Roman"/>
          <w:sz w:val="28"/>
          <w:szCs w:val="28"/>
        </w:rPr>
        <w:t xml:space="preserve"> monetary stimulus from </w:t>
      </w:r>
      <w:r w:rsidR="00FB03C2">
        <w:rPr>
          <w:rFonts w:ascii="Times New Roman" w:hAnsi="Times New Roman" w:cs="Times New Roman"/>
          <w:sz w:val="28"/>
          <w:szCs w:val="28"/>
        </w:rPr>
        <w:t>the</w:t>
      </w:r>
      <w:r w:rsidR="0012777C">
        <w:rPr>
          <w:rFonts w:ascii="Times New Roman" w:hAnsi="Times New Roman" w:cs="Times New Roman"/>
          <w:sz w:val="28"/>
          <w:szCs w:val="28"/>
        </w:rPr>
        <w:t xml:space="preserve"> Bank of England and the</w:t>
      </w:r>
      <w:r w:rsidR="00FB03C2">
        <w:rPr>
          <w:rFonts w:ascii="Times New Roman" w:hAnsi="Times New Roman" w:cs="Times New Roman"/>
          <w:sz w:val="28"/>
          <w:szCs w:val="28"/>
        </w:rPr>
        <w:t xml:space="preserve"> European Central Bank</w:t>
      </w:r>
      <w:r w:rsidR="00065485">
        <w:rPr>
          <w:rFonts w:ascii="Times New Roman" w:hAnsi="Times New Roman" w:cs="Times New Roman"/>
          <w:sz w:val="28"/>
          <w:szCs w:val="28"/>
        </w:rPr>
        <w:t xml:space="preserve">, which </w:t>
      </w:r>
      <w:r w:rsidR="005448CC">
        <w:rPr>
          <w:rFonts w:ascii="Times New Roman" w:hAnsi="Times New Roman" w:cs="Times New Roman"/>
          <w:sz w:val="28"/>
          <w:szCs w:val="28"/>
        </w:rPr>
        <w:t>still</w:t>
      </w:r>
      <w:r w:rsidR="0012777C">
        <w:rPr>
          <w:rFonts w:ascii="Times New Roman" w:hAnsi="Times New Roman" w:cs="Times New Roman"/>
          <w:sz w:val="28"/>
          <w:szCs w:val="28"/>
        </w:rPr>
        <w:t xml:space="preserve"> maintain</w:t>
      </w:r>
      <w:r w:rsidR="009E7685">
        <w:rPr>
          <w:rFonts w:ascii="Times New Roman" w:hAnsi="Times New Roman" w:cs="Times New Roman"/>
          <w:sz w:val="28"/>
          <w:szCs w:val="28"/>
        </w:rPr>
        <w:t xml:space="preserve"> artificially low interest rates as well as</w:t>
      </w:r>
      <w:r w:rsidR="005448CC">
        <w:rPr>
          <w:rFonts w:ascii="Times New Roman" w:hAnsi="Times New Roman" w:cs="Times New Roman"/>
          <w:sz w:val="28"/>
          <w:szCs w:val="28"/>
        </w:rPr>
        <w:t xml:space="preserve"> buying</w:t>
      </w:r>
      <w:r w:rsidR="009E7685">
        <w:rPr>
          <w:rFonts w:ascii="Times New Roman" w:hAnsi="Times New Roman" w:cs="Times New Roman"/>
          <w:sz w:val="28"/>
          <w:szCs w:val="28"/>
        </w:rPr>
        <w:t xml:space="preserve"> government bonds to</w:t>
      </w:r>
      <w:r w:rsidR="005448CC">
        <w:rPr>
          <w:rFonts w:ascii="Times New Roman" w:hAnsi="Times New Roman" w:cs="Times New Roman"/>
          <w:sz w:val="28"/>
          <w:szCs w:val="28"/>
        </w:rPr>
        <w:t xml:space="preserve"> add liquidity into</w:t>
      </w:r>
      <w:r w:rsidR="00065485">
        <w:rPr>
          <w:rFonts w:ascii="Times New Roman" w:hAnsi="Times New Roman" w:cs="Times New Roman"/>
          <w:sz w:val="28"/>
          <w:szCs w:val="28"/>
        </w:rPr>
        <w:t xml:space="preserve"> the money supply</w:t>
      </w:r>
      <w:r w:rsidR="005448CC">
        <w:rPr>
          <w:rFonts w:ascii="Times New Roman" w:hAnsi="Times New Roman" w:cs="Times New Roman"/>
          <w:sz w:val="28"/>
          <w:szCs w:val="28"/>
        </w:rPr>
        <w:t xml:space="preserve">. </w:t>
      </w:r>
    </w:p>
    <w:p w:rsidR="008B7372" w:rsidRDefault="008B7372" w:rsidP="004248B7">
      <w:pPr>
        <w:pStyle w:val="NoSpacing"/>
        <w:rPr>
          <w:rFonts w:ascii="Times New Roman" w:hAnsi="Times New Roman" w:cs="Times New Roman"/>
          <w:sz w:val="28"/>
          <w:szCs w:val="28"/>
        </w:rPr>
      </w:pPr>
    </w:p>
    <w:p w:rsidR="00A279B3" w:rsidRDefault="00A279B3" w:rsidP="003427B8"/>
    <w:p w:rsidR="003A0BDC" w:rsidRDefault="003A0BDC" w:rsidP="00A07754">
      <w:pPr>
        <w:pStyle w:val="Default"/>
        <w:rPr>
          <w:rFonts w:ascii="Times New Roman" w:hAnsi="Times New Roman" w:cs="Times New Roman"/>
          <w:sz w:val="28"/>
          <w:szCs w:val="28"/>
        </w:rPr>
      </w:pPr>
    </w:p>
    <w:p w:rsidR="003A0BDC" w:rsidRPr="003A0BDC" w:rsidRDefault="003A0BDC" w:rsidP="00A07754">
      <w:pPr>
        <w:pStyle w:val="Default"/>
        <w:rPr>
          <w:rFonts w:ascii="Times New Roman" w:hAnsi="Times New Roman" w:cs="Times New Roman"/>
          <w:b/>
          <w:sz w:val="28"/>
          <w:szCs w:val="28"/>
        </w:rPr>
      </w:pPr>
      <w:r w:rsidRPr="003A0BDC">
        <w:rPr>
          <w:rFonts w:ascii="Times New Roman" w:hAnsi="Times New Roman" w:cs="Times New Roman"/>
          <w:b/>
          <w:sz w:val="28"/>
          <w:szCs w:val="28"/>
        </w:rPr>
        <w:t>(Figure 1</w:t>
      </w:r>
      <w:r w:rsidR="00497929">
        <w:rPr>
          <w:rFonts w:ascii="Times New Roman" w:hAnsi="Times New Roman" w:cs="Times New Roman"/>
          <w:b/>
          <w:sz w:val="28"/>
          <w:szCs w:val="28"/>
        </w:rPr>
        <w:t>: Projected 2017 GDP Growth</w:t>
      </w:r>
      <w:r w:rsidRPr="003A0BDC">
        <w:rPr>
          <w:rFonts w:ascii="Times New Roman" w:hAnsi="Times New Roman" w:cs="Times New Roman"/>
          <w:b/>
          <w:sz w:val="28"/>
          <w:szCs w:val="28"/>
        </w:rPr>
        <w:t>)</w:t>
      </w:r>
    </w:p>
    <w:p w:rsidR="003A0BDC" w:rsidRDefault="003A0BDC" w:rsidP="00A07754">
      <w:pPr>
        <w:pStyle w:val="Default"/>
        <w:rPr>
          <w:rFonts w:ascii="Times New Roman" w:hAnsi="Times New Roman" w:cs="Times New Roman"/>
          <w:sz w:val="28"/>
          <w:szCs w:val="28"/>
        </w:rPr>
      </w:pPr>
    </w:p>
    <w:p w:rsidR="003A0BDC" w:rsidRDefault="003A0BDC" w:rsidP="00A07754">
      <w:pPr>
        <w:pStyle w:val="Default"/>
        <w:rPr>
          <w:rFonts w:ascii="Times New Roman" w:hAnsi="Times New Roman" w:cs="Times New Roman"/>
          <w:sz w:val="28"/>
          <w:szCs w:val="28"/>
        </w:rPr>
      </w:pPr>
    </w:p>
    <w:p w:rsidR="00A73694" w:rsidRDefault="00A73694" w:rsidP="00A07754">
      <w:pPr>
        <w:pStyle w:val="Default"/>
        <w:rPr>
          <w:rFonts w:ascii="Times New Roman" w:hAnsi="Times New Roman" w:cs="Times New Roman"/>
          <w:sz w:val="28"/>
          <w:szCs w:val="28"/>
        </w:rPr>
      </w:pPr>
      <w:r>
        <w:rPr>
          <w:rFonts w:ascii="Times New Roman" w:hAnsi="Times New Roman" w:cs="Times New Roman"/>
          <w:sz w:val="28"/>
          <w:szCs w:val="28"/>
        </w:rPr>
        <w:t>Several</w:t>
      </w:r>
      <w:r w:rsidR="00134AA5">
        <w:rPr>
          <w:rFonts w:ascii="Times New Roman" w:hAnsi="Times New Roman" w:cs="Times New Roman"/>
          <w:sz w:val="28"/>
          <w:szCs w:val="28"/>
        </w:rPr>
        <w:t xml:space="preserve"> </w:t>
      </w:r>
      <w:r>
        <w:rPr>
          <w:rFonts w:ascii="Times New Roman" w:hAnsi="Times New Roman" w:cs="Times New Roman"/>
          <w:sz w:val="28"/>
          <w:szCs w:val="28"/>
        </w:rPr>
        <w:t xml:space="preserve">credible </w:t>
      </w:r>
      <w:r w:rsidR="00BD3021">
        <w:rPr>
          <w:rFonts w:ascii="Times New Roman" w:hAnsi="Times New Roman" w:cs="Times New Roman"/>
          <w:sz w:val="28"/>
          <w:szCs w:val="28"/>
        </w:rPr>
        <w:t>economic</w:t>
      </w:r>
      <w:r>
        <w:rPr>
          <w:rFonts w:ascii="Times New Roman" w:hAnsi="Times New Roman" w:cs="Times New Roman"/>
          <w:sz w:val="28"/>
          <w:szCs w:val="28"/>
        </w:rPr>
        <w:t xml:space="preserve"> </w:t>
      </w:r>
      <w:r w:rsidR="00134AA5">
        <w:rPr>
          <w:rFonts w:ascii="Times New Roman" w:hAnsi="Times New Roman" w:cs="Times New Roman"/>
          <w:sz w:val="28"/>
          <w:szCs w:val="28"/>
        </w:rPr>
        <w:t xml:space="preserve">explanations have been offered to explain what has been termed this “new normal” in Western economies (PIMCO, 2010). While </w:t>
      </w:r>
      <w:r>
        <w:rPr>
          <w:rFonts w:ascii="Times New Roman" w:hAnsi="Times New Roman" w:cs="Times New Roman"/>
          <w:sz w:val="28"/>
          <w:szCs w:val="28"/>
        </w:rPr>
        <w:t xml:space="preserve">none are </w:t>
      </w:r>
      <w:r w:rsidR="005C3DA4">
        <w:rPr>
          <w:rFonts w:ascii="Times New Roman" w:hAnsi="Times New Roman" w:cs="Times New Roman"/>
          <w:sz w:val="28"/>
          <w:szCs w:val="28"/>
        </w:rPr>
        <w:t>uncontested, taken together these analyses</w:t>
      </w:r>
      <w:r>
        <w:rPr>
          <w:rFonts w:ascii="Times New Roman" w:hAnsi="Times New Roman" w:cs="Times New Roman"/>
          <w:sz w:val="28"/>
          <w:szCs w:val="28"/>
        </w:rPr>
        <w:t xml:space="preserve"> paint a larger picture </w:t>
      </w:r>
      <w:r w:rsidR="005E07D1">
        <w:rPr>
          <w:rFonts w:ascii="Times New Roman" w:hAnsi="Times New Roman" w:cs="Times New Roman"/>
          <w:sz w:val="28"/>
          <w:szCs w:val="28"/>
        </w:rPr>
        <w:t xml:space="preserve">of continued slow growth for the </w:t>
      </w:r>
      <w:r w:rsidR="002F07BF">
        <w:rPr>
          <w:rFonts w:ascii="Times New Roman" w:hAnsi="Times New Roman" w:cs="Times New Roman"/>
          <w:sz w:val="28"/>
          <w:szCs w:val="28"/>
        </w:rPr>
        <w:t>foreseeable</w:t>
      </w:r>
      <w:r w:rsidR="005E07D1">
        <w:rPr>
          <w:rFonts w:ascii="Times New Roman" w:hAnsi="Times New Roman" w:cs="Times New Roman"/>
          <w:sz w:val="28"/>
          <w:szCs w:val="28"/>
        </w:rPr>
        <w:t xml:space="preserve"> future </w:t>
      </w:r>
      <w:r w:rsidR="005C3DA4">
        <w:rPr>
          <w:rFonts w:ascii="Times New Roman" w:hAnsi="Times New Roman" w:cs="Times New Roman"/>
          <w:sz w:val="28"/>
          <w:szCs w:val="28"/>
        </w:rPr>
        <w:t>which will have</w:t>
      </w:r>
      <w:r>
        <w:rPr>
          <w:rFonts w:ascii="Times New Roman" w:hAnsi="Times New Roman" w:cs="Times New Roman"/>
          <w:sz w:val="28"/>
          <w:szCs w:val="28"/>
        </w:rPr>
        <w:t xml:space="preserve"> major implications for the availability of continued public resources for health systems </w:t>
      </w:r>
      <w:r w:rsidR="005E07D1">
        <w:rPr>
          <w:rFonts w:ascii="Times New Roman" w:hAnsi="Times New Roman" w:cs="Times New Roman"/>
          <w:sz w:val="28"/>
          <w:szCs w:val="28"/>
        </w:rPr>
        <w:t>in Europe (Saltman and Cahn, 2013).</w:t>
      </w:r>
      <w:r>
        <w:rPr>
          <w:rFonts w:ascii="Times New Roman" w:hAnsi="Times New Roman" w:cs="Times New Roman"/>
          <w:sz w:val="28"/>
          <w:szCs w:val="28"/>
        </w:rPr>
        <w:t xml:space="preserve"> </w:t>
      </w:r>
    </w:p>
    <w:p w:rsidR="00A73694" w:rsidRDefault="00A73694" w:rsidP="00A07754">
      <w:pPr>
        <w:pStyle w:val="Default"/>
        <w:rPr>
          <w:rFonts w:ascii="Times New Roman" w:hAnsi="Times New Roman" w:cs="Times New Roman"/>
          <w:sz w:val="28"/>
          <w:szCs w:val="28"/>
        </w:rPr>
      </w:pPr>
    </w:p>
    <w:p w:rsidR="00BD3021" w:rsidRDefault="00B95A5A" w:rsidP="00BD3021">
      <w:pPr>
        <w:pStyle w:val="NoSpacing"/>
        <w:rPr>
          <w:rFonts w:ascii="Times New Roman" w:hAnsi="Times New Roman" w:cs="Times New Roman"/>
          <w:sz w:val="28"/>
          <w:szCs w:val="28"/>
        </w:rPr>
      </w:pPr>
      <w:r>
        <w:rPr>
          <w:rFonts w:ascii="Times New Roman" w:hAnsi="Times New Roman" w:cs="Times New Roman"/>
          <w:sz w:val="28"/>
          <w:szCs w:val="28"/>
        </w:rPr>
        <w:lastRenderedPageBreak/>
        <w:t>One key</w:t>
      </w:r>
      <w:r w:rsidR="00A279B3">
        <w:rPr>
          <w:rFonts w:ascii="Times New Roman" w:hAnsi="Times New Roman" w:cs="Times New Roman"/>
          <w:sz w:val="28"/>
          <w:szCs w:val="28"/>
        </w:rPr>
        <w:t xml:space="preserve"> explanation for the persistent growth slowdown in European econom</w:t>
      </w:r>
      <w:r>
        <w:rPr>
          <w:rFonts w:ascii="Times New Roman" w:hAnsi="Times New Roman" w:cs="Times New Roman"/>
          <w:sz w:val="28"/>
          <w:szCs w:val="28"/>
        </w:rPr>
        <w:t xml:space="preserve">ies has been </w:t>
      </w:r>
      <w:r w:rsidR="00A279B3">
        <w:rPr>
          <w:rFonts w:ascii="Times New Roman" w:hAnsi="Times New Roman" w:cs="Times New Roman"/>
          <w:sz w:val="28"/>
          <w:szCs w:val="28"/>
        </w:rPr>
        <w:t>the size of the national debt. These numbe</w:t>
      </w:r>
      <w:r w:rsidR="007769EB">
        <w:rPr>
          <w:rFonts w:ascii="Times New Roman" w:hAnsi="Times New Roman" w:cs="Times New Roman"/>
          <w:sz w:val="28"/>
          <w:szCs w:val="28"/>
        </w:rPr>
        <w:t>rs varied in early May 2017 from 70% of GDP in Germany to 82% in the UK, 97% in</w:t>
      </w:r>
      <w:r w:rsidR="00A279B3">
        <w:rPr>
          <w:rFonts w:ascii="Times New Roman" w:hAnsi="Times New Roman" w:cs="Times New Roman"/>
          <w:sz w:val="28"/>
          <w:szCs w:val="28"/>
        </w:rPr>
        <w:t xml:space="preserve"> France</w:t>
      </w:r>
      <w:r w:rsidR="007769EB">
        <w:rPr>
          <w:rFonts w:ascii="Times New Roman" w:hAnsi="Times New Roman" w:cs="Times New Roman"/>
          <w:sz w:val="28"/>
          <w:szCs w:val="28"/>
        </w:rPr>
        <w:t>, and 110% in Belgium</w:t>
      </w:r>
      <w:r w:rsidR="00A279B3">
        <w:rPr>
          <w:rFonts w:ascii="Times New Roman" w:hAnsi="Times New Roman" w:cs="Times New Roman"/>
          <w:sz w:val="28"/>
          <w:szCs w:val="28"/>
        </w:rPr>
        <w:t xml:space="preserve"> to well over 100% of GDP in all Mediterran</w:t>
      </w:r>
      <w:r w:rsidR="00BD3021">
        <w:rPr>
          <w:rFonts w:ascii="Times New Roman" w:hAnsi="Times New Roman" w:cs="Times New Roman"/>
          <w:sz w:val="28"/>
          <w:szCs w:val="28"/>
        </w:rPr>
        <w:t xml:space="preserve">ean European countries. </w:t>
      </w:r>
      <w:r w:rsidR="000014F7">
        <w:rPr>
          <w:rFonts w:ascii="Times New Roman" w:hAnsi="Times New Roman" w:cs="Times New Roman"/>
          <w:sz w:val="28"/>
          <w:szCs w:val="28"/>
        </w:rPr>
        <w:t>Moreover,</w:t>
      </w:r>
      <w:r w:rsidR="00BD3021">
        <w:rPr>
          <w:rFonts w:ascii="Times New Roman" w:hAnsi="Times New Roman" w:cs="Times New Roman"/>
          <w:sz w:val="28"/>
          <w:szCs w:val="28"/>
        </w:rPr>
        <w:t xml:space="preserve"> </w:t>
      </w:r>
      <w:r w:rsidR="007769EB">
        <w:rPr>
          <w:rFonts w:ascii="Times New Roman" w:hAnsi="Times New Roman" w:cs="Times New Roman"/>
          <w:sz w:val="28"/>
          <w:szCs w:val="28"/>
        </w:rPr>
        <w:t>these debt levels</w:t>
      </w:r>
      <w:r w:rsidR="00A279B3">
        <w:rPr>
          <w:rFonts w:ascii="Times New Roman" w:hAnsi="Times New Roman" w:cs="Times New Roman"/>
          <w:sz w:val="28"/>
          <w:szCs w:val="28"/>
        </w:rPr>
        <w:t xml:space="preserve"> continue to grow as nearly all EU countries continue to run substantial annual budget deficits (OECD, 2017). </w:t>
      </w:r>
      <w:r w:rsidR="00BD3021">
        <w:rPr>
          <w:rFonts w:ascii="Times New Roman" w:hAnsi="Times New Roman" w:cs="Times New Roman"/>
          <w:sz w:val="28"/>
          <w:szCs w:val="28"/>
        </w:rPr>
        <w:t>Reinhardt and Rogoff (2011), two former International Monetary Fund economists now at Harvard University, have contended in a hotly contested but never controverted analysis that when public national debt levels bre</w:t>
      </w:r>
      <w:r w:rsidR="00EE203D">
        <w:rPr>
          <w:rFonts w:ascii="Times New Roman" w:hAnsi="Times New Roman" w:cs="Times New Roman"/>
          <w:sz w:val="28"/>
          <w:szCs w:val="28"/>
        </w:rPr>
        <w:t>a</w:t>
      </w:r>
      <w:r w:rsidR="00BD3021">
        <w:rPr>
          <w:rFonts w:ascii="Times New Roman" w:hAnsi="Times New Roman" w:cs="Times New Roman"/>
          <w:sz w:val="28"/>
          <w:szCs w:val="28"/>
        </w:rPr>
        <w:t>ch 90%, they crowd out private economic development and dampen overall economic growth.</w:t>
      </w:r>
    </w:p>
    <w:p w:rsidR="00E85322" w:rsidRDefault="00E85322" w:rsidP="00A07754">
      <w:pPr>
        <w:pStyle w:val="Default"/>
        <w:rPr>
          <w:rFonts w:ascii="Times New Roman" w:hAnsi="Times New Roman" w:cs="Times New Roman"/>
          <w:sz w:val="28"/>
          <w:szCs w:val="28"/>
        </w:rPr>
      </w:pPr>
    </w:p>
    <w:p w:rsidR="00A07754" w:rsidRDefault="00A07754" w:rsidP="00A07754">
      <w:pPr>
        <w:pStyle w:val="Default"/>
        <w:rPr>
          <w:rFonts w:ascii="Times New Roman" w:hAnsi="Times New Roman" w:cs="Times New Roman"/>
          <w:sz w:val="28"/>
          <w:szCs w:val="28"/>
        </w:rPr>
      </w:pPr>
      <w:r>
        <w:rPr>
          <w:rFonts w:ascii="Times New Roman" w:hAnsi="Times New Roman" w:cs="Times New Roman"/>
          <w:sz w:val="28"/>
          <w:szCs w:val="28"/>
        </w:rPr>
        <w:t>In addition t</w:t>
      </w:r>
      <w:r w:rsidR="00F75E63">
        <w:rPr>
          <w:rFonts w:ascii="Times New Roman" w:hAnsi="Times New Roman" w:cs="Times New Roman"/>
          <w:sz w:val="28"/>
          <w:szCs w:val="28"/>
        </w:rPr>
        <w:t xml:space="preserve">o the 2008 fiscal crisis, </w:t>
      </w:r>
      <w:r>
        <w:rPr>
          <w:rFonts w:ascii="Times New Roman" w:hAnsi="Times New Roman" w:cs="Times New Roman"/>
          <w:sz w:val="28"/>
          <w:szCs w:val="28"/>
        </w:rPr>
        <w:t xml:space="preserve">large national debt figures </w:t>
      </w:r>
      <w:r w:rsidR="008051FC">
        <w:rPr>
          <w:rFonts w:ascii="Times New Roman" w:hAnsi="Times New Roman" w:cs="Times New Roman"/>
          <w:sz w:val="28"/>
          <w:szCs w:val="28"/>
        </w:rPr>
        <w:t xml:space="preserve">also </w:t>
      </w:r>
      <w:r>
        <w:rPr>
          <w:rFonts w:ascii="Times New Roman" w:hAnsi="Times New Roman" w:cs="Times New Roman"/>
          <w:sz w:val="28"/>
          <w:szCs w:val="28"/>
        </w:rPr>
        <w:t>reflect</w:t>
      </w:r>
      <w:r w:rsidR="00F75E63">
        <w:rPr>
          <w:rFonts w:ascii="Times New Roman" w:hAnsi="Times New Roman" w:cs="Times New Roman"/>
          <w:sz w:val="28"/>
          <w:szCs w:val="28"/>
        </w:rPr>
        <w:t xml:space="preserve"> two further</w:t>
      </w:r>
      <w:r w:rsidR="008051FC">
        <w:rPr>
          <w:rFonts w:ascii="Times New Roman" w:hAnsi="Times New Roman" w:cs="Times New Roman"/>
          <w:sz w:val="28"/>
          <w:szCs w:val="28"/>
        </w:rPr>
        <w:t xml:space="preserve"> negative </w:t>
      </w:r>
      <w:r w:rsidR="00EE647F">
        <w:rPr>
          <w:rFonts w:ascii="Times New Roman" w:hAnsi="Times New Roman" w:cs="Times New Roman"/>
          <w:sz w:val="28"/>
          <w:szCs w:val="28"/>
        </w:rPr>
        <w:t xml:space="preserve">economic </w:t>
      </w:r>
      <w:r w:rsidR="00F75E63">
        <w:rPr>
          <w:rFonts w:ascii="Times New Roman" w:hAnsi="Times New Roman" w:cs="Times New Roman"/>
          <w:sz w:val="28"/>
          <w:szCs w:val="28"/>
        </w:rPr>
        <w:t>indicators</w:t>
      </w:r>
      <w:r w:rsidR="008051FC">
        <w:rPr>
          <w:rFonts w:ascii="Times New Roman" w:hAnsi="Times New Roman" w:cs="Times New Roman"/>
          <w:sz w:val="28"/>
          <w:szCs w:val="28"/>
        </w:rPr>
        <w:t>. One is the</w:t>
      </w:r>
      <w:r>
        <w:rPr>
          <w:rFonts w:ascii="Times New Roman" w:hAnsi="Times New Roman" w:cs="Times New Roman"/>
          <w:sz w:val="28"/>
          <w:szCs w:val="28"/>
        </w:rPr>
        <w:t xml:space="preserve"> </w:t>
      </w:r>
      <w:r w:rsidR="008051FC">
        <w:rPr>
          <w:rFonts w:ascii="Times New Roman" w:hAnsi="Times New Roman" w:cs="Times New Roman"/>
          <w:sz w:val="28"/>
          <w:szCs w:val="28"/>
        </w:rPr>
        <w:t>lo</w:t>
      </w:r>
      <w:r w:rsidR="00F75E63">
        <w:rPr>
          <w:rFonts w:ascii="Times New Roman" w:hAnsi="Times New Roman" w:cs="Times New Roman"/>
          <w:sz w:val="28"/>
          <w:szCs w:val="28"/>
        </w:rPr>
        <w:t>w level</w:t>
      </w:r>
      <w:r w:rsidR="008051FC">
        <w:rPr>
          <w:rFonts w:ascii="Times New Roman" w:hAnsi="Times New Roman" w:cs="Times New Roman"/>
          <w:sz w:val="28"/>
          <w:szCs w:val="28"/>
        </w:rPr>
        <w:t xml:space="preserve"> of productivity growth in most </w:t>
      </w:r>
      <w:r w:rsidR="0001518E">
        <w:rPr>
          <w:rFonts w:ascii="Times New Roman" w:hAnsi="Times New Roman" w:cs="Times New Roman"/>
          <w:sz w:val="28"/>
          <w:szCs w:val="28"/>
        </w:rPr>
        <w:t xml:space="preserve">Western </w:t>
      </w:r>
      <w:r w:rsidR="008051FC">
        <w:rPr>
          <w:rFonts w:ascii="Times New Roman" w:hAnsi="Times New Roman" w:cs="Times New Roman"/>
          <w:sz w:val="28"/>
          <w:szCs w:val="28"/>
        </w:rPr>
        <w:t>industrial economies. As one sentinel example, this critical figure is only 0.6% annually now in the United States</w:t>
      </w:r>
      <w:r w:rsidR="00FE74A5">
        <w:rPr>
          <w:rFonts w:ascii="Times New Roman" w:hAnsi="Times New Roman" w:cs="Times New Roman"/>
          <w:sz w:val="28"/>
          <w:szCs w:val="28"/>
        </w:rPr>
        <w:t>, having fallen dramatically since 2000</w:t>
      </w:r>
      <w:r w:rsidR="008051FC">
        <w:rPr>
          <w:rFonts w:ascii="Times New Roman" w:hAnsi="Times New Roman" w:cs="Times New Roman"/>
          <w:sz w:val="28"/>
          <w:szCs w:val="28"/>
        </w:rPr>
        <w:t xml:space="preserve"> (Kravis, 2017). A second negative factor for GDP growth has been </w:t>
      </w:r>
      <w:r>
        <w:rPr>
          <w:rFonts w:ascii="Times New Roman" w:hAnsi="Times New Roman" w:cs="Times New Roman"/>
          <w:sz w:val="28"/>
          <w:szCs w:val="28"/>
        </w:rPr>
        <w:t>continued large national welfare state programs. While welf</w:t>
      </w:r>
      <w:r w:rsidR="008051FC">
        <w:rPr>
          <w:rFonts w:ascii="Times New Roman" w:hAnsi="Times New Roman" w:cs="Times New Roman"/>
          <w:sz w:val="28"/>
          <w:szCs w:val="28"/>
        </w:rPr>
        <w:t>are state proponents</w:t>
      </w:r>
      <w:r>
        <w:rPr>
          <w:rFonts w:ascii="Times New Roman" w:hAnsi="Times New Roman" w:cs="Times New Roman"/>
          <w:sz w:val="28"/>
          <w:szCs w:val="28"/>
        </w:rPr>
        <w:t xml:space="preserve"> point toward the equity benefits of these services</w:t>
      </w:r>
      <w:r w:rsidR="00E85322">
        <w:rPr>
          <w:rFonts w:ascii="Times New Roman" w:hAnsi="Times New Roman" w:cs="Times New Roman"/>
          <w:sz w:val="28"/>
          <w:szCs w:val="28"/>
        </w:rPr>
        <w:t xml:space="preserve"> (McKee and Stuckler, 2011</w:t>
      </w:r>
      <w:r w:rsidR="002E3D9B">
        <w:rPr>
          <w:rFonts w:ascii="Times New Roman" w:hAnsi="Times New Roman" w:cs="Times New Roman"/>
          <w:sz w:val="28"/>
          <w:szCs w:val="28"/>
        </w:rPr>
        <w:t xml:space="preserve">), critics highlight </w:t>
      </w:r>
      <w:r w:rsidR="008051FC">
        <w:rPr>
          <w:rFonts w:ascii="Times New Roman" w:hAnsi="Times New Roman" w:cs="Times New Roman"/>
          <w:sz w:val="28"/>
          <w:szCs w:val="28"/>
        </w:rPr>
        <w:t>the consequences</w:t>
      </w:r>
      <w:r w:rsidR="00E85322">
        <w:rPr>
          <w:rFonts w:ascii="Times New Roman" w:hAnsi="Times New Roman" w:cs="Times New Roman"/>
          <w:sz w:val="28"/>
          <w:szCs w:val="28"/>
        </w:rPr>
        <w:t xml:space="preserve"> that</w:t>
      </w:r>
      <w:r>
        <w:rPr>
          <w:rFonts w:ascii="Times New Roman" w:hAnsi="Times New Roman" w:cs="Times New Roman"/>
          <w:sz w:val="28"/>
          <w:szCs w:val="28"/>
        </w:rPr>
        <w:t xml:space="preserve"> pa</w:t>
      </w:r>
      <w:r w:rsidR="002E3D9B">
        <w:rPr>
          <w:rFonts w:ascii="Times New Roman" w:hAnsi="Times New Roman" w:cs="Times New Roman"/>
          <w:sz w:val="28"/>
          <w:szCs w:val="28"/>
        </w:rPr>
        <w:t>ying for these programs have</w:t>
      </w:r>
      <w:r w:rsidR="008051FC">
        <w:rPr>
          <w:rFonts w:ascii="Times New Roman" w:hAnsi="Times New Roman" w:cs="Times New Roman"/>
          <w:sz w:val="28"/>
          <w:szCs w:val="28"/>
        </w:rPr>
        <w:t xml:space="preserve"> for</w:t>
      </w:r>
      <w:r>
        <w:rPr>
          <w:rFonts w:ascii="Times New Roman" w:hAnsi="Times New Roman" w:cs="Times New Roman"/>
          <w:sz w:val="28"/>
          <w:szCs w:val="28"/>
        </w:rPr>
        <w:t xml:space="preserve"> </w:t>
      </w:r>
      <w:r w:rsidR="0001518E">
        <w:rPr>
          <w:rFonts w:ascii="Times New Roman" w:hAnsi="Times New Roman" w:cs="Times New Roman"/>
          <w:sz w:val="28"/>
          <w:szCs w:val="28"/>
        </w:rPr>
        <w:t xml:space="preserve">both high tax levels and the </w:t>
      </w:r>
      <w:r>
        <w:rPr>
          <w:rFonts w:ascii="Times New Roman" w:hAnsi="Times New Roman" w:cs="Times New Roman"/>
          <w:sz w:val="28"/>
          <w:szCs w:val="28"/>
        </w:rPr>
        <w:t>accumulation</w:t>
      </w:r>
      <w:r w:rsidR="00E85322">
        <w:rPr>
          <w:rFonts w:ascii="Times New Roman" w:hAnsi="Times New Roman" w:cs="Times New Roman"/>
          <w:sz w:val="28"/>
          <w:szCs w:val="28"/>
        </w:rPr>
        <w:t xml:space="preserve"> of </w:t>
      </w:r>
      <w:r w:rsidR="0001518E">
        <w:rPr>
          <w:rFonts w:ascii="Times New Roman" w:hAnsi="Times New Roman" w:cs="Times New Roman"/>
          <w:sz w:val="28"/>
          <w:szCs w:val="28"/>
        </w:rPr>
        <w:t xml:space="preserve">additional </w:t>
      </w:r>
      <w:r w:rsidR="00E85322">
        <w:rPr>
          <w:rFonts w:ascii="Times New Roman" w:hAnsi="Times New Roman" w:cs="Times New Roman"/>
          <w:sz w:val="28"/>
          <w:szCs w:val="28"/>
        </w:rPr>
        <w:t>public debt</w:t>
      </w:r>
      <w:r w:rsidR="008051FC">
        <w:rPr>
          <w:rFonts w:ascii="Times New Roman" w:hAnsi="Times New Roman" w:cs="Times New Roman"/>
          <w:sz w:val="28"/>
          <w:szCs w:val="28"/>
        </w:rPr>
        <w:t xml:space="preserve"> (Alesina and Giavazzi, 2008; Ferguson, 2012)</w:t>
      </w:r>
    </w:p>
    <w:p w:rsidR="00A07754" w:rsidRDefault="00A07754" w:rsidP="004248B7">
      <w:pPr>
        <w:pStyle w:val="NoSpacing"/>
        <w:rPr>
          <w:rFonts w:ascii="Times New Roman" w:hAnsi="Times New Roman" w:cs="Times New Roman"/>
          <w:sz w:val="28"/>
          <w:szCs w:val="28"/>
        </w:rPr>
      </w:pPr>
    </w:p>
    <w:p w:rsidR="00AC4D2C" w:rsidRDefault="00200CF6" w:rsidP="00EE647F">
      <w:pPr>
        <w:pStyle w:val="NoSpacing"/>
        <w:rPr>
          <w:rFonts w:ascii="Times New Roman" w:hAnsi="Times New Roman" w:cs="Times New Roman"/>
          <w:sz w:val="28"/>
          <w:szCs w:val="28"/>
        </w:rPr>
      </w:pPr>
      <w:r>
        <w:rPr>
          <w:rFonts w:ascii="Times New Roman" w:hAnsi="Times New Roman" w:cs="Times New Roman"/>
          <w:sz w:val="28"/>
          <w:szCs w:val="28"/>
        </w:rPr>
        <w:t>Overall</w:t>
      </w:r>
      <w:r w:rsidR="002E01F9">
        <w:rPr>
          <w:rFonts w:ascii="Times New Roman" w:hAnsi="Times New Roman" w:cs="Times New Roman"/>
          <w:sz w:val="28"/>
          <w:szCs w:val="28"/>
        </w:rPr>
        <w:t xml:space="preserve">, </w:t>
      </w:r>
      <w:r w:rsidR="00EE647F">
        <w:rPr>
          <w:rFonts w:ascii="Times New Roman" w:hAnsi="Times New Roman" w:cs="Times New Roman"/>
          <w:sz w:val="28"/>
          <w:szCs w:val="28"/>
        </w:rPr>
        <w:t>there is a strong economic case</w:t>
      </w:r>
      <w:r>
        <w:rPr>
          <w:rFonts w:ascii="Times New Roman" w:hAnsi="Times New Roman" w:cs="Times New Roman"/>
          <w:sz w:val="28"/>
          <w:szCs w:val="28"/>
        </w:rPr>
        <w:t xml:space="preserve"> to conclude that </w:t>
      </w:r>
      <w:r w:rsidR="002E01F9">
        <w:rPr>
          <w:rFonts w:ascii="Times New Roman" w:hAnsi="Times New Roman" w:cs="Times New Roman"/>
          <w:sz w:val="28"/>
          <w:szCs w:val="28"/>
        </w:rPr>
        <w:t>the post-20</w:t>
      </w:r>
      <w:r w:rsidR="00BF5E26">
        <w:rPr>
          <w:rFonts w:ascii="Times New Roman" w:hAnsi="Times New Roman" w:cs="Times New Roman"/>
          <w:sz w:val="28"/>
          <w:szCs w:val="28"/>
        </w:rPr>
        <w:t>08</w:t>
      </w:r>
      <w:r w:rsidR="00396456">
        <w:rPr>
          <w:rFonts w:ascii="Times New Roman" w:hAnsi="Times New Roman" w:cs="Times New Roman"/>
          <w:sz w:val="28"/>
          <w:szCs w:val="28"/>
        </w:rPr>
        <w:t xml:space="preserve"> growth problem </w:t>
      </w:r>
      <w:r w:rsidR="00BC6AF6">
        <w:rPr>
          <w:rFonts w:ascii="Times New Roman" w:hAnsi="Times New Roman" w:cs="Times New Roman"/>
          <w:sz w:val="28"/>
          <w:szCs w:val="28"/>
        </w:rPr>
        <w:t>in</w:t>
      </w:r>
      <w:r w:rsidR="00BC6AF6" w:rsidRPr="00BC6AF6">
        <w:rPr>
          <w:rFonts w:ascii="Times New Roman" w:hAnsi="Times New Roman" w:cs="Times New Roman"/>
          <w:b/>
          <w:sz w:val="28"/>
          <w:szCs w:val="28"/>
        </w:rPr>
        <w:t xml:space="preserve"> </w:t>
      </w:r>
      <w:r w:rsidR="00BC6AF6">
        <w:rPr>
          <w:rFonts w:ascii="Times New Roman" w:hAnsi="Times New Roman" w:cs="Times New Roman"/>
          <w:sz w:val="28"/>
          <w:szCs w:val="28"/>
        </w:rPr>
        <w:t xml:space="preserve">developed and especially </w:t>
      </w:r>
      <w:r>
        <w:rPr>
          <w:rFonts w:ascii="Times New Roman" w:hAnsi="Times New Roman" w:cs="Times New Roman"/>
          <w:sz w:val="28"/>
          <w:szCs w:val="28"/>
        </w:rPr>
        <w:t xml:space="preserve">European countries </w:t>
      </w:r>
      <w:r w:rsidR="002E01F9">
        <w:rPr>
          <w:rFonts w:ascii="Times New Roman" w:hAnsi="Times New Roman" w:cs="Times New Roman"/>
          <w:sz w:val="28"/>
          <w:szCs w:val="28"/>
        </w:rPr>
        <w:t xml:space="preserve">reflects </w:t>
      </w:r>
      <w:r w:rsidR="00396456">
        <w:rPr>
          <w:rFonts w:ascii="Times New Roman" w:hAnsi="Times New Roman" w:cs="Times New Roman"/>
          <w:sz w:val="28"/>
          <w:szCs w:val="28"/>
        </w:rPr>
        <w:t xml:space="preserve">a </w:t>
      </w:r>
      <w:r>
        <w:rPr>
          <w:rFonts w:ascii="Times New Roman" w:hAnsi="Times New Roman" w:cs="Times New Roman"/>
          <w:sz w:val="28"/>
          <w:szCs w:val="28"/>
        </w:rPr>
        <w:t xml:space="preserve">deep-seated structural problem </w:t>
      </w:r>
      <w:r w:rsidR="00396456">
        <w:rPr>
          <w:rFonts w:ascii="Times New Roman" w:hAnsi="Times New Roman" w:cs="Times New Roman"/>
          <w:sz w:val="28"/>
          <w:szCs w:val="28"/>
        </w:rPr>
        <w:t xml:space="preserve">(Ferguson, 2012; King, 2010, 2013) </w:t>
      </w:r>
      <w:r w:rsidR="00B85AD7">
        <w:rPr>
          <w:rFonts w:ascii="Times New Roman" w:hAnsi="Times New Roman" w:cs="Times New Roman"/>
          <w:sz w:val="28"/>
          <w:szCs w:val="28"/>
        </w:rPr>
        <w:t>that has become semi-perma</w:t>
      </w:r>
      <w:r w:rsidR="00AC4D2C">
        <w:rPr>
          <w:rFonts w:ascii="Times New Roman" w:hAnsi="Times New Roman" w:cs="Times New Roman"/>
          <w:sz w:val="28"/>
          <w:szCs w:val="28"/>
        </w:rPr>
        <w:t>nent in character.</w:t>
      </w:r>
      <w:r w:rsidR="007B63E8">
        <w:rPr>
          <w:rFonts w:ascii="Times New Roman" w:hAnsi="Times New Roman" w:cs="Times New Roman"/>
          <w:sz w:val="28"/>
          <w:szCs w:val="28"/>
        </w:rPr>
        <w:t xml:space="preserve"> The clear consequence is that “easy” new public revenues for European health systems– e</w:t>
      </w:r>
      <w:r w:rsidR="00B75FE6">
        <w:rPr>
          <w:rFonts w:ascii="Times New Roman" w:hAnsi="Times New Roman" w:cs="Times New Roman"/>
          <w:sz w:val="28"/>
          <w:szCs w:val="28"/>
        </w:rPr>
        <w:t>.</w:t>
      </w:r>
      <w:r w:rsidR="007B63E8">
        <w:rPr>
          <w:rFonts w:ascii="Times New Roman" w:hAnsi="Times New Roman" w:cs="Times New Roman"/>
          <w:sz w:val="28"/>
          <w:szCs w:val="28"/>
        </w:rPr>
        <w:t>g</w:t>
      </w:r>
      <w:r w:rsidR="00B75FE6">
        <w:rPr>
          <w:rFonts w:ascii="Times New Roman" w:hAnsi="Times New Roman" w:cs="Times New Roman"/>
          <w:sz w:val="28"/>
          <w:szCs w:val="28"/>
        </w:rPr>
        <w:t>.,</w:t>
      </w:r>
      <w:r w:rsidR="007B63E8">
        <w:rPr>
          <w:rFonts w:ascii="Times New Roman" w:hAnsi="Times New Roman" w:cs="Times New Roman"/>
          <w:sz w:val="28"/>
          <w:szCs w:val="28"/>
        </w:rPr>
        <w:t xml:space="preserve"> </w:t>
      </w:r>
      <w:r w:rsidR="00762022">
        <w:rPr>
          <w:rFonts w:ascii="Times New Roman" w:hAnsi="Times New Roman" w:cs="Times New Roman"/>
          <w:sz w:val="28"/>
          <w:szCs w:val="28"/>
        </w:rPr>
        <w:t>derived from</w:t>
      </w:r>
      <w:r w:rsidR="007B63E8">
        <w:rPr>
          <w:rFonts w:ascii="Times New Roman" w:hAnsi="Times New Roman" w:cs="Times New Roman"/>
          <w:sz w:val="28"/>
          <w:szCs w:val="28"/>
        </w:rPr>
        <w:t xml:space="preserve"> piggybacking on general economic growth – are unlikely for the for</w:t>
      </w:r>
      <w:r w:rsidR="00BA53A5">
        <w:rPr>
          <w:rFonts w:ascii="Times New Roman" w:hAnsi="Times New Roman" w:cs="Times New Roman"/>
          <w:sz w:val="28"/>
          <w:szCs w:val="28"/>
        </w:rPr>
        <w:t>e</w:t>
      </w:r>
      <w:r w:rsidR="007B63E8">
        <w:rPr>
          <w:rFonts w:ascii="Times New Roman" w:hAnsi="Times New Roman" w:cs="Times New Roman"/>
          <w:sz w:val="28"/>
          <w:szCs w:val="28"/>
        </w:rPr>
        <w:t>seeable future. The alternative source of public revenue – raising already high income, capital, property, and value added taxes – would be economically self-defeating in that such measures w</w:t>
      </w:r>
      <w:r w:rsidR="00762022">
        <w:rPr>
          <w:rFonts w:ascii="Times New Roman" w:hAnsi="Times New Roman" w:cs="Times New Roman"/>
          <w:sz w:val="28"/>
          <w:szCs w:val="28"/>
        </w:rPr>
        <w:t>ould</w:t>
      </w:r>
      <w:r w:rsidR="007B63E8">
        <w:rPr>
          <w:rFonts w:ascii="Times New Roman" w:hAnsi="Times New Roman" w:cs="Times New Roman"/>
          <w:sz w:val="28"/>
          <w:szCs w:val="28"/>
        </w:rPr>
        <w:t xml:space="preserve"> further reduce </w:t>
      </w:r>
      <w:r w:rsidR="00762022">
        <w:rPr>
          <w:rFonts w:ascii="Times New Roman" w:hAnsi="Times New Roman" w:cs="Times New Roman"/>
          <w:sz w:val="28"/>
          <w:szCs w:val="28"/>
        </w:rPr>
        <w:t xml:space="preserve">already low </w:t>
      </w:r>
      <w:r w:rsidR="007B63E8">
        <w:rPr>
          <w:rFonts w:ascii="Times New Roman" w:hAnsi="Times New Roman" w:cs="Times New Roman"/>
          <w:sz w:val="28"/>
          <w:szCs w:val="28"/>
        </w:rPr>
        <w:t xml:space="preserve">economic growth rates, </w:t>
      </w:r>
      <w:r w:rsidR="008A4FD0">
        <w:rPr>
          <w:rFonts w:ascii="Times New Roman" w:hAnsi="Times New Roman" w:cs="Times New Roman"/>
          <w:sz w:val="28"/>
          <w:szCs w:val="28"/>
        </w:rPr>
        <w:t xml:space="preserve">thus </w:t>
      </w:r>
      <w:r w:rsidR="007B63E8">
        <w:rPr>
          <w:rFonts w:ascii="Times New Roman" w:hAnsi="Times New Roman" w:cs="Times New Roman"/>
          <w:sz w:val="28"/>
          <w:szCs w:val="28"/>
        </w:rPr>
        <w:t>exa</w:t>
      </w:r>
      <w:r w:rsidR="00762022">
        <w:rPr>
          <w:rFonts w:ascii="Times New Roman" w:hAnsi="Times New Roman" w:cs="Times New Roman"/>
          <w:sz w:val="28"/>
          <w:szCs w:val="28"/>
        </w:rPr>
        <w:t>cerbating the strain on</w:t>
      </w:r>
      <w:r w:rsidR="007B63E8">
        <w:rPr>
          <w:rFonts w:ascii="Times New Roman" w:hAnsi="Times New Roman" w:cs="Times New Roman"/>
          <w:sz w:val="28"/>
          <w:szCs w:val="28"/>
        </w:rPr>
        <w:t xml:space="preserve"> total public revenues</w:t>
      </w:r>
      <w:r w:rsidR="00762022">
        <w:rPr>
          <w:rFonts w:ascii="Times New Roman" w:hAnsi="Times New Roman" w:cs="Times New Roman"/>
          <w:sz w:val="28"/>
          <w:szCs w:val="28"/>
        </w:rPr>
        <w:t xml:space="preserve"> created by the post-20</w:t>
      </w:r>
      <w:r w:rsidR="007B63E8">
        <w:rPr>
          <w:rFonts w:ascii="Times New Roman" w:hAnsi="Times New Roman" w:cs="Times New Roman"/>
          <w:sz w:val="28"/>
          <w:szCs w:val="28"/>
        </w:rPr>
        <w:t xml:space="preserve">08 economic slowdown. </w:t>
      </w:r>
    </w:p>
    <w:p w:rsidR="00EE647F" w:rsidRPr="00EE647F" w:rsidRDefault="00AC4D2C" w:rsidP="00EE647F">
      <w:pPr>
        <w:pStyle w:val="NoSpacing"/>
        <w:rPr>
          <w:rFonts w:ascii="Times New Roman" w:hAnsi="Times New Roman" w:cs="Times New Roman"/>
          <w:b/>
          <w:sz w:val="28"/>
          <w:szCs w:val="28"/>
        </w:rPr>
      </w:pPr>
      <w:r w:rsidRPr="00EE647F">
        <w:rPr>
          <w:rFonts w:ascii="Times New Roman" w:hAnsi="Times New Roman" w:cs="Times New Roman"/>
          <w:b/>
          <w:sz w:val="28"/>
          <w:szCs w:val="28"/>
        </w:rPr>
        <w:t xml:space="preserve"> </w:t>
      </w:r>
    </w:p>
    <w:p w:rsidR="006A0285" w:rsidRDefault="00FA309A" w:rsidP="00623A19">
      <w:pPr>
        <w:pStyle w:val="NoSpacing"/>
        <w:rPr>
          <w:rFonts w:ascii="Times New Roman" w:hAnsi="Times New Roman" w:cs="Times New Roman"/>
          <w:sz w:val="28"/>
          <w:szCs w:val="28"/>
        </w:rPr>
      </w:pPr>
      <w:r>
        <w:rPr>
          <w:rFonts w:ascii="Times New Roman" w:hAnsi="Times New Roman" w:cs="Times New Roman"/>
          <w:sz w:val="28"/>
          <w:szCs w:val="28"/>
        </w:rPr>
        <w:t>Turning to the impact of slow economic growth on</w:t>
      </w:r>
      <w:r w:rsidR="004C116C">
        <w:rPr>
          <w:rFonts w:ascii="Times New Roman" w:hAnsi="Times New Roman" w:cs="Times New Roman"/>
          <w:sz w:val="28"/>
          <w:szCs w:val="28"/>
        </w:rPr>
        <w:t xml:space="preserve"> specifically h</w:t>
      </w:r>
      <w:r w:rsidR="007E1AFB">
        <w:rPr>
          <w:rFonts w:ascii="Times New Roman" w:hAnsi="Times New Roman" w:cs="Times New Roman"/>
          <w:sz w:val="28"/>
          <w:szCs w:val="28"/>
        </w:rPr>
        <w:t>ealth care,</w:t>
      </w:r>
      <w:r w:rsidR="00AC4E74">
        <w:rPr>
          <w:rFonts w:ascii="Times New Roman" w:hAnsi="Times New Roman" w:cs="Times New Roman"/>
          <w:sz w:val="28"/>
          <w:szCs w:val="28"/>
        </w:rPr>
        <w:t xml:space="preserve"> </w:t>
      </w:r>
      <w:r w:rsidR="00D861A2">
        <w:rPr>
          <w:rFonts w:ascii="Times New Roman" w:hAnsi="Times New Roman" w:cs="Times New Roman"/>
          <w:sz w:val="28"/>
          <w:szCs w:val="28"/>
        </w:rPr>
        <w:t>m</w:t>
      </w:r>
      <w:r w:rsidR="004C116C">
        <w:rPr>
          <w:rFonts w:ascii="Times New Roman" w:hAnsi="Times New Roman" w:cs="Times New Roman"/>
          <w:sz w:val="28"/>
          <w:szCs w:val="28"/>
        </w:rPr>
        <w:t xml:space="preserve">any </w:t>
      </w:r>
      <w:r w:rsidR="006524A6">
        <w:rPr>
          <w:rFonts w:ascii="Times New Roman" w:hAnsi="Times New Roman" w:cs="Times New Roman"/>
          <w:sz w:val="28"/>
          <w:szCs w:val="28"/>
        </w:rPr>
        <w:t xml:space="preserve">“wealthy” </w:t>
      </w:r>
      <w:r w:rsidR="002E351A">
        <w:rPr>
          <w:rFonts w:ascii="Times New Roman" w:hAnsi="Times New Roman" w:cs="Times New Roman"/>
          <w:sz w:val="28"/>
          <w:szCs w:val="28"/>
        </w:rPr>
        <w:t xml:space="preserve">European </w:t>
      </w:r>
      <w:r w:rsidR="006524A6">
        <w:rPr>
          <w:rFonts w:ascii="Times New Roman" w:hAnsi="Times New Roman" w:cs="Times New Roman"/>
          <w:sz w:val="28"/>
          <w:szCs w:val="28"/>
        </w:rPr>
        <w:t xml:space="preserve">countries </w:t>
      </w:r>
      <w:r w:rsidR="00C06A17">
        <w:rPr>
          <w:rFonts w:ascii="Times New Roman" w:hAnsi="Times New Roman" w:cs="Times New Roman"/>
          <w:sz w:val="28"/>
          <w:szCs w:val="28"/>
        </w:rPr>
        <w:t xml:space="preserve">have </w:t>
      </w:r>
      <w:r w:rsidR="005A03CA">
        <w:rPr>
          <w:rFonts w:ascii="Times New Roman" w:hAnsi="Times New Roman" w:cs="Times New Roman"/>
          <w:sz w:val="28"/>
          <w:szCs w:val="28"/>
        </w:rPr>
        <w:t xml:space="preserve">found themselves </w:t>
      </w:r>
      <w:r w:rsidR="00C06A17">
        <w:rPr>
          <w:rFonts w:ascii="Times New Roman" w:hAnsi="Times New Roman" w:cs="Times New Roman"/>
          <w:sz w:val="28"/>
          <w:szCs w:val="28"/>
        </w:rPr>
        <w:t>unable to raise</w:t>
      </w:r>
      <w:r w:rsidR="004C116C">
        <w:rPr>
          <w:rFonts w:ascii="Times New Roman" w:hAnsi="Times New Roman" w:cs="Times New Roman"/>
          <w:sz w:val="28"/>
          <w:szCs w:val="28"/>
        </w:rPr>
        <w:t xml:space="preserve"> sufficient </w:t>
      </w:r>
      <w:r w:rsidR="006524A6">
        <w:rPr>
          <w:rFonts w:ascii="Times New Roman" w:hAnsi="Times New Roman" w:cs="Times New Roman"/>
          <w:sz w:val="28"/>
          <w:szCs w:val="28"/>
        </w:rPr>
        <w:t xml:space="preserve">new taxable </w:t>
      </w:r>
      <w:r w:rsidR="00B46860">
        <w:rPr>
          <w:rFonts w:ascii="Times New Roman" w:hAnsi="Times New Roman" w:cs="Times New Roman"/>
          <w:sz w:val="28"/>
          <w:szCs w:val="28"/>
        </w:rPr>
        <w:t>income to fund continuing</w:t>
      </w:r>
      <w:r w:rsidR="004C116C">
        <w:rPr>
          <w:rFonts w:ascii="Times New Roman" w:hAnsi="Times New Roman" w:cs="Times New Roman"/>
          <w:sz w:val="28"/>
          <w:szCs w:val="28"/>
        </w:rPr>
        <w:t xml:space="preserve"> needs for new services</w:t>
      </w:r>
      <w:r w:rsidR="00FE54F3">
        <w:rPr>
          <w:rFonts w:ascii="Times New Roman" w:hAnsi="Times New Roman" w:cs="Times New Roman"/>
          <w:sz w:val="28"/>
          <w:szCs w:val="28"/>
        </w:rPr>
        <w:t xml:space="preserve"> (precision medicine)</w:t>
      </w:r>
      <w:r w:rsidR="004C116C">
        <w:rPr>
          <w:rFonts w:ascii="Times New Roman" w:hAnsi="Times New Roman" w:cs="Times New Roman"/>
          <w:sz w:val="28"/>
          <w:szCs w:val="28"/>
        </w:rPr>
        <w:t>, new technologies (clinical and informational), newly developed p</w:t>
      </w:r>
      <w:r w:rsidR="006524A6">
        <w:rPr>
          <w:rFonts w:ascii="Times New Roman" w:hAnsi="Times New Roman" w:cs="Times New Roman"/>
          <w:sz w:val="28"/>
          <w:szCs w:val="28"/>
        </w:rPr>
        <w:t>harmaceuticals</w:t>
      </w:r>
      <w:r w:rsidR="00FE54F3">
        <w:rPr>
          <w:rFonts w:ascii="Times New Roman" w:hAnsi="Times New Roman" w:cs="Times New Roman"/>
          <w:sz w:val="28"/>
          <w:szCs w:val="28"/>
        </w:rPr>
        <w:t xml:space="preserve"> (particularly biologics)</w:t>
      </w:r>
      <w:r w:rsidR="006524A6">
        <w:rPr>
          <w:rFonts w:ascii="Times New Roman" w:hAnsi="Times New Roman" w:cs="Times New Roman"/>
          <w:sz w:val="28"/>
          <w:szCs w:val="28"/>
        </w:rPr>
        <w:t>, and</w:t>
      </w:r>
      <w:r w:rsidR="004C116C">
        <w:rPr>
          <w:rFonts w:ascii="Times New Roman" w:hAnsi="Times New Roman" w:cs="Times New Roman"/>
          <w:sz w:val="28"/>
          <w:szCs w:val="28"/>
        </w:rPr>
        <w:t xml:space="preserve"> newly capit</w:t>
      </w:r>
      <w:r w:rsidR="002E351A">
        <w:rPr>
          <w:rFonts w:ascii="Times New Roman" w:hAnsi="Times New Roman" w:cs="Times New Roman"/>
          <w:sz w:val="28"/>
          <w:szCs w:val="28"/>
        </w:rPr>
        <w:t>alized provider institutions (especially</w:t>
      </w:r>
      <w:r w:rsidR="004C116C">
        <w:rPr>
          <w:rFonts w:ascii="Times New Roman" w:hAnsi="Times New Roman" w:cs="Times New Roman"/>
          <w:sz w:val="28"/>
          <w:szCs w:val="28"/>
        </w:rPr>
        <w:t xml:space="preserve"> hospitals).</w:t>
      </w:r>
      <w:r w:rsidR="00B46860">
        <w:rPr>
          <w:rFonts w:ascii="Times New Roman" w:hAnsi="Times New Roman" w:cs="Times New Roman"/>
          <w:sz w:val="28"/>
          <w:szCs w:val="28"/>
        </w:rPr>
        <w:t xml:space="preserve"> While this</w:t>
      </w:r>
      <w:r w:rsidR="00FE54F3">
        <w:rPr>
          <w:rFonts w:ascii="Times New Roman" w:hAnsi="Times New Roman" w:cs="Times New Roman"/>
          <w:sz w:val="28"/>
          <w:szCs w:val="28"/>
        </w:rPr>
        <w:t xml:space="preserve"> shortage of funds</w:t>
      </w:r>
      <w:r w:rsidR="00B46860">
        <w:rPr>
          <w:rFonts w:ascii="Times New Roman" w:hAnsi="Times New Roman" w:cs="Times New Roman"/>
          <w:sz w:val="28"/>
          <w:szCs w:val="28"/>
        </w:rPr>
        <w:t xml:space="preserve"> is not a new problem</w:t>
      </w:r>
      <w:r w:rsidR="00EE203D">
        <w:rPr>
          <w:rFonts w:ascii="Times New Roman" w:hAnsi="Times New Roman" w:cs="Times New Roman"/>
          <w:sz w:val="28"/>
          <w:szCs w:val="28"/>
        </w:rPr>
        <w:t>,</w:t>
      </w:r>
      <w:r w:rsidR="00B46860">
        <w:rPr>
          <w:rFonts w:ascii="Times New Roman" w:hAnsi="Times New Roman" w:cs="Times New Roman"/>
          <w:sz w:val="28"/>
          <w:szCs w:val="28"/>
        </w:rPr>
        <w:t xml:space="preserve"> especially in tax-funded health systems like the NHS in England, it has </w:t>
      </w:r>
      <w:r w:rsidR="00FE54F3">
        <w:rPr>
          <w:rFonts w:ascii="Times New Roman" w:hAnsi="Times New Roman" w:cs="Times New Roman"/>
          <w:sz w:val="28"/>
          <w:szCs w:val="28"/>
        </w:rPr>
        <w:lastRenderedPageBreak/>
        <w:t xml:space="preserve">increased to critical levels and </w:t>
      </w:r>
      <w:r w:rsidR="00B46860">
        <w:rPr>
          <w:rFonts w:ascii="Times New Roman" w:hAnsi="Times New Roman" w:cs="Times New Roman"/>
          <w:sz w:val="28"/>
          <w:szCs w:val="28"/>
        </w:rPr>
        <w:t xml:space="preserve">spread more widely now across </w:t>
      </w:r>
      <w:r w:rsidR="00945B3D">
        <w:rPr>
          <w:rFonts w:ascii="Times New Roman" w:hAnsi="Times New Roman" w:cs="Times New Roman"/>
          <w:sz w:val="28"/>
          <w:szCs w:val="28"/>
        </w:rPr>
        <w:t>much of western and central</w:t>
      </w:r>
      <w:r w:rsidR="00B46860">
        <w:rPr>
          <w:rFonts w:ascii="Times New Roman" w:hAnsi="Times New Roman" w:cs="Times New Roman"/>
          <w:sz w:val="28"/>
          <w:szCs w:val="28"/>
        </w:rPr>
        <w:t xml:space="preserve"> Europe.</w:t>
      </w:r>
    </w:p>
    <w:p w:rsidR="006A0285" w:rsidRDefault="006A0285" w:rsidP="00623A19">
      <w:pPr>
        <w:pStyle w:val="NoSpacing"/>
        <w:rPr>
          <w:rFonts w:ascii="Times New Roman" w:hAnsi="Times New Roman" w:cs="Times New Roman"/>
          <w:sz w:val="28"/>
          <w:szCs w:val="28"/>
        </w:rPr>
      </w:pPr>
    </w:p>
    <w:p w:rsidR="000D660D" w:rsidRDefault="005A03CA" w:rsidP="000D660D">
      <w:pPr>
        <w:pStyle w:val="NoSpacing"/>
        <w:rPr>
          <w:rFonts w:ascii="Times New Roman" w:hAnsi="Times New Roman" w:cs="Times New Roman"/>
          <w:sz w:val="28"/>
          <w:szCs w:val="28"/>
        </w:rPr>
      </w:pPr>
      <w:r>
        <w:rPr>
          <w:rFonts w:ascii="Times New Roman" w:hAnsi="Times New Roman" w:cs="Times New Roman"/>
          <w:sz w:val="28"/>
          <w:szCs w:val="28"/>
        </w:rPr>
        <w:t>As one example of this</w:t>
      </w:r>
      <w:r w:rsidR="00753663">
        <w:rPr>
          <w:rFonts w:ascii="Times New Roman" w:hAnsi="Times New Roman" w:cs="Times New Roman"/>
          <w:sz w:val="28"/>
          <w:szCs w:val="28"/>
        </w:rPr>
        <w:t xml:space="preserve"> funding problem, i</w:t>
      </w:r>
      <w:r w:rsidR="006A0285">
        <w:rPr>
          <w:rFonts w:ascii="Times New Roman" w:hAnsi="Times New Roman" w:cs="Times New Roman"/>
          <w:sz w:val="28"/>
          <w:szCs w:val="28"/>
        </w:rPr>
        <w:t xml:space="preserve">n England </w:t>
      </w:r>
      <w:r w:rsidR="00EE203D">
        <w:rPr>
          <w:rFonts w:ascii="Times New Roman" w:hAnsi="Times New Roman" w:cs="Times New Roman"/>
          <w:sz w:val="28"/>
          <w:szCs w:val="28"/>
        </w:rPr>
        <w:t>at</w:t>
      </w:r>
      <w:r w:rsidR="006A0285">
        <w:rPr>
          <w:rFonts w:ascii="Times New Roman" w:hAnsi="Times New Roman" w:cs="Times New Roman"/>
          <w:sz w:val="28"/>
          <w:szCs w:val="28"/>
        </w:rPr>
        <w:t xml:space="preserve"> the end of April 2017, the British Pharmaceutical Association (BPA) warned that England’s largest pharmaceutical companies may be forced to leave England entirely, if the NHS doesn’t find adequate </w:t>
      </w:r>
      <w:r w:rsidR="00753663">
        <w:rPr>
          <w:rFonts w:ascii="Times New Roman" w:hAnsi="Times New Roman" w:cs="Times New Roman"/>
          <w:sz w:val="28"/>
          <w:szCs w:val="28"/>
        </w:rPr>
        <w:t xml:space="preserve">new </w:t>
      </w:r>
      <w:r w:rsidR="006A0285">
        <w:rPr>
          <w:rFonts w:ascii="Times New Roman" w:hAnsi="Times New Roman" w:cs="Times New Roman"/>
          <w:sz w:val="28"/>
          <w:szCs w:val="28"/>
        </w:rPr>
        <w:t xml:space="preserve">revenues </w:t>
      </w:r>
      <w:r w:rsidR="00753663">
        <w:rPr>
          <w:rFonts w:ascii="Times New Roman" w:hAnsi="Times New Roman" w:cs="Times New Roman"/>
          <w:sz w:val="28"/>
          <w:szCs w:val="28"/>
        </w:rPr>
        <w:t>to allow patients to gain access to</w:t>
      </w:r>
      <w:r w:rsidR="006A0285">
        <w:rPr>
          <w:rFonts w:ascii="Times New Roman" w:hAnsi="Times New Roman" w:cs="Times New Roman"/>
          <w:sz w:val="28"/>
          <w:szCs w:val="28"/>
        </w:rPr>
        <w:t xml:space="preserve"> drugs developed in thei</w:t>
      </w:r>
      <w:r w:rsidR="00F87E41">
        <w:rPr>
          <w:rFonts w:ascii="Times New Roman" w:hAnsi="Times New Roman" w:cs="Times New Roman"/>
          <w:sz w:val="28"/>
          <w:szCs w:val="28"/>
        </w:rPr>
        <w:t>r British research laboratories (Smyth, 2017).</w:t>
      </w:r>
      <w:r w:rsidR="006A0285">
        <w:rPr>
          <w:rFonts w:ascii="Times New Roman" w:hAnsi="Times New Roman" w:cs="Times New Roman"/>
          <w:sz w:val="28"/>
          <w:szCs w:val="28"/>
        </w:rPr>
        <w:t xml:space="preserve"> Both the BPA </w:t>
      </w:r>
      <w:r w:rsidR="00753663">
        <w:rPr>
          <w:rFonts w:ascii="Times New Roman" w:hAnsi="Times New Roman" w:cs="Times New Roman"/>
          <w:sz w:val="28"/>
          <w:szCs w:val="28"/>
        </w:rPr>
        <w:t>and a respected independent economist</w:t>
      </w:r>
      <w:r w:rsidR="006A0285">
        <w:rPr>
          <w:rFonts w:ascii="Times New Roman" w:hAnsi="Times New Roman" w:cs="Times New Roman"/>
          <w:sz w:val="28"/>
          <w:szCs w:val="28"/>
        </w:rPr>
        <w:t>, John A</w:t>
      </w:r>
      <w:r w:rsidR="00F87E41">
        <w:rPr>
          <w:rFonts w:ascii="Times New Roman" w:hAnsi="Times New Roman" w:cs="Times New Roman"/>
          <w:sz w:val="28"/>
          <w:szCs w:val="28"/>
        </w:rPr>
        <w:t>ppleby of Nuffield Trust, argued</w:t>
      </w:r>
      <w:r w:rsidR="006A0285">
        <w:rPr>
          <w:rFonts w:ascii="Times New Roman" w:hAnsi="Times New Roman" w:cs="Times New Roman"/>
          <w:sz w:val="28"/>
          <w:szCs w:val="28"/>
        </w:rPr>
        <w:t xml:space="preserve"> that the NHS needed immediately </w:t>
      </w:r>
      <w:r w:rsidR="00F87E41">
        <w:rPr>
          <w:rFonts w:ascii="Times New Roman" w:hAnsi="Times New Roman" w:cs="Times New Roman"/>
          <w:sz w:val="28"/>
          <w:szCs w:val="28"/>
        </w:rPr>
        <w:t xml:space="preserve">an </w:t>
      </w:r>
      <w:r w:rsidR="006A0285">
        <w:rPr>
          <w:rFonts w:ascii="Times New Roman" w:hAnsi="Times New Roman" w:cs="Times New Roman"/>
          <w:sz w:val="28"/>
          <w:szCs w:val="28"/>
        </w:rPr>
        <w:t xml:space="preserve">additional 20 billion pounds per year – that is, a 20% increase in government funding – </w:t>
      </w:r>
      <w:r w:rsidR="00F87E41">
        <w:rPr>
          <w:rFonts w:ascii="Times New Roman" w:hAnsi="Times New Roman" w:cs="Times New Roman"/>
          <w:sz w:val="28"/>
          <w:szCs w:val="28"/>
        </w:rPr>
        <w:t xml:space="preserve">in order </w:t>
      </w:r>
      <w:r w:rsidR="006A0285">
        <w:rPr>
          <w:rFonts w:ascii="Times New Roman" w:hAnsi="Times New Roman" w:cs="Times New Roman"/>
          <w:sz w:val="28"/>
          <w:szCs w:val="28"/>
        </w:rPr>
        <w:t xml:space="preserve">to be able to purchase </w:t>
      </w:r>
      <w:r w:rsidR="00753663">
        <w:rPr>
          <w:rFonts w:ascii="Times New Roman" w:hAnsi="Times New Roman" w:cs="Times New Roman"/>
          <w:sz w:val="28"/>
          <w:szCs w:val="28"/>
        </w:rPr>
        <w:t xml:space="preserve">currently </w:t>
      </w:r>
      <w:r w:rsidR="006A0285">
        <w:rPr>
          <w:rFonts w:ascii="Times New Roman" w:hAnsi="Times New Roman" w:cs="Times New Roman"/>
          <w:sz w:val="28"/>
          <w:szCs w:val="28"/>
        </w:rPr>
        <w:t>available d</w:t>
      </w:r>
      <w:r w:rsidR="00753663">
        <w:rPr>
          <w:rFonts w:ascii="Times New Roman" w:hAnsi="Times New Roman" w:cs="Times New Roman"/>
          <w:sz w:val="28"/>
          <w:szCs w:val="28"/>
        </w:rPr>
        <w:t xml:space="preserve">rugs </w:t>
      </w:r>
      <w:r w:rsidR="006A0285">
        <w:rPr>
          <w:rFonts w:ascii="Times New Roman" w:hAnsi="Times New Roman" w:cs="Times New Roman"/>
          <w:sz w:val="28"/>
          <w:szCs w:val="28"/>
        </w:rPr>
        <w:t xml:space="preserve">indicated for </w:t>
      </w:r>
      <w:r w:rsidR="00F87E41">
        <w:rPr>
          <w:rFonts w:ascii="Times New Roman" w:hAnsi="Times New Roman" w:cs="Times New Roman"/>
          <w:sz w:val="28"/>
          <w:szCs w:val="28"/>
        </w:rPr>
        <w:t xml:space="preserve">proper treatment of </w:t>
      </w:r>
      <w:r w:rsidR="006A0285">
        <w:rPr>
          <w:rFonts w:ascii="Times New Roman" w:hAnsi="Times New Roman" w:cs="Times New Roman"/>
          <w:sz w:val="28"/>
          <w:szCs w:val="28"/>
        </w:rPr>
        <w:t>their patient population (</w:t>
      </w:r>
      <w:r w:rsidR="00F87E41">
        <w:rPr>
          <w:rFonts w:ascii="Times New Roman" w:hAnsi="Times New Roman" w:cs="Times New Roman"/>
          <w:sz w:val="28"/>
          <w:szCs w:val="28"/>
        </w:rPr>
        <w:t>Smyth, 2017).</w:t>
      </w:r>
      <w:r w:rsidR="000D660D">
        <w:rPr>
          <w:rFonts w:ascii="Times New Roman" w:hAnsi="Times New Roman" w:cs="Times New Roman"/>
          <w:sz w:val="28"/>
          <w:szCs w:val="28"/>
        </w:rPr>
        <w:t xml:space="preserve"> </w:t>
      </w:r>
      <w:r w:rsidR="00BA2CDA">
        <w:rPr>
          <w:rFonts w:ascii="Times New Roman" w:hAnsi="Times New Roman" w:cs="Times New Roman"/>
          <w:sz w:val="28"/>
          <w:szCs w:val="28"/>
        </w:rPr>
        <w:t xml:space="preserve">In a separate, subsequent analysis, </w:t>
      </w:r>
      <w:r w:rsidR="000D660D">
        <w:rPr>
          <w:rFonts w:ascii="Times New Roman" w:hAnsi="Times New Roman" w:cs="Times New Roman"/>
          <w:sz w:val="28"/>
          <w:szCs w:val="28"/>
        </w:rPr>
        <w:t xml:space="preserve">Appleby and another Nuffield Trust economist concluded in May 2017 that, regardless of likely reforms and promised increases, adequate additional funding </w:t>
      </w:r>
      <w:r w:rsidR="00BA2CDA">
        <w:rPr>
          <w:rFonts w:ascii="Times New Roman" w:hAnsi="Times New Roman" w:cs="Times New Roman"/>
          <w:sz w:val="28"/>
          <w:szCs w:val="28"/>
        </w:rPr>
        <w:t xml:space="preserve">for the NHS </w:t>
      </w:r>
      <w:r w:rsidR="000D660D">
        <w:rPr>
          <w:rFonts w:ascii="Times New Roman" w:hAnsi="Times New Roman" w:cs="Times New Roman"/>
          <w:sz w:val="28"/>
          <w:szCs w:val="28"/>
        </w:rPr>
        <w:t>will almost certainly not</w:t>
      </w:r>
      <w:r w:rsidR="00BA2CDA">
        <w:rPr>
          <w:rFonts w:ascii="Times New Roman" w:hAnsi="Times New Roman" w:cs="Times New Roman"/>
          <w:sz w:val="28"/>
          <w:szCs w:val="28"/>
        </w:rPr>
        <w:t xml:space="preserve"> be available through to the end of the next Parliament</w:t>
      </w:r>
      <w:r w:rsidR="000D660D">
        <w:rPr>
          <w:rFonts w:ascii="Times New Roman" w:hAnsi="Times New Roman" w:cs="Times New Roman"/>
          <w:sz w:val="28"/>
          <w:szCs w:val="28"/>
        </w:rPr>
        <w:t xml:space="preserve"> (Gainsbury and Appleby, 2017).  </w:t>
      </w:r>
    </w:p>
    <w:p w:rsidR="001F67A6" w:rsidRDefault="00F87E41" w:rsidP="00623A1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6A0285">
        <w:rPr>
          <w:rFonts w:ascii="Times New Roman" w:hAnsi="Times New Roman" w:cs="Times New Roman"/>
          <w:sz w:val="28"/>
          <w:szCs w:val="28"/>
        </w:rPr>
        <w:t xml:space="preserve">  </w:t>
      </w:r>
    </w:p>
    <w:p w:rsidR="00F84834" w:rsidRDefault="00F84834" w:rsidP="00623A19">
      <w:pPr>
        <w:pStyle w:val="NoSpacing"/>
        <w:rPr>
          <w:rFonts w:ascii="Times New Roman" w:hAnsi="Times New Roman" w:cs="Times New Roman"/>
          <w:sz w:val="28"/>
          <w:szCs w:val="28"/>
        </w:rPr>
      </w:pPr>
    </w:p>
    <w:p w:rsidR="000C3C74" w:rsidRDefault="00F84834" w:rsidP="00623A19">
      <w:pPr>
        <w:pStyle w:val="NoSpacing"/>
        <w:rPr>
          <w:rFonts w:ascii="Times New Roman" w:hAnsi="Times New Roman" w:cs="Times New Roman"/>
          <w:sz w:val="28"/>
          <w:szCs w:val="28"/>
        </w:rPr>
      </w:pPr>
      <w:r>
        <w:rPr>
          <w:rFonts w:ascii="Times New Roman" w:hAnsi="Times New Roman" w:cs="Times New Roman"/>
          <w:sz w:val="28"/>
          <w:szCs w:val="28"/>
        </w:rPr>
        <w:t xml:space="preserve">This difficulty in </w:t>
      </w:r>
      <w:r w:rsidR="00C65AFA">
        <w:rPr>
          <w:rFonts w:ascii="Times New Roman" w:hAnsi="Times New Roman" w:cs="Times New Roman"/>
          <w:sz w:val="28"/>
          <w:szCs w:val="28"/>
        </w:rPr>
        <w:t>fund</w:t>
      </w:r>
      <w:r>
        <w:rPr>
          <w:rFonts w:ascii="Times New Roman" w:hAnsi="Times New Roman" w:cs="Times New Roman"/>
          <w:sz w:val="28"/>
          <w:szCs w:val="28"/>
        </w:rPr>
        <w:t>ing</w:t>
      </w:r>
      <w:r w:rsidR="00C65AFA">
        <w:rPr>
          <w:rFonts w:ascii="Times New Roman" w:hAnsi="Times New Roman" w:cs="Times New Roman"/>
          <w:sz w:val="28"/>
          <w:szCs w:val="28"/>
        </w:rPr>
        <w:t xml:space="preserve"> necessary care at the </w:t>
      </w:r>
      <w:r>
        <w:rPr>
          <w:rFonts w:ascii="Times New Roman" w:hAnsi="Times New Roman" w:cs="Times New Roman"/>
          <w:sz w:val="28"/>
          <w:szCs w:val="28"/>
        </w:rPr>
        <w:t xml:space="preserve">constantly </w:t>
      </w:r>
      <w:r w:rsidR="00C65AFA">
        <w:rPr>
          <w:rFonts w:ascii="Times New Roman" w:hAnsi="Times New Roman" w:cs="Times New Roman"/>
          <w:sz w:val="28"/>
          <w:szCs w:val="28"/>
        </w:rPr>
        <w:t xml:space="preserve">rising international standard (de Roo, 1995) will be </w:t>
      </w:r>
      <w:r w:rsidR="00AD1B37">
        <w:rPr>
          <w:rFonts w:ascii="Times New Roman" w:hAnsi="Times New Roman" w:cs="Times New Roman"/>
          <w:sz w:val="28"/>
          <w:szCs w:val="28"/>
        </w:rPr>
        <w:t xml:space="preserve">compounded by </w:t>
      </w:r>
      <w:r w:rsidR="00C65AFA">
        <w:rPr>
          <w:rFonts w:ascii="Times New Roman" w:hAnsi="Times New Roman" w:cs="Times New Roman"/>
          <w:sz w:val="28"/>
          <w:szCs w:val="28"/>
        </w:rPr>
        <w:t>cost</w:t>
      </w:r>
      <w:r w:rsidR="00AD1B37">
        <w:rPr>
          <w:rFonts w:ascii="Times New Roman" w:hAnsi="Times New Roman" w:cs="Times New Roman"/>
          <w:sz w:val="28"/>
          <w:szCs w:val="28"/>
        </w:rPr>
        <w:t>s for</w:t>
      </w:r>
      <w:r w:rsidR="00C65AFA">
        <w:rPr>
          <w:rFonts w:ascii="Times New Roman" w:hAnsi="Times New Roman" w:cs="Times New Roman"/>
          <w:sz w:val="28"/>
          <w:szCs w:val="28"/>
        </w:rPr>
        <w:t xml:space="preserve"> </w:t>
      </w:r>
      <w:r>
        <w:rPr>
          <w:rFonts w:ascii="Times New Roman" w:hAnsi="Times New Roman" w:cs="Times New Roman"/>
          <w:sz w:val="28"/>
          <w:szCs w:val="28"/>
        </w:rPr>
        <w:t xml:space="preserve">a new </w:t>
      </w:r>
      <w:r w:rsidR="0072172C">
        <w:rPr>
          <w:rFonts w:ascii="Times New Roman" w:hAnsi="Times New Roman" w:cs="Times New Roman"/>
          <w:sz w:val="28"/>
          <w:szCs w:val="28"/>
        </w:rPr>
        <w:t xml:space="preserve">European </w:t>
      </w:r>
      <w:r>
        <w:rPr>
          <w:rFonts w:ascii="Times New Roman" w:hAnsi="Times New Roman" w:cs="Times New Roman"/>
          <w:sz w:val="28"/>
          <w:szCs w:val="28"/>
        </w:rPr>
        <w:t>military buildup</w:t>
      </w:r>
      <w:r w:rsidR="00AD1B37">
        <w:rPr>
          <w:rFonts w:ascii="Times New Roman" w:hAnsi="Times New Roman" w:cs="Times New Roman"/>
          <w:sz w:val="28"/>
          <w:szCs w:val="28"/>
        </w:rPr>
        <w:t xml:space="preserve"> to counter expanding</w:t>
      </w:r>
      <w:r w:rsidR="00C65AFA">
        <w:rPr>
          <w:rFonts w:ascii="Times New Roman" w:hAnsi="Times New Roman" w:cs="Times New Roman"/>
          <w:sz w:val="28"/>
          <w:szCs w:val="28"/>
        </w:rPr>
        <w:t xml:space="preserve"> Russian military capabilities. </w:t>
      </w:r>
      <w:r w:rsidR="000C3C74">
        <w:rPr>
          <w:rFonts w:ascii="Times New Roman" w:hAnsi="Times New Roman" w:cs="Times New Roman"/>
          <w:sz w:val="28"/>
          <w:szCs w:val="28"/>
        </w:rPr>
        <w:t>Sweden, for example, announced in March 2017 that it would re-i</w:t>
      </w:r>
      <w:r w:rsidR="00AD1B37">
        <w:rPr>
          <w:rFonts w:ascii="Times New Roman" w:hAnsi="Times New Roman" w:cs="Times New Roman"/>
          <w:sz w:val="28"/>
          <w:szCs w:val="28"/>
        </w:rPr>
        <w:t>ntroduce military conscription and raise</w:t>
      </w:r>
      <w:r w:rsidR="000C3C74">
        <w:rPr>
          <w:rFonts w:ascii="Times New Roman" w:hAnsi="Times New Roman" w:cs="Times New Roman"/>
          <w:sz w:val="28"/>
          <w:szCs w:val="28"/>
        </w:rPr>
        <w:t xml:space="preserve"> its military expenditures by an additional 6.5 billion Swedish crowns (about $700 million) to a total of </w:t>
      </w:r>
      <w:r w:rsidR="00092062">
        <w:rPr>
          <w:rFonts w:ascii="Times New Roman" w:hAnsi="Times New Roman" w:cs="Times New Roman"/>
          <w:sz w:val="28"/>
          <w:szCs w:val="28"/>
        </w:rPr>
        <w:t>51.5 billion Swedish crowns this year (about $5.5 billion) (Milne, 2017</w:t>
      </w:r>
      <w:r w:rsidR="00F92E64">
        <w:rPr>
          <w:rFonts w:ascii="Times New Roman" w:hAnsi="Times New Roman" w:cs="Times New Roman"/>
          <w:sz w:val="28"/>
          <w:szCs w:val="28"/>
        </w:rPr>
        <w:t>a</w:t>
      </w:r>
      <w:r w:rsidR="00092062">
        <w:rPr>
          <w:rFonts w:ascii="Times New Roman" w:hAnsi="Times New Roman" w:cs="Times New Roman"/>
          <w:sz w:val="28"/>
          <w:szCs w:val="28"/>
        </w:rPr>
        <w:t>).</w:t>
      </w:r>
    </w:p>
    <w:p w:rsidR="007B4C50" w:rsidRDefault="007B4C50" w:rsidP="00623A19">
      <w:pPr>
        <w:pStyle w:val="NoSpacing"/>
        <w:rPr>
          <w:rFonts w:ascii="Times New Roman" w:hAnsi="Times New Roman" w:cs="Times New Roman"/>
          <w:sz w:val="28"/>
          <w:szCs w:val="28"/>
        </w:rPr>
      </w:pPr>
    </w:p>
    <w:p w:rsidR="000A2427" w:rsidRDefault="00946C07" w:rsidP="000A2427">
      <w:pPr>
        <w:pStyle w:val="NoSpacing"/>
        <w:rPr>
          <w:rFonts w:ascii="Times New Roman" w:hAnsi="Times New Roman" w:cs="Times New Roman"/>
          <w:sz w:val="28"/>
          <w:szCs w:val="28"/>
        </w:rPr>
      </w:pPr>
      <w:r>
        <w:rPr>
          <w:rFonts w:ascii="Times New Roman" w:hAnsi="Times New Roman" w:cs="Times New Roman"/>
          <w:sz w:val="28"/>
          <w:szCs w:val="28"/>
        </w:rPr>
        <w:t>Beyond constraints on</w:t>
      </w:r>
      <w:r w:rsidR="007B4C50">
        <w:rPr>
          <w:rFonts w:ascii="Times New Roman" w:hAnsi="Times New Roman" w:cs="Times New Roman"/>
          <w:sz w:val="28"/>
          <w:szCs w:val="28"/>
        </w:rPr>
        <w:t xml:space="preserve"> </w:t>
      </w:r>
      <w:r>
        <w:rPr>
          <w:rFonts w:ascii="Times New Roman" w:hAnsi="Times New Roman" w:cs="Times New Roman"/>
          <w:sz w:val="28"/>
          <w:szCs w:val="28"/>
        </w:rPr>
        <w:t>new public</w:t>
      </w:r>
      <w:r w:rsidR="00D54B2F">
        <w:rPr>
          <w:rFonts w:ascii="Times New Roman" w:hAnsi="Times New Roman" w:cs="Times New Roman"/>
          <w:sz w:val="28"/>
          <w:szCs w:val="28"/>
        </w:rPr>
        <w:t xml:space="preserve"> revenue</w:t>
      </w:r>
      <w:r>
        <w:rPr>
          <w:rFonts w:ascii="Times New Roman" w:hAnsi="Times New Roman" w:cs="Times New Roman"/>
          <w:sz w:val="28"/>
          <w:szCs w:val="28"/>
        </w:rPr>
        <w:t>s</w:t>
      </w:r>
      <w:r w:rsidR="00D54B2F">
        <w:rPr>
          <w:rFonts w:ascii="Times New Roman" w:hAnsi="Times New Roman" w:cs="Times New Roman"/>
          <w:sz w:val="28"/>
          <w:szCs w:val="28"/>
        </w:rPr>
        <w:t>, European</w:t>
      </w:r>
      <w:r w:rsidR="00694B68">
        <w:rPr>
          <w:rFonts w:ascii="Times New Roman" w:hAnsi="Times New Roman" w:cs="Times New Roman"/>
          <w:sz w:val="28"/>
          <w:szCs w:val="28"/>
        </w:rPr>
        <w:t>,</w:t>
      </w:r>
      <w:r w:rsidR="00D54B2F">
        <w:rPr>
          <w:rFonts w:ascii="Times New Roman" w:hAnsi="Times New Roman" w:cs="Times New Roman"/>
          <w:sz w:val="28"/>
          <w:szCs w:val="28"/>
        </w:rPr>
        <w:t xml:space="preserve"> like most developed health systems</w:t>
      </w:r>
      <w:r w:rsidR="00694B68">
        <w:rPr>
          <w:rFonts w:ascii="Times New Roman" w:hAnsi="Times New Roman" w:cs="Times New Roman"/>
          <w:sz w:val="28"/>
          <w:szCs w:val="28"/>
        </w:rPr>
        <w:t>,</w:t>
      </w:r>
      <w:r w:rsidR="00D54B2F">
        <w:rPr>
          <w:rFonts w:ascii="Times New Roman" w:hAnsi="Times New Roman" w:cs="Times New Roman"/>
          <w:sz w:val="28"/>
          <w:szCs w:val="28"/>
        </w:rPr>
        <w:t xml:space="preserve"> face </w:t>
      </w:r>
      <w:r w:rsidR="000A2427">
        <w:rPr>
          <w:rFonts w:ascii="Times New Roman" w:hAnsi="Times New Roman" w:cs="Times New Roman"/>
          <w:sz w:val="28"/>
          <w:szCs w:val="28"/>
        </w:rPr>
        <w:t>increased pressure from a</w:t>
      </w:r>
      <w:r w:rsidR="005A58A1">
        <w:rPr>
          <w:rFonts w:ascii="Times New Roman" w:hAnsi="Times New Roman" w:cs="Times New Roman"/>
          <w:sz w:val="28"/>
          <w:szCs w:val="28"/>
        </w:rPr>
        <w:t xml:space="preserve"> substantial number</w:t>
      </w:r>
      <w:r w:rsidR="000A2427">
        <w:rPr>
          <w:rFonts w:ascii="Times New Roman" w:hAnsi="Times New Roman" w:cs="Times New Roman"/>
          <w:sz w:val="28"/>
          <w:szCs w:val="28"/>
        </w:rPr>
        <w:t xml:space="preserve"> of quarters:</w:t>
      </w:r>
    </w:p>
    <w:p w:rsidR="00C66A81" w:rsidRPr="00D54B2F" w:rsidRDefault="000A2427" w:rsidP="000A2427">
      <w:pPr>
        <w:pStyle w:val="NoSpacing"/>
        <w:numPr>
          <w:ilvl w:val="0"/>
          <w:numId w:val="1"/>
        </w:numPr>
        <w:rPr>
          <w:rFonts w:ascii="Times New Roman" w:hAnsi="Times New Roman"/>
          <w:sz w:val="28"/>
          <w:szCs w:val="28"/>
        </w:rPr>
      </w:pPr>
      <w:r>
        <w:rPr>
          <w:rFonts w:ascii="Times New Roman" w:hAnsi="Times New Roman"/>
          <w:sz w:val="28"/>
          <w:szCs w:val="28"/>
        </w:rPr>
        <w:t>Demographic (aging, m</w:t>
      </w:r>
      <w:r w:rsidR="007104C0" w:rsidRPr="00D54B2F">
        <w:rPr>
          <w:rFonts w:ascii="Times New Roman" w:hAnsi="Times New Roman"/>
          <w:sz w:val="28"/>
          <w:szCs w:val="28"/>
        </w:rPr>
        <w:t>igration)</w:t>
      </w:r>
    </w:p>
    <w:p w:rsidR="00C66A81" w:rsidRPr="00D54B2F" w:rsidRDefault="000A2427" w:rsidP="000E51A3">
      <w:pPr>
        <w:pStyle w:val="NoSpacing"/>
        <w:numPr>
          <w:ilvl w:val="0"/>
          <w:numId w:val="1"/>
        </w:numPr>
        <w:rPr>
          <w:rFonts w:ascii="Times New Roman" w:hAnsi="Times New Roman"/>
          <w:sz w:val="28"/>
          <w:szCs w:val="28"/>
        </w:rPr>
      </w:pPr>
      <w:r>
        <w:rPr>
          <w:rFonts w:ascii="Times New Roman" w:hAnsi="Times New Roman"/>
          <w:sz w:val="28"/>
          <w:szCs w:val="28"/>
        </w:rPr>
        <w:t>Technological (digitalization; new p</w:t>
      </w:r>
      <w:r w:rsidR="007104C0" w:rsidRPr="00D54B2F">
        <w:rPr>
          <w:rFonts w:ascii="Times New Roman" w:hAnsi="Times New Roman"/>
          <w:sz w:val="28"/>
          <w:szCs w:val="28"/>
        </w:rPr>
        <w:t>harmaceuticals)</w:t>
      </w:r>
    </w:p>
    <w:p w:rsidR="00C66A81" w:rsidRPr="00D54B2F" w:rsidRDefault="000A2427" w:rsidP="000E51A3">
      <w:pPr>
        <w:pStyle w:val="NoSpacing"/>
        <w:numPr>
          <w:ilvl w:val="0"/>
          <w:numId w:val="1"/>
        </w:numPr>
        <w:rPr>
          <w:rFonts w:ascii="Times New Roman" w:hAnsi="Times New Roman"/>
          <w:sz w:val="28"/>
          <w:szCs w:val="28"/>
        </w:rPr>
      </w:pPr>
      <w:r>
        <w:rPr>
          <w:rFonts w:ascii="Times New Roman" w:hAnsi="Times New Roman"/>
          <w:sz w:val="28"/>
          <w:szCs w:val="28"/>
        </w:rPr>
        <w:t>Patient expectations (quality; responsiveness; c</w:t>
      </w:r>
      <w:r w:rsidR="007104C0" w:rsidRPr="00D54B2F">
        <w:rPr>
          <w:rFonts w:ascii="Times New Roman" w:hAnsi="Times New Roman"/>
          <w:sz w:val="28"/>
          <w:szCs w:val="28"/>
        </w:rPr>
        <w:t>hoice)</w:t>
      </w:r>
    </w:p>
    <w:p w:rsidR="00C66A81" w:rsidRPr="00D54B2F" w:rsidRDefault="000A2427" w:rsidP="000E51A3">
      <w:pPr>
        <w:pStyle w:val="NoSpacing"/>
        <w:numPr>
          <w:ilvl w:val="0"/>
          <w:numId w:val="1"/>
        </w:numPr>
        <w:rPr>
          <w:rFonts w:ascii="Times New Roman" w:hAnsi="Times New Roman"/>
          <w:sz w:val="28"/>
          <w:szCs w:val="28"/>
        </w:rPr>
      </w:pPr>
      <w:r>
        <w:rPr>
          <w:rFonts w:ascii="Times New Roman" w:hAnsi="Times New Roman"/>
          <w:sz w:val="28"/>
          <w:szCs w:val="28"/>
        </w:rPr>
        <w:t>Workforce (recruiting; higher wages; b</w:t>
      </w:r>
      <w:r w:rsidR="007104C0" w:rsidRPr="00D54B2F">
        <w:rPr>
          <w:rFonts w:ascii="Times New Roman" w:hAnsi="Times New Roman"/>
          <w:sz w:val="28"/>
          <w:szCs w:val="28"/>
        </w:rPr>
        <w:t>urnout)</w:t>
      </w:r>
    </w:p>
    <w:p w:rsidR="00C66A81" w:rsidRPr="00D54B2F" w:rsidRDefault="000A2427" w:rsidP="000E51A3">
      <w:pPr>
        <w:pStyle w:val="NoSpacing"/>
        <w:numPr>
          <w:ilvl w:val="0"/>
          <w:numId w:val="1"/>
        </w:numPr>
        <w:rPr>
          <w:rFonts w:ascii="Times New Roman" w:hAnsi="Times New Roman"/>
          <w:sz w:val="28"/>
          <w:szCs w:val="28"/>
        </w:rPr>
      </w:pPr>
      <w:r>
        <w:rPr>
          <w:rFonts w:ascii="Times New Roman" w:hAnsi="Times New Roman"/>
          <w:sz w:val="28"/>
          <w:szCs w:val="28"/>
        </w:rPr>
        <w:t>Capital investment (renovations; capital e</w:t>
      </w:r>
      <w:r w:rsidR="007104C0" w:rsidRPr="00D54B2F">
        <w:rPr>
          <w:rFonts w:ascii="Times New Roman" w:hAnsi="Times New Roman"/>
          <w:sz w:val="28"/>
          <w:szCs w:val="28"/>
        </w:rPr>
        <w:t>quipment</w:t>
      </w:r>
      <w:r>
        <w:rPr>
          <w:rFonts w:ascii="Times New Roman" w:hAnsi="Times New Roman"/>
          <w:sz w:val="28"/>
          <w:szCs w:val="28"/>
        </w:rPr>
        <w:t>; information technology</w:t>
      </w:r>
      <w:r w:rsidR="007104C0" w:rsidRPr="00D54B2F">
        <w:rPr>
          <w:rFonts w:ascii="Times New Roman" w:hAnsi="Times New Roman"/>
          <w:sz w:val="28"/>
          <w:szCs w:val="28"/>
        </w:rPr>
        <w:t>)</w:t>
      </w:r>
    </w:p>
    <w:p w:rsidR="00D54B2F" w:rsidRDefault="00D54B2F" w:rsidP="00623A19">
      <w:pPr>
        <w:pStyle w:val="NoSpacing"/>
        <w:rPr>
          <w:rFonts w:ascii="Times New Roman" w:hAnsi="Times New Roman" w:cs="Times New Roman"/>
          <w:sz w:val="28"/>
          <w:szCs w:val="28"/>
        </w:rPr>
      </w:pPr>
    </w:p>
    <w:p w:rsidR="00946C07" w:rsidRDefault="00946C07" w:rsidP="00946C07">
      <w:pPr>
        <w:pStyle w:val="NoSpacing"/>
        <w:rPr>
          <w:rFonts w:ascii="Times New Roman" w:hAnsi="Times New Roman" w:cs="Times New Roman"/>
          <w:sz w:val="28"/>
          <w:szCs w:val="28"/>
        </w:rPr>
      </w:pPr>
      <w:r>
        <w:rPr>
          <w:rFonts w:ascii="Times New Roman" w:hAnsi="Times New Roman" w:cs="Times New Roman"/>
          <w:sz w:val="28"/>
          <w:szCs w:val="28"/>
        </w:rPr>
        <w:t xml:space="preserve">In brief, </w:t>
      </w:r>
      <w:r w:rsidR="003A35C7">
        <w:rPr>
          <w:rFonts w:ascii="Times New Roman" w:hAnsi="Times New Roman" w:cs="Times New Roman"/>
          <w:sz w:val="28"/>
          <w:szCs w:val="28"/>
        </w:rPr>
        <w:t xml:space="preserve">the existing structure of </w:t>
      </w:r>
      <w:r>
        <w:rPr>
          <w:rFonts w:ascii="Times New Roman" w:hAnsi="Times New Roman" w:cs="Times New Roman"/>
          <w:sz w:val="28"/>
          <w:szCs w:val="28"/>
        </w:rPr>
        <w:t>European health sector finance and organization</w:t>
      </w:r>
      <w:r w:rsidR="003A35C7">
        <w:rPr>
          <w:rFonts w:ascii="Times New Roman" w:hAnsi="Times New Roman" w:cs="Times New Roman"/>
          <w:sz w:val="28"/>
          <w:szCs w:val="28"/>
        </w:rPr>
        <w:t xml:space="preserve"> </w:t>
      </w:r>
      <w:r w:rsidR="002E351A">
        <w:rPr>
          <w:rFonts w:ascii="Times New Roman" w:hAnsi="Times New Roman" w:cs="Times New Roman"/>
          <w:sz w:val="28"/>
          <w:szCs w:val="28"/>
        </w:rPr>
        <w:t>has become</w:t>
      </w:r>
      <w:r w:rsidR="00025497">
        <w:rPr>
          <w:rFonts w:ascii="Times New Roman" w:hAnsi="Times New Roman" w:cs="Times New Roman"/>
          <w:sz w:val="28"/>
          <w:szCs w:val="28"/>
        </w:rPr>
        <w:t xml:space="preserve"> </w:t>
      </w:r>
      <w:r>
        <w:rPr>
          <w:rFonts w:ascii="Times New Roman" w:hAnsi="Times New Roman" w:cs="Times New Roman"/>
          <w:sz w:val="28"/>
          <w:szCs w:val="28"/>
        </w:rPr>
        <w:t xml:space="preserve">and is likely to remain </w:t>
      </w:r>
      <w:r w:rsidR="00025497">
        <w:rPr>
          <w:rFonts w:ascii="Times New Roman" w:hAnsi="Times New Roman" w:cs="Times New Roman"/>
          <w:sz w:val="28"/>
          <w:szCs w:val="28"/>
        </w:rPr>
        <w:t>seriously strained</w:t>
      </w:r>
      <w:r>
        <w:rPr>
          <w:rFonts w:ascii="Times New Roman" w:hAnsi="Times New Roman" w:cs="Times New Roman"/>
          <w:sz w:val="28"/>
          <w:szCs w:val="28"/>
        </w:rPr>
        <w:t xml:space="preserve"> going forward.</w:t>
      </w:r>
    </w:p>
    <w:p w:rsidR="00946C07" w:rsidRDefault="00946C07" w:rsidP="00946C07">
      <w:pPr>
        <w:pStyle w:val="NoSpacing"/>
        <w:rPr>
          <w:rFonts w:ascii="Times New Roman" w:hAnsi="Times New Roman" w:cs="Times New Roman"/>
          <w:sz w:val="28"/>
          <w:szCs w:val="28"/>
        </w:rPr>
      </w:pPr>
    </w:p>
    <w:p w:rsidR="005765DC" w:rsidRDefault="005765DC" w:rsidP="00946C07">
      <w:pPr>
        <w:pStyle w:val="NoSpacing"/>
        <w:rPr>
          <w:rFonts w:ascii="Times New Roman" w:hAnsi="Times New Roman" w:cs="Times New Roman"/>
          <w:b/>
          <w:sz w:val="28"/>
          <w:szCs w:val="28"/>
        </w:rPr>
      </w:pPr>
    </w:p>
    <w:p w:rsidR="005765DC" w:rsidRDefault="005765DC" w:rsidP="00946C07">
      <w:pPr>
        <w:pStyle w:val="NoSpacing"/>
        <w:rPr>
          <w:rFonts w:ascii="Times New Roman" w:hAnsi="Times New Roman" w:cs="Times New Roman"/>
          <w:b/>
          <w:sz w:val="28"/>
          <w:szCs w:val="28"/>
        </w:rPr>
      </w:pPr>
    </w:p>
    <w:p w:rsidR="005765DC" w:rsidRDefault="005765DC" w:rsidP="00946C07">
      <w:pPr>
        <w:pStyle w:val="NoSpacing"/>
        <w:rPr>
          <w:rFonts w:ascii="Times New Roman" w:hAnsi="Times New Roman" w:cs="Times New Roman"/>
          <w:b/>
          <w:sz w:val="28"/>
          <w:szCs w:val="28"/>
        </w:rPr>
      </w:pPr>
    </w:p>
    <w:p w:rsidR="0050256D" w:rsidRDefault="00B46F41" w:rsidP="000648BC">
      <w:pPr>
        <w:pStyle w:val="NoSpacing"/>
        <w:numPr>
          <w:ilvl w:val="0"/>
          <w:numId w:val="17"/>
        </w:numPr>
        <w:rPr>
          <w:rFonts w:ascii="Times New Roman" w:hAnsi="Times New Roman" w:cs="Times New Roman"/>
          <w:b/>
          <w:sz w:val="28"/>
          <w:szCs w:val="28"/>
        </w:rPr>
      </w:pPr>
      <w:r>
        <w:rPr>
          <w:rFonts w:ascii="Times New Roman" w:hAnsi="Times New Roman" w:cs="Times New Roman"/>
          <w:b/>
          <w:sz w:val="28"/>
          <w:szCs w:val="28"/>
        </w:rPr>
        <w:t>Patterns in</w:t>
      </w:r>
      <w:r w:rsidR="00E70D19">
        <w:rPr>
          <w:rFonts w:ascii="Times New Roman" w:hAnsi="Times New Roman" w:cs="Times New Roman"/>
          <w:b/>
          <w:sz w:val="28"/>
          <w:szCs w:val="28"/>
        </w:rPr>
        <w:t xml:space="preserve"> Post-2008 European</w:t>
      </w:r>
      <w:r w:rsidR="007A0532" w:rsidRPr="007A0532">
        <w:rPr>
          <w:rFonts w:ascii="Times New Roman" w:hAnsi="Times New Roman" w:cs="Times New Roman"/>
          <w:b/>
          <w:sz w:val="28"/>
          <w:szCs w:val="28"/>
        </w:rPr>
        <w:t xml:space="preserve"> Health Reforms</w:t>
      </w:r>
    </w:p>
    <w:p w:rsidR="00B570F2" w:rsidRDefault="00B570F2" w:rsidP="00B570F2">
      <w:pPr>
        <w:pStyle w:val="NoSpacing"/>
        <w:rPr>
          <w:rFonts w:ascii="Times New Roman" w:hAnsi="Times New Roman" w:cs="Times New Roman"/>
          <w:b/>
          <w:sz w:val="28"/>
          <w:szCs w:val="28"/>
        </w:rPr>
      </w:pPr>
    </w:p>
    <w:p w:rsidR="00B570F2" w:rsidRDefault="00B570F2" w:rsidP="00B570F2">
      <w:pPr>
        <w:pStyle w:val="NoSpacing"/>
        <w:rPr>
          <w:rFonts w:ascii="Times New Roman" w:hAnsi="Times New Roman" w:cs="Times New Roman"/>
          <w:b/>
          <w:sz w:val="28"/>
          <w:szCs w:val="28"/>
        </w:rPr>
      </w:pPr>
    </w:p>
    <w:p w:rsidR="00CA2532" w:rsidRDefault="00CA2532" w:rsidP="00623A19">
      <w:pPr>
        <w:pStyle w:val="NoSpacing"/>
        <w:rPr>
          <w:rFonts w:ascii="Times New Roman" w:hAnsi="Times New Roman" w:cs="Times New Roman"/>
          <w:b/>
          <w:sz w:val="28"/>
          <w:szCs w:val="28"/>
        </w:rPr>
      </w:pPr>
    </w:p>
    <w:p w:rsidR="001A1E1E" w:rsidRDefault="00CA2532" w:rsidP="00623A19">
      <w:pPr>
        <w:pStyle w:val="NoSpacing"/>
        <w:rPr>
          <w:rFonts w:ascii="Times New Roman" w:hAnsi="Times New Roman" w:cs="Times New Roman"/>
          <w:sz w:val="28"/>
          <w:szCs w:val="28"/>
        </w:rPr>
      </w:pPr>
      <w:r w:rsidRPr="00CA2532">
        <w:rPr>
          <w:rFonts w:ascii="Times New Roman" w:hAnsi="Times New Roman" w:cs="Times New Roman"/>
          <w:sz w:val="28"/>
          <w:szCs w:val="28"/>
        </w:rPr>
        <w:t xml:space="preserve">The </w:t>
      </w:r>
      <w:r>
        <w:rPr>
          <w:rFonts w:ascii="Times New Roman" w:hAnsi="Times New Roman" w:cs="Times New Roman"/>
          <w:sz w:val="28"/>
          <w:szCs w:val="28"/>
        </w:rPr>
        <w:t xml:space="preserve">academic </w:t>
      </w:r>
      <w:r w:rsidR="007B4C50">
        <w:rPr>
          <w:rFonts w:ascii="Times New Roman" w:hAnsi="Times New Roman" w:cs="Times New Roman"/>
          <w:sz w:val="28"/>
          <w:szCs w:val="28"/>
        </w:rPr>
        <w:t>literature on</w:t>
      </w:r>
      <w:r>
        <w:rPr>
          <w:rFonts w:ascii="Times New Roman" w:hAnsi="Times New Roman" w:cs="Times New Roman"/>
          <w:sz w:val="28"/>
          <w:szCs w:val="28"/>
        </w:rPr>
        <w:t xml:space="preserve"> the present institutional dilemma in Western developed heal</w:t>
      </w:r>
      <w:r w:rsidR="00C32E88">
        <w:rPr>
          <w:rFonts w:ascii="Times New Roman" w:hAnsi="Times New Roman" w:cs="Times New Roman"/>
          <w:sz w:val="28"/>
          <w:szCs w:val="28"/>
        </w:rPr>
        <w:t>th</w:t>
      </w:r>
      <w:r w:rsidR="002600DB">
        <w:rPr>
          <w:rFonts w:ascii="Times New Roman" w:hAnsi="Times New Roman" w:cs="Times New Roman"/>
          <w:sz w:val="28"/>
          <w:szCs w:val="28"/>
        </w:rPr>
        <w:t xml:space="preserve"> systems is rather narrowly framed</w:t>
      </w:r>
      <w:r w:rsidR="007B4C50">
        <w:rPr>
          <w:rFonts w:ascii="Times New Roman" w:hAnsi="Times New Roman" w:cs="Times New Roman"/>
          <w:sz w:val="28"/>
          <w:szCs w:val="28"/>
        </w:rPr>
        <w:t>.</w:t>
      </w:r>
      <w:r w:rsidR="002F4328">
        <w:rPr>
          <w:rFonts w:ascii="Times New Roman" w:hAnsi="Times New Roman" w:cs="Times New Roman"/>
          <w:sz w:val="28"/>
          <w:szCs w:val="28"/>
        </w:rPr>
        <w:t xml:space="preserve"> </w:t>
      </w:r>
      <w:r>
        <w:rPr>
          <w:rFonts w:ascii="Times New Roman" w:hAnsi="Times New Roman" w:cs="Times New Roman"/>
          <w:sz w:val="28"/>
          <w:szCs w:val="28"/>
        </w:rPr>
        <w:t xml:space="preserve"> </w:t>
      </w:r>
      <w:r w:rsidR="00012677" w:rsidRPr="00012677">
        <w:rPr>
          <w:rFonts w:ascii="Times New Roman" w:hAnsi="Times New Roman" w:cs="Times New Roman"/>
          <w:sz w:val="28"/>
          <w:szCs w:val="28"/>
        </w:rPr>
        <w:t>The initial res</w:t>
      </w:r>
      <w:r w:rsidR="00012677">
        <w:rPr>
          <w:rFonts w:ascii="Times New Roman" w:hAnsi="Times New Roman" w:cs="Times New Roman"/>
          <w:sz w:val="28"/>
          <w:szCs w:val="28"/>
        </w:rPr>
        <w:t xml:space="preserve">ponse in most countries </w:t>
      </w:r>
      <w:r w:rsidR="00A00AFC">
        <w:rPr>
          <w:rFonts w:ascii="Times New Roman" w:hAnsi="Times New Roman" w:cs="Times New Roman"/>
          <w:sz w:val="28"/>
          <w:szCs w:val="28"/>
        </w:rPr>
        <w:t xml:space="preserve">to the 2008 financial crisis </w:t>
      </w:r>
      <w:r w:rsidR="00012677">
        <w:rPr>
          <w:rFonts w:ascii="Times New Roman" w:hAnsi="Times New Roman" w:cs="Times New Roman"/>
          <w:sz w:val="28"/>
          <w:szCs w:val="28"/>
        </w:rPr>
        <w:t>was</w:t>
      </w:r>
      <w:r w:rsidR="007B4C50">
        <w:rPr>
          <w:rFonts w:ascii="Times New Roman" w:hAnsi="Times New Roman" w:cs="Times New Roman"/>
          <w:sz w:val="28"/>
          <w:szCs w:val="28"/>
        </w:rPr>
        <w:t xml:space="preserve"> s</w:t>
      </w:r>
      <w:r w:rsidR="00667A2E">
        <w:rPr>
          <w:rFonts w:ascii="Times New Roman" w:hAnsi="Times New Roman" w:cs="Times New Roman"/>
          <w:sz w:val="28"/>
          <w:szCs w:val="28"/>
        </w:rPr>
        <w:t>hort-term and s</w:t>
      </w:r>
      <w:r w:rsidR="007B4C50">
        <w:rPr>
          <w:rFonts w:ascii="Times New Roman" w:hAnsi="Times New Roman" w:cs="Times New Roman"/>
          <w:sz w:val="28"/>
          <w:szCs w:val="28"/>
        </w:rPr>
        <w:t>uperficial</w:t>
      </w:r>
      <w:r w:rsidR="00A00AFC">
        <w:rPr>
          <w:rFonts w:ascii="Times New Roman" w:hAnsi="Times New Roman" w:cs="Times New Roman"/>
          <w:sz w:val="28"/>
          <w:szCs w:val="28"/>
        </w:rPr>
        <w:t xml:space="preserve"> (Mladovsky et al., 2012), </w:t>
      </w:r>
      <w:r w:rsidR="00012677" w:rsidRPr="00012677">
        <w:rPr>
          <w:rFonts w:ascii="Times New Roman" w:hAnsi="Times New Roman" w:cs="Times New Roman"/>
          <w:sz w:val="28"/>
          <w:szCs w:val="28"/>
        </w:rPr>
        <w:t>premised on</w:t>
      </w:r>
      <w:r w:rsidR="00A00AFC">
        <w:rPr>
          <w:rFonts w:ascii="Times New Roman" w:hAnsi="Times New Roman" w:cs="Times New Roman"/>
          <w:sz w:val="28"/>
          <w:szCs w:val="28"/>
        </w:rPr>
        <w:t xml:space="preserve"> the assumption that, if expenditures</w:t>
      </w:r>
      <w:r w:rsidR="007B2F73">
        <w:rPr>
          <w:rFonts w:ascii="Times New Roman" w:hAnsi="Times New Roman" w:cs="Times New Roman"/>
          <w:sz w:val="28"/>
          <w:szCs w:val="28"/>
        </w:rPr>
        <w:t xml:space="preserve"> were </w:t>
      </w:r>
      <w:r w:rsidR="008F11B8">
        <w:rPr>
          <w:rFonts w:ascii="Times New Roman" w:hAnsi="Times New Roman" w:cs="Times New Roman"/>
          <w:sz w:val="28"/>
          <w:szCs w:val="28"/>
        </w:rPr>
        <w:t>protected by ring-fencing</w:t>
      </w:r>
      <w:r w:rsidR="00012677" w:rsidRPr="00012677">
        <w:rPr>
          <w:rFonts w:ascii="Times New Roman" w:hAnsi="Times New Roman" w:cs="Times New Roman"/>
          <w:sz w:val="28"/>
          <w:szCs w:val="28"/>
        </w:rPr>
        <w:t>, the problem would likely go away on its own</w:t>
      </w:r>
      <w:r w:rsidR="007B2F73">
        <w:rPr>
          <w:rFonts w:ascii="Times New Roman" w:hAnsi="Times New Roman" w:cs="Times New Roman"/>
          <w:sz w:val="28"/>
          <w:szCs w:val="28"/>
        </w:rPr>
        <w:t xml:space="preserve"> - </w:t>
      </w:r>
      <w:r w:rsidR="00012677" w:rsidRPr="00012677">
        <w:rPr>
          <w:rFonts w:ascii="Times New Roman" w:hAnsi="Times New Roman" w:cs="Times New Roman"/>
          <w:sz w:val="28"/>
          <w:szCs w:val="28"/>
        </w:rPr>
        <w:t xml:space="preserve"> e</w:t>
      </w:r>
      <w:r w:rsidR="00B75FE6">
        <w:rPr>
          <w:rFonts w:ascii="Times New Roman" w:hAnsi="Times New Roman" w:cs="Times New Roman"/>
          <w:sz w:val="28"/>
          <w:szCs w:val="28"/>
        </w:rPr>
        <w:t>.</w:t>
      </w:r>
      <w:r w:rsidR="00012677" w:rsidRPr="00012677">
        <w:rPr>
          <w:rFonts w:ascii="Times New Roman" w:hAnsi="Times New Roman" w:cs="Times New Roman"/>
          <w:sz w:val="28"/>
          <w:szCs w:val="28"/>
        </w:rPr>
        <w:t>g</w:t>
      </w:r>
      <w:r w:rsidR="00B75FE6">
        <w:rPr>
          <w:rFonts w:ascii="Times New Roman" w:hAnsi="Times New Roman" w:cs="Times New Roman"/>
          <w:sz w:val="28"/>
          <w:szCs w:val="28"/>
        </w:rPr>
        <w:t>.,</w:t>
      </w:r>
      <w:r w:rsidR="00012677" w:rsidRPr="00012677">
        <w:rPr>
          <w:rFonts w:ascii="Times New Roman" w:hAnsi="Times New Roman" w:cs="Times New Roman"/>
          <w:sz w:val="28"/>
          <w:szCs w:val="28"/>
        </w:rPr>
        <w:t xml:space="preserve"> that growth would return to national economies and that </w:t>
      </w:r>
      <w:r w:rsidR="007B2F73">
        <w:rPr>
          <w:rFonts w:ascii="Times New Roman" w:hAnsi="Times New Roman" w:cs="Times New Roman"/>
          <w:sz w:val="28"/>
          <w:szCs w:val="28"/>
        </w:rPr>
        <w:t xml:space="preserve">increases in </w:t>
      </w:r>
      <w:r w:rsidR="00012677" w:rsidRPr="00012677">
        <w:rPr>
          <w:rFonts w:ascii="Times New Roman" w:hAnsi="Times New Roman" w:cs="Times New Roman"/>
          <w:sz w:val="28"/>
          <w:szCs w:val="28"/>
        </w:rPr>
        <w:t>health secto</w:t>
      </w:r>
      <w:r w:rsidR="007B2F73">
        <w:rPr>
          <w:rFonts w:ascii="Times New Roman" w:hAnsi="Times New Roman" w:cs="Times New Roman"/>
          <w:sz w:val="28"/>
          <w:szCs w:val="28"/>
        </w:rPr>
        <w:t>r revenues would resume</w:t>
      </w:r>
      <w:r w:rsidR="00AF3B21" w:rsidRPr="00D27344">
        <w:rPr>
          <w:rFonts w:ascii="Times New Roman" w:hAnsi="Times New Roman" w:cs="Times New Roman"/>
          <w:b/>
          <w:sz w:val="28"/>
          <w:szCs w:val="28"/>
        </w:rPr>
        <w:t>.</w:t>
      </w:r>
      <w:r w:rsidR="00012677" w:rsidRPr="00012677">
        <w:rPr>
          <w:rFonts w:ascii="Times New Roman" w:hAnsi="Times New Roman" w:cs="Times New Roman"/>
          <w:sz w:val="28"/>
          <w:szCs w:val="28"/>
        </w:rPr>
        <w:t xml:space="preserve"> </w:t>
      </w:r>
      <w:r w:rsidR="004E7242">
        <w:rPr>
          <w:rFonts w:ascii="Times New Roman" w:hAnsi="Times New Roman" w:cs="Times New Roman"/>
          <w:sz w:val="28"/>
          <w:szCs w:val="28"/>
        </w:rPr>
        <w:t>When funding</w:t>
      </w:r>
      <w:r w:rsidR="00012677">
        <w:rPr>
          <w:rFonts w:ascii="Times New Roman" w:hAnsi="Times New Roman" w:cs="Times New Roman"/>
          <w:sz w:val="28"/>
          <w:szCs w:val="28"/>
        </w:rPr>
        <w:t xml:space="preserve"> cuts were introduced, these often occurred</w:t>
      </w:r>
      <w:r w:rsidR="00012677" w:rsidRPr="00012677">
        <w:rPr>
          <w:rFonts w:ascii="Times New Roman" w:hAnsi="Times New Roman" w:cs="Times New Roman"/>
          <w:sz w:val="28"/>
          <w:szCs w:val="28"/>
        </w:rPr>
        <w:t xml:space="preserve"> 2 to </w:t>
      </w:r>
      <w:r w:rsidR="001418BA">
        <w:rPr>
          <w:rFonts w:ascii="Times New Roman" w:hAnsi="Times New Roman" w:cs="Times New Roman"/>
          <w:sz w:val="28"/>
          <w:szCs w:val="28"/>
        </w:rPr>
        <w:t>3 years after the revenue fall</w:t>
      </w:r>
      <w:r w:rsidR="00012677" w:rsidRPr="00012677">
        <w:rPr>
          <w:rFonts w:ascii="Times New Roman" w:hAnsi="Times New Roman" w:cs="Times New Roman"/>
          <w:sz w:val="28"/>
          <w:szCs w:val="28"/>
        </w:rPr>
        <w:t xml:space="preserve">-off began, </w:t>
      </w:r>
      <w:r w:rsidR="001418BA">
        <w:rPr>
          <w:rFonts w:ascii="Times New Roman" w:hAnsi="Times New Roman" w:cs="Times New Roman"/>
          <w:sz w:val="28"/>
          <w:szCs w:val="28"/>
        </w:rPr>
        <w:t>and they</w:t>
      </w:r>
      <w:r w:rsidR="00902C2D">
        <w:rPr>
          <w:rFonts w:ascii="Times New Roman" w:hAnsi="Times New Roman" w:cs="Times New Roman"/>
          <w:sz w:val="28"/>
          <w:szCs w:val="28"/>
        </w:rPr>
        <w:t xml:space="preserve"> triggered </w:t>
      </w:r>
      <w:r w:rsidR="001418BA">
        <w:rPr>
          <w:rFonts w:ascii="Times New Roman" w:hAnsi="Times New Roman" w:cs="Times New Roman"/>
          <w:sz w:val="28"/>
          <w:szCs w:val="28"/>
        </w:rPr>
        <w:t xml:space="preserve">only minor </w:t>
      </w:r>
      <w:r w:rsidR="00902C2D">
        <w:rPr>
          <w:rFonts w:ascii="Times New Roman" w:hAnsi="Times New Roman" w:cs="Times New Roman"/>
          <w:sz w:val="28"/>
          <w:szCs w:val="28"/>
        </w:rPr>
        <w:t>increases in alternative private revenues (the three Baltic state</w:t>
      </w:r>
      <w:r w:rsidR="00EF2B8E">
        <w:rPr>
          <w:rFonts w:ascii="Times New Roman" w:hAnsi="Times New Roman" w:cs="Times New Roman"/>
          <w:sz w:val="28"/>
          <w:szCs w:val="28"/>
        </w:rPr>
        <w:t>s were an exception). The plurality of s</w:t>
      </w:r>
      <w:r w:rsidR="00902C2D">
        <w:rPr>
          <w:rFonts w:ascii="Times New Roman" w:hAnsi="Times New Roman" w:cs="Times New Roman"/>
          <w:sz w:val="28"/>
          <w:szCs w:val="28"/>
        </w:rPr>
        <w:t xml:space="preserve">tate-led responses </w:t>
      </w:r>
      <w:r w:rsidR="00EF2B8E">
        <w:rPr>
          <w:rFonts w:ascii="Times New Roman" w:hAnsi="Times New Roman" w:cs="Times New Roman"/>
          <w:sz w:val="28"/>
          <w:szCs w:val="28"/>
        </w:rPr>
        <w:t>concentrated on</w:t>
      </w:r>
      <w:r w:rsidR="00012677" w:rsidRPr="00012677">
        <w:rPr>
          <w:rFonts w:ascii="Times New Roman" w:hAnsi="Times New Roman" w:cs="Times New Roman"/>
          <w:sz w:val="28"/>
          <w:szCs w:val="28"/>
        </w:rPr>
        <w:t xml:space="preserve"> reductions in perip</w:t>
      </w:r>
      <w:r w:rsidR="004E7242">
        <w:rPr>
          <w:rFonts w:ascii="Times New Roman" w:hAnsi="Times New Roman" w:cs="Times New Roman"/>
          <w:sz w:val="28"/>
          <w:szCs w:val="28"/>
        </w:rPr>
        <w:t xml:space="preserve">heral programs </w:t>
      </w:r>
      <w:r w:rsidR="00012677" w:rsidRPr="00012677">
        <w:rPr>
          <w:rFonts w:ascii="Times New Roman" w:hAnsi="Times New Roman" w:cs="Times New Roman"/>
          <w:sz w:val="28"/>
          <w:szCs w:val="28"/>
        </w:rPr>
        <w:t>rather than tackling more major cost and/or service drivers</w:t>
      </w:r>
      <w:r w:rsidR="00902C2D">
        <w:rPr>
          <w:rFonts w:ascii="Times New Roman" w:hAnsi="Times New Roman" w:cs="Times New Roman"/>
          <w:sz w:val="28"/>
          <w:szCs w:val="28"/>
        </w:rPr>
        <w:t xml:space="preserve"> such as fixed infrastructure. </w:t>
      </w:r>
    </w:p>
    <w:p w:rsidR="001A1E1E" w:rsidRDefault="001A1E1E" w:rsidP="00623A19">
      <w:pPr>
        <w:pStyle w:val="NoSpacing"/>
        <w:rPr>
          <w:rFonts w:ascii="Times New Roman" w:hAnsi="Times New Roman" w:cs="Times New Roman"/>
          <w:sz w:val="28"/>
          <w:szCs w:val="28"/>
        </w:rPr>
      </w:pPr>
    </w:p>
    <w:p w:rsidR="00563FAE" w:rsidRDefault="0036603D" w:rsidP="00623A19">
      <w:pPr>
        <w:pStyle w:val="NoSpacing"/>
        <w:rPr>
          <w:rFonts w:ascii="Times New Roman" w:hAnsi="Times New Roman" w:cs="Times New Roman"/>
          <w:sz w:val="28"/>
          <w:szCs w:val="28"/>
        </w:rPr>
      </w:pPr>
      <w:r>
        <w:rPr>
          <w:rFonts w:ascii="Times New Roman" w:hAnsi="Times New Roman" w:cs="Times New Roman"/>
          <w:sz w:val="28"/>
          <w:szCs w:val="28"/>
        </w:rPr>
        <w:t>Reflecting this aversion to i</w:t>
      </w:r>
      <w:r w:rsidR="0071039B">
        <w:rPr>
          <w:rFonts w:ascii="Times New Roman" w:hAnsi="Times New Roman" w:cs="Times New Roman"/>
          <w:sz w:val="28"/>
          <w:szCs w:val="28"/>
        </w:rPr>
        <w:t xml:space="preserve">nstitutional change, </w:t>
      </w:r>
      <w:r w:rsidR="00012677" w:rsidRPr="00012677">
        <w:rPr>
          <w:rFonts w:ascii="Times New Roman" w:hAnsi="Times New Roman" w:cs="Times New Roman"/>
          <w:sz w:val="28"/>
          <w:szCs w:val="28"/>
        </w:rPr>
        <w:t>academic papers dealing with the health policy consequences of th</w:t>
      </w:r>
      <w:r w:rsidR="006D3780">
        <w:rPr>
          <w:rFonts w:ascii="Times New Roman" w:hAnsi="Times New Roman" w:cs="Times New Roman"/>
          <w:sz w:val="28"/>
          <w:szCs w:val="28"/>
        </w:rPr>
        <w:t>e 2008 downturn</w:t>
      </w:r>
      <w:r>
        <w:rPr>
          <w:rFonts w:ascii="Times New Roman" w:hAnsi="Times New Roman" w:cs="Times New Roman"/>
          <w:sz w:val="28"/>
          <w:szCs w:val="28"/>
        </w:rPr>
        <w:t xml:space="preserve"> </w:t>
      </w:r>
      <w:r w:rsidR="00936E60">
        <w:rPr>
          <w:rFonts w:ascii="Times New Roman" w:hAnsi="Times New Roman" w:cs="Times New Roman"/>
          <w:sz w:val="28"/>
          <w:szCs w:val="28"/>
        </w:rPr>
        <w:t>tend to offer</w:t>
      </w:r>
      <w:r w:rsidR="0071039B">
        <w:rPr>
          <w:rFonts w:ascii="Times New Roman" w:hAnsi="Times New Roman" w:cs="Times New Roman"/>
          <w:sz w:val="28"/>
          <w:szCs w:val="28"/>
        </w:rPr>
        <w:t xml:space="preserve"> only a </w:t>
      </w:r>
      <w:r w:rsidR="00012677" w:rsidRPr="00012677">
        <w:rPr>
          <w:rFonts w:ascii="Times New Roman" w:hAnsi="Times New Roman" w:cs="Times New Roman"/>
          <w:sz w:val="28"/>
          <w:szCs w:val="28"/>
        </w:rPr>
        <w:t>compendium</w:t>
      </w:r>
      <w:r w:rsidR="0071039B">
        <w:rPr>
          <w:rFonts w:ascii="Times New Roman" w:hAnsi="Times New Roman" w:cs="Times New Roman"/>
          <w:sz w:val="28"/>
          <w:szCs w:val="28"/>
        </w:rPr>
        <w:t xml:space="preserve"> of complaints about the</w:t>
      </w:r>
      <w:r w:rsidR="00012677" w:rsidRPr="00012677">
        <w:rPr>
          <w:rFonts w:ascii="Times New Roman" w:hAnsi="Times New Roman" w:cs="Times New Roman"/>
          <w:sz w:val="28"/>
          <w:szCs w:val="28"/>
        </w:rPr>
        <w:t xml:space="preserve"> unfair</w:t>
      </w:r>
      <w:r w:rsidR="0071039B">
        <w:rPr>
          <w:rFonts w:ascii="Times New Roman" w:hAnsi="Times New Roman" w:cs="Times New Roman"/>
          <w:sz w:val="28"/>
          <w:szCs w:val="28"/>
        </w:rPr>
        <w:t>ness of</w:t>
      </w:r>
      <w:r w:rsidR="00012677" w:rsidRPr="00012677">
        <w:rPr>
          <w:rFonts w:ascii="Times New Roman" w:hAnsi="Times New Roman" w:cs="Times New Roman"/>
          <w:sz w:val="28"/>
          <w:szCs w:val="28"/>
        </w:rPr>
        <w:t xml:space="preserve"> the dow</w:t>
      </w:r>
      <w:r w:rsidR="0071039B">
        <w:rPr>
          <w:rFonts w:ascii="Times New Roman" w:hAnsi="Times New Roman" w:cs="Times New Roman"/>
          <w:sz w:val="28"/>
          <w:szCs w:val="28"/>
        </w:rPr>
        <w:t xml:space="preserve">nturn, and </w:t>
      </w:r>
      <w:r w:rsidR="00BD2753">
        <w:rPr>
          <w:rFonts w:ascii="Times New Roman" w:hAnsi="Times New Roman" w:cs="Times New Roman"/>
          <w:sz w:val="28"/>
          <w:szCs w:val="28"/>
        </w:rPr>
        <w:t xml:space="preserve">to emphasize </w:t>
      </w:r>
      <w:r w:rsidR="0071039B">
        <w:rPr>
          <w:rFonts w:ascii="Times New Roman" w:hAnsi="Times New Roman" w:cs="Times New Roman"/>
          <w:sz w:val="28"/>
          <w:szCs w:val="28"/>
        </w:rPr>
        <w:t>how</w:t>
      </w:r>
      <w:r w:rsidR="00981DB4">
        <w:rPr>
          <w:rFonts w:ascii="Times New Roman" w:hAnsi="Times New Roman" w:cs="Times New Roman"/>
          <w:sz w:val="28"/>
          <w:szCs w:val="28"/>
        </w:rPr>
        <w:t xml:space="preserve"> </w:t>
      </w:r>
      <w:r w:rsidR="005A00A8">
        <w:rPr>
          <w:rFonts w:ascii="Times New Roman" w:hAnsi="Times New Roman" w:cs="Times New Roman"/>
          <w:sz w:val="28"/>
          <w:szCs w:val="28"/>
        </w:rPr>
        <w:t xml:space="preserve">negative </w:t>
      </w:r>
      <w:r w:rsidR="0071039B">
        <w:rPr>
          <w:rFonts w:ascii="Times New Roman" w:hAnsi="Times New Roman" w:cs="Times New Roman"/>
          <w:sz w:val="28"/>
          <w:szCs w:val="28"/>
        </w:rPr>
        <w:t>the health sector consequences have been</w:t>
      </w:r>
      <w:r w:rsidR="00EF2B8E">
        <w:rPr>
          <w:rFonts w:ascii="Times New Roman" w:hAnsi="Times New Roman" w:cs="Times New Roman"/>
          <w:sz w:val="28"/>
          <w:szCs w:val="28"/>
        </w:rPr>
        <w:t xml:space="preserve"> (</w:t>
      </w:r>
      <w:r w:rsidR="00B83B96">
        <w:rPr>
          <w:rFonts w:ascii="Times New Roman" w:hAnsi="Times New Roman" w:cs="Times New Roman"/>
          <w:sz w:val="28"/>
          <w:szCs w:val="28"/>
        </w:rPr>
        <w:t>McKee and Stuckler,</w:t>
      </w:r>
      <w:r>
        <w:rPr>
          <w:rFonts w:ascii="Times New Roman" w:hAnsi="Times New Roman" w:cs="Times New Roman"/>
          <w:sz w:val="28"/>
          <w:szCs w:val="28"/>
        </w:rPr>
        <w:t xml:space="preserve"> 2011</w:t>
      </w:r>
      <w:r w:rsidR="00B31E2E">
        <w:rPr>
          <w:rFonts w:ascii="Times New Roman" w:hAnsi="Times New Roman" w:cs="Times New Roman"/>
          <w:sz w:val="28"/>
          <w:szCs w:val="28"/>
        </w:rPr>
        <w:t>; de Belvis</w:t>
      </w:r>
      <w:r w:rsidR="006D3780">
        <w:rPr>
          <w:rFonts w:ascii="Times New Roman" w:hAnsi="Times New Roman" w:cs="Times New Roman"/>
          <w:sz w:val="28"/>
          <w:szCs w:val="28"/>
        </w:rPr>
        <w:t xml:space="preserve"> et al, 2012</w:t>
      </w:r>
      <w:r>
        <w:rPr>
          <w:rFonts w:ascii="Times New Roman" w:hAnsi="Times New Roman" w:cs="Times New Roman"/>
          <w:sz w:val="28"/>
          <w:szCs w:val="28"/>
        </w:rPr>
        <w:t>)</w:t>
      </w:r>
      <w:r w:rsidR="00012677">
        <w:rPr>
          <w:rFonts w:ascii="Times New Roman" w:hAnsi="Times New Roman" w:cs="Times New Roman"/>
          <w:sz w:val="28"/>
          <w:szCs w:val="28"/>
        </w:rPr>
        <w:t>.</w:t>
      </w:r>
      <w:r w:rsidR="00012677">
        <w:t xml:space="preserve"> </w:t>
      </w:r>
      <w:r>
        <w:rPr>
          <w:rFonts w:ascii="Times New Roman" w:hAnsi="Times New Roman" w:cs="Times New Roman"/>
          <w:sz w:val="28"/>
          <w:szCs w:val="28"/>
        </w:rPr>
        <w:t>Those</w:t>
      </w:r>
      <w:r w:rsidR="000C0866">
        <w:rPr>
          <w:rFonts w:ascii="Times New Roman" w:hAnsi="Times New Roman" w:cs="Times New Roman"/>
          <w:sz w:val="28"/>
          <w:szCs w:val="28"/>
        </w:rPr>
        <w:t xml:space="preserve"> </w:t>
      </w:r>
      <w:r w:rsidR="00981DB4">
        <w:rPr>
          <w:rFonts w:ascii="Times New Roman" w:hAnsi="Times New Roman" w:cs="Times New Roman"/>
          <w:sz w:val="28"/>
          <w:szCs w:val="28"/>
        </w:rPr>
        <w:t>studies</w:t>
      </w:r>
      <w:r w:rsidR="00CA2532">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4E235A">
        <w:rPr>
          <w:rFonts w:ascii="Times New Roman" w:hAnsi="Times New Roman" w:cs="Times New Roman"/>
          <w:sz w:val="28"/>
          <w:szCs w:val="28"/>
        </w:rPr>
        <w:t>did consider</w:t>
      </w:r>
      <w:r w:rsidR="00936E60">
        <w:rPr>
          <w:rFonts w:ascii="Times New Roman" w:hAnsi="Times New Roman" w:cs="Times New Roman"/>
          <w:sz w:val="28"/>
          <w:szCs w:val="28"/>
        </w:rPr>
        <w:t xml:space="preserve"> organizational realities</w:t>
      </w:r>
      <w:r w:rsidR="00051DEE">
        <w:rPr>
          <w:rFonts w:ascii="Times New Roman" w:hAnsi="Times New Roman" w:cs="Times New Roman"/>
          <w:sz w:val="28"/>
          <w:szCs w:val="28"/>
        </w:rPr>
        <w:t xml:space="preserve"> </w:t>
      </w:r>
      <w:r w:rsidR="0071039B">
        <w:rPr>
          <w:rFonts w:ascii="Times New Roman" w:hAnsi="Times New Roman" w:cs="Times New Roman"/>
          <w:sz w:val="28"/>
          <w:szCs w:val="28"/>
        </w:rPr>
        <w:t xml:space="preserve">have </w:t>
      </w:r>
      <w:r w:rsidR="00051DEE">
        <w:rPr>
          <w:rFonts w:ascii="Times New Roman" w:hAnsi="Times New Roman" w:cs="Times New Roman"/>
          <w:sz w:val="28"/>
          <w:szCs w:val="28"/>
        </w:rPr>
        <w:t>tended to</w:t>
      </w:r>
      <w:r w:rsidR="00CA2532">
        <w:rPr>
          <w:rFonts w:ascii="Times New Roman" w:hAnsi="Times New Roman" w:cs="Times New Roman"/>
          <w:sz w:val="28"/>
          <w:szCs w:val="28"/>
        </w:rPr>
        <w:t xml:space="preserve"> </w:t>
      </w:r>
      <w:r w:rsidR="00C66FEF">
        <w:rPr>
          <w:rFonts w:ascii="Times New Roman" w:hAnsi="Times New Roman" w:cs="Times New Roman"/>
          <w:sz w:val="28"/>
          <w:szCs w:val="28"/>
        </w:rPr>
        <w:t>underplay</w:t>
      </w:r>
      <w:r w:rsidR="000C0866">
        <w:rPr>
          <w:rFonts w:ascii="Times New Roman" w:hAnsi="Times New Roman" w:cs="Times New Roman"/>
          <w:sz w:val="28"/>
          <w:szCs w:val="28"/>
        </w:rPr>
        <w:t xml:space="preserve"> the </w:t>
      </w:r>
      <w:r w:rsidR="00F42DA5">
        <w:rPr>
          <w:rFonts w:ascii="Times New Roman" w:hAnsi="Times New Roman" w:cs="Times New Roman"/>
          <w:sz w:val="28"/>
          <w:szCs w:val="28"/>
        </w:rPr>
        <w:t>scale</w:t>
      </w:r>
      <w:r w:rsidR="0071039B">
        <w:rPr>
          <w:rFonts w:ascii="Times New Roman" w:hAnsi="Times New Roman" w:cs="Times New Roman"/>
          <w:sz w:val="28"/>
          <w:szCs w:val="28"/>
        </w:rPr>
        <w:t xml:space="preserve"> of core</w:t>
      </w:r>
      <w:r w:rsidR="00981DB4">
        <w:rPr>
          <w:rFonts w:ascii="Times New Roman" w:hAnsi="Times New Roman" w:cs="Times New Roman"/>
          <w:sz w:val="28"/>
          <w:szCs w:val="28"/>
        </w:rPr>
        <w:t xml:space="preserve"> structural </w:t>
      </w:r>
      <w:r>
        <w:rPr>
          <w:rFonts w:ascii="Times New Roman" w:hAnsi="Times New Roman" w:cs="Times New Roman"/>
          <w:sz w:val="28"/>
          <w:szCs w:val="28"/>
        </w:rPr>
        <w:t>problem</w:t>
      </w:r>
      <w:r w:rsidR="0071039B">
        <w:rPr>
          <w:rFonts w:ascii="Times New Roman" w:hAnsi="Times New Roman" w:cs="Times New Roman"/>
          <w:sz w:val="28"/>
          <w:szCs w:val="28"/>
        </w:rPr>
        <w:t>s</w:t>
      </w:r>
      <w:r w:rsidR="00B9581F">
        <w:rPr>
          <w:rFonts w:ascii="Times New Roman" w:hAnsi="Times New Roman" w:cs="Times New Roman"/>
          <w:sz w:val="28"/>
          <w:szCs w:val="28"/>
        </w:rPr>
        <w:t xml:space="preserve"> (Pavolini and Guillen, 2013; </w:t>
      </w:r>
      <w:r w:rsidR="004D683B">
        <w:rPr>
          <w:rFonts w:ascii="Times New Roman" w:hAnsi="Times New Roman" w:cs="Times New Roman"/>
          <w:sz w:val="28"/>
          <w:szCs w:val="28"/>
        </w:rPr>
        <w:t>Thomsen et al</w:t>
      </w:r>
      <w:r w:rsidR="00595B3C">
        <w:rPr>
          <w:rFonts w:ascii="Times New Roman" w:hAnsi="Times New Roman" w:cs="Times New Roman"/>
          <w:sz w:val="28"/>
          <w:szCs w:val="28"/>
        </w:rPr>
        <w:t>,</w:t>
      </w:r>
      <w:r w:rsidR="00310D48">
        <w:rPr>
          <w:rFonts w:ascii="Times New Roman" w:hAnsi="Times New Roman" w:cs="Times New Roman"/>
          <w:sz w:val="28"/>
          <w:szCs w:val="28"/>
        </w:rPr>
        <w:t xml:space="preserve"> 2015)</w:t>
      </w:r>
      <w:r w:rsidR="00CA2532">
        <w:rPr>
          <w:rFonts w:ascii="Times New Roman" w:hAnsi="Times New Roman" w:cs="Times New Roman"/>
          <w:sz w:val="28"/>
          <w:szCs w:val="28"/>
        </w:rPr>
        <w:t>.</w:t>
      </w:r>
      <w:r w:rsidR="002F4328">
        <w:rPr>
          <w:rFonts w:ascii="Times New Roman" w:hAnsi="Times New Roman" w:cs="Times New Roman"/>
          <w:sz w:val="28"/>
          <w:szCs w:val="28"/>
        </w:rPr>
        <w:t xml:space="preserve"> </w:t>
      </w:r>
    </w:p>
    <w:p w:rsidR="00563FAE" w:rsidRDefault="00563FAE" w:rsidP="00623A19">
      <w:pPr>
        <w:pStyle w:val="NoSpacing"/>
        <w:rPr>
          <w:rFonts w:ascii="Times New Roman" w:hAnsi="Times New Roman" w:cs="Times New Roman"/>
          <w:sz w:val="28"/>
          <w:szCs w:val="28"/>
        </w:rPr>
      </w:pPr>
    </w:p>
    <w:p w:rsidR="00A16049" w:rsidRDefault="002D6D6D" w:rsidP="00623A19">
      <w:pPr>
        <w:pStyle w:val="NoSpacing"/>
        <w:rPr>
          <w:rFonts w:ascii="Times New Roman" w:hAnsi="Times New Roman" w:cs="Times New Roman"/>
          <w:sz w:val="28"/>
          <w:szCs w:val="28"/>
        </w:rPr>
      </w:pPr>
      <w:r>
        <w:rPr>
          <w:rFonts w:ascii="Times New Roman" w:hAnsi="Times New Roman" w:cs="Times New Roman"/>
          <w:sz w:val="28"/>
          <w:szCs w:val="28"/>
        </w:rPr>
        <w:t>Despite this academic downplaying of the problem, t</w:t>
      </w:r>
      <w:r w:rsidR="00FB20FF">
        <w:rPr>
          <w:rFonts w:ascii="Times New Roman" w:hAnsi="Times New Roman" w:cs="Times New Roman"/>
          <w:sz w:val="28"/>
          <w:szCs w:val="28"/>
        </w:rPr>
        <w:t xml:space="preserve">here </w:t>
      </w:r>
      <w:r w:rsidR="00563FAE">
        <w:rPr>
          <w:rFonts w:ascii="Times New Roman" w:hAnsi="Times New Roman" w:cs="Times New Roman"/>
          <w:sz w:val="28"/>
          <w:szCs w:val="28"/>
        </w:rPr>
        <w:t>have</w:t>
      </w:r>
      <w:r>
        <w:rPr>
          <w:rFonts w:ascii="Times New Roman" w:hAnsi="Times New Roman" w:cs="Times New Roman"/>
          <w:sz w:val="28"/>
          <w:szCs w:val="28"/>
        </w:rPr>
        <w:t xml:space="preserve"> been a </w:t>
      </w:r>
      <w:r w:rsidR="00563FAE">
        <w:rPr>
          <w:rFonts w:ascii="Times New Roman" w:hAnsi="Times New Roman" w:cs="Times New Roman"/>
          <w:sz w:val="28"/>
          <w:szCs w:val="28"/>
        </w:rPr>
        <w:t>number of</w:t>
      </w:r>
      <w:r w:rsidR="00FB20FF">
        <w:rPr>
          <w:rFonts w:ascii="Times New Roman" w:hAnsi="Times New Roman" w:cs="Times New Roman"/>
          <w:sz w:val="28"/>
          <w:szCs w:val="28"/>
        </w:rPr>
        <w:t xml:space="preserve"> </w:t>
      </w:r>
      <w:r w:rsidR="00DE28D0">
        <w:rPr>
          <w:rFonts w:ascii="Times New Roman" w:hAnsi="Times New Roman" w:cs="Times New Roman"/>
          <w:sz w:val="28"/>
          <w:szCs w:val="28"/>
        </w:rPr>
        <w:t xml:space="preserve">important if narrowly framed </w:t>
      </w:r>
      <w:r w:rsidR="00FB20FF">
        <w:rPr>
          <w:rFonts w:ascii="Times New Roman" w:hAnsi="Times New Roman" w:cs="Times New Roman"/>
          <w:sz w:val="28"/>
          <w:szCs w:val="28"/>
        </w:rPr>
        <w:t>reforms to hea</w:t>
      </w:r>
      <w:r w:rsidR="00DE28D0">
        <w:rPr>
          <w:rFonts w:ascii="Times New Roman" w:hAnsi="Times New Roman" w:cs="Times New Roman"/>
          <w:sz w:val="28"/>
          <w:szCs w:val="28"/>
        </w:rPr>
        <w:t>lth care</w:t>
      </w:r>
      <w:r>
        <w:rPr>
          <w:rFonts w:ascii="Times New Roman" w:hAnsi="Times New Roman" w:cs="Times New Roman"/>
          <w:sz w:val="28"/>
          <w:szCs w:val="28"/>
        </w:rPr>
        <w:t xml:space="preserve"> institutions across Europe which</w:t>
      </w:r>
      <w:r w:rsidR="00FB20FF">
        <w:rPr>
          <w:rFonts w:ascii="Times New Roman" w:hAnsi="Times New Roman" w:cs="Times New Roman"/>
          <w:sz w:val="28"/>
          <w:szCs w:val="28"/>
        </w:rPr>
        <w:t xml:space="preserve"> ref</w:t>
      </w:r>
      <w:r w:rsidR="00563FAE">
        <w:rPr>
          <w:rFonts w:ascii="Times New Roman" w:hAnsi="Times New Roman" w:cs="Times New Roman"/>
          <w:sz w:val="28"/>
          <w:szCs w:val="28"/>
        </w:rPr>
        <w:t xml:space="preserve">lect </w:t>
      </w:r>
      <w:r w:rsidR="00DE28D0">
        <w:rPr>
          <w:rFonts w:ascii="Times New Roman" w:hAnsi="Times New Roman" w:cs="Times New Roman"/>
          <w:sz w:val="28"/>
          <w:szCs w:val="28"/>
        </w:rPr>
        <w:t>the effects of</w:t>
      </w:r>
      <w:r>
        <w:rPr>
          <w:rFonts w:ascii="Times New Roman" w:hAnsi="Times New Roman" w:cs="Times New Roman"/>
          <w:sz w:val="28"/>
          <w:szCs w:val="28"/>
        </w:rPr>
        <w:t xml:space="preserve"> </w:t>
      </w:r>
      <w:r w:rsidR="00563FAE">
        <w:rPr>
          <w:rFonts w:ascii="Times New Roman" w:hAnsi="Times New Roman" w:cs="Times New Roman"/>
          <w:sz w:val="28"/>
          <w:szCs w:val="28"/>
        </w:rPr>
        <w:t xml:space="preserve">the </w:t>
      </w:r>
      <w:r>
        <w:rPr>
          <w:rFonts w:ascii="Times New Roman" w:hAnsi="Times New Roman" w:cs="Times New Roman"/>
          <w:sz w:val="28"/>
          <w:szCs w:val="28"/>
        </w:rPr>
        <w:t xml:space="preserve">2008 </w:t>
      </w:r>
      <w:r w:rsidR="00FB20FF">
        <w:rPr>
          <w:rFonts w:ascii="Times New Roman" w:hAnsi="Times New Roman" w:cs="Times New Roman"/>
          <w:sz w:val="28"/>
          <w:szCs w:val="28"/>
        </w:rPr>
        <w:t>fin</w:t>
      </w:r>
      <w:r w:rsidR="00563FAE">
        <w:rPr>
          <w:rFonts w:ascii="Times New Roman" w:hAnsi="Times New Roman" w:cs="Times New Roman"/>
          <w:sz w:val="28"/>
          <w:szCs w:val="28"/>
        </w:rPr>
        <w:t>ancial crisis</w:t>
      </w:r>
      <w:r>
        <w:rPr>
          <w:rFonts w:ascii="Times New Roman" w:hAnsi="Times New Roman" w:cs="Times New Roman"/>
          <w:sz w:val="28"/>
          <w:szCs w:val="28"/>
        </w:rPr>
        <w:t>,</w:t>
      </w:r>
      <w:r w:rsidR="00A65548">
        <w:rPr>
          <w:rFonts w:ascii="Times New Roman" w:hAnsi="Times New Roman" w:cs="Times New Roman"/>
          <w:sz w:val="28"/>
          <w:szCs w:val="28"/>
        </w:rPr>
        <w:t xml:space="preserve"> and/or efforts</w:t>
      </w:r>
      <w:r>
        <w:rPr>
          <w:rFonts w:ascii="Times New Roman" w:hAnsi="Times New Roman" w:cs="Times New Roman"/>
          <w:sz w:val="28"/>
          <w:szCs w:val="28"/>
        </w:rPr>
        <w:t xml:space="preserve"> undertaken just prior to the crisis’s onset,</w:t>
      </w:r>
      <w:r w:rsidR="00DE28D0">
        <w:rPr>
          <w:rFonts w:ascii="Times New Roman" w:hAnsi="Times New Roman" w:cs="Times New Roman"/>
          <w:sz w:val="28"/>
          <w:szCs w:val="28"/>
        </w:rPr>
        <w:t xml:space="preserve"> in seeking to</w:t>
      </w:r>
      <w:r w:rsidR="00A65548">
        <w:rPr>
          <w:rFonts w:ascii="Times New Roman" w:hAnsi="Times New Roman" w:cs="Times New Roman"/>
          <w:sz w:val="28"/>
          <w:szCs w:val="28"/>
        </w:rPr>
        <w:t xml:space="preserve"> reduce</w:t>
      </w:r>
      <w:r w:rsidR="00DE28D0">
        <w:rPr>
          <w:rFonts w:ascii="Times New Roman" w:hAnsi="Times New Roman" w:cs="Times New Roman"/>
          <w:sz w:val="28"/>
          <w:szCs w:val="28"/>
        </w:rPr>
        <w:t xml:space="preserve"> systemic problems of </w:t>
      </w:r>
      <w:r>
        <w:rPr>
          <w:rFonts w:ascii="Times New Roman" w:hAnsi="Times New Roman" w:cs="Times New Roman"/>
          <w:sz w:val="28"/>
          <w:szCs w:val="28"/>
        </w:rPr>
        <w:t>financial and organizational sustainability</w:t>
      </w:r>
      <w:r w:rsidR="007B4C50">
        <w:rPr>
          <w:rFonts w:ascii="Times New Roman" w:hAnsi="Times New Roman" w:cs="Times New Roman"/>
          <w:sz w:val="28"/>
          <w:szCs w:val="28"/>
        </w:rPr>
        <w:t xml:space="preserve"> (Saltman, Duran and DuBois, 2011; Kuhlmann et al, 2015)</w:t>
      </w:r>
      <w:r w:rsidR="00563FAE">
        <w:rPr>
          <w:rFonts w:ascii="Times New Roman" w:hAnsi="Times New Roman" w:cs="Times New Roman"/>
          <w:sz w:val="28"/>
          <w:szCs w:val="28"/>
        </w:rPr>
        <w:t>. T</w:t>
      </w:r>
      <w:r>
        <w:rPr>
          <w:rFonts w:ascii="Times New Roman" w:hAnsi="Times New Roman" w:cs="Times New Roman"/>
          <w:sz w:val="28"/>
          <w:szCs w:val="28"/>
        </w:rPr>
        <w:t>hese recent</w:t>
      </w:r>
      <w:r w:rsidR="00A65548">
        <w:rPr>
          <w:rFonts w:ascii="Times New Roman" w:hAnsi="Times New Roman" w:cs="Times New Roman"/>
          <w:sz w:val="28"/>
          <w:szCs w:val="28"/>
        </w:rPr>
        <w:t xml:space="preserve"> strategic </w:t>
      </w:r>
      <w:r w:rsidR="00FB20FF">
        <w:rPr>
          <w:rFonts w:ascii="Times New Roman" w:hAnsi="Times New Roman" w:cs="Times New Roman"/>
          <w:sz w:val="28"/>
          <w:szCs w:val="28"/>
        </w:rPr>
        <w:t>reforms can be characterized in terms of their impact on three core dimensions of health systems</w:t>
      </w:r>
      <w:r w:rsidR="00F232A0">
        <w:rPr>
          <w:rFonts w:ascii="Times New Roman" w:hAnsi="Times New Roman" w:cs="Times New Roman"/>
          <w:sz w:val="28"/>
          <w:szCs w:val="28"/>
        </w:rPr>
        <w:t xml:space="preserve"> generally</w:t>
      </w:r>
      <w:r w:rsidR="00FB20FF">
        <w:rPr>
          <w:rFonts w:ascii="Times New Roman" w:hAnsi="Times New Roman" w:cs="Times New Roman"/>
          <w:sz w:val="28"/>
          <w:szCs w:val="28"/>
        </w:rPr>
        <w:t xml:space="preserve">: </w:t>
      </w:r>
      <w:r w:rsidR="00BC452A">
        <w:rPr>
          <w:rFonts w:ascii="Times New Roman" w:hAnsi="Times New Roman" w:cs="Times New Roman"/>
          <w:sz w:val="28"/>
          <w:szCs w:val="28"/>
        </w:rPr>
        <w:t xml:space="preserve">a) </w:t>
      </w:r>
      <w:r w:rsidR="00FB20FF">
        <w:rPr>
          <w:rFonts w:ascii="Times New Roman" w:hAnsi="Times New Roman" w:cs="Times New Roman"/>
          <w:sz w:val="28"/>
          <w:szCs w:val="28"/>
        </w:rPr>
        <w:t>fun</w:t>
      </w:r>
      <w:r w:rsidR="00BC452A">
        <w:rPr>
          <w:rFonts w:ascii="Times New Roman" w:hAnsi="Times New Roman" w:cs="Times New Roman"/>
          <w:sz w:val="28"/>
          <w:szCs w:val="28"/>
        </w:rPr>
        <w:t>ding (how the funds are raised);</w:t>
      </w:r>
      <w:r w:rsidR="00FB20FF">
        <w:rPr>
          <w:rFonts w:ascii="Times New Roman" w:hAnsi="Times New Roman" w:cs="Times New Roman"/>
          <w:sz w:val="28"/>
          <w:szCs w:val="28"/>
        </w:rPr>
        <w:t xml:space="preserve"> </w:t>
      </w:r>
      <w:r w:rsidR="00BC452A">
        <w:rPr>
          <w:rFonts w:ascii="Times New Roman" w:hAnsi="Times New Roman" w:cs="Times New Roman"/>
          <w:sz w:val="28"/>
          <w:szCs w:val="28"/>
        </w:rPr>
        <w:t xml:space="preserve">b) </w:t>
      </w:r>
      <w:r w:rsidR="00FB20FF">
        <w:rPr>
          <w:rFonts w:ascii="Times New Roman" w:hAnsi="Times New Roman" w:cs="Times New Roman"/>
          <w:sz w:val="28"/>
          <w:szCs w:val="28"/>
        </w:rPr>
        <w:t>allocation (how the raised funds are distributed to providers</w:t>
      </w:r>
      <w:r w:rsidR="00334677">
        <w:rPr>
          <w:rFonts w:ascii="Times New Roman" w:hAnsi="Times New Roman" w:cs="Times New Roman"/>
          <w:sz w:val="28"/>
          <w:szCs w:val="28"/>
        </w:rPr>
        <w:t>, whether by budget, by contract, by case or service</w:t>
      </w:r>
      <w:r w:rsidR="00FB20FF">
        <w:rPr>
          <w:rFonts w:ascii="Times New Roman" w:hAnsi="Times New Roman" w:cs="Times New Roman"/>
          <w:sz w:val="28"/>
          <w:szCs w:val="28"/>
        </w:rPr>
        <w:t xml:space="preserve">), and </w:t>
      </w:r>
      <w:r w:rsidR="00BC452A">
        <w:rPr>
          <w:rFonts w:ascii="Times New Roman" w:hAnsi="Times New Roman" w:cs="Times New Roman"/>
          <w:sz w:val="28"/>
          <w:szCs w:val="28"/>
        </w:rPr>
        <w:t xml:space="preserve">c) </w:t>
      </w:r>
      <w:r w:rsidR="00FB20FF">
        <w:rPr>
          <w:rFonts w:ascii="Times New Roman" w:hAnsi="Times New Roman" w:cs="Times New Roman"/>
          <w:sz w:val="28"/>
          <w:szCs w:val="28"/>
        </w:rPr>
        <w:t>provision (how providers are structured and operated)</w:t>
      </w:r>
      <w:r w:rsidR="00C914B3">
        <w:rPr>
          <w:rFonts w:ascii="Times New Roman" w:hAnsi="Times New Roman" w:cs="Times New Roman"/>
          <w:sz w:val="28"/>
          <w:szCs w:val="28"/>
        </w:rPr>
        <w:t xml:space="preserve"> (Saltman, 1994)</w:t>
      </w:r>
      <w:r w:rsidR="00FB20FF">
        <w:rPr>
          <w:rFonts w:ascii="Times New Roman" w:hAnsi="Times New Roman" w:cs="Times New Roman"/>
          <w:sz w:val="28"/>
          <w:szCs w:val="28"/>
        </w:rPr>
        <w:t xml:space="preserve">. </w:t>
      </w:r>
    </w:p>
    <w:p w:rsidR="00B9581F" w:rsidRDefault="00B9581F" w:rsidP="00623A19">
      <w:pPr>
        <w:pStyle w:val="NoSpacing"/>
        <w:rPr>
          <w:rFonts w:ascii="Times New Roman" w:hAnsi="Times New Roman" w:cs="Times New Roman"/>
          <w:sz w:val="28"/>
          <w:szCs w:val="28"/>
        </w:rPr>
      </w:pPr>
    </w:p>
    <w:p w:rsidR="00EB63EF" w:rsidRDefault="00AF6725" w:rsidP="00623A19">
      <w:pPr>
        <w:pStyle w:val="NoSpacing"/>
        <w:rPr>
          <w:rFonts w:ascii="Times New Roman" w:hAnsi="Times New Roman" w:cs="Times New Roman"/>
          <w:sz w:val="28"/>
          <w:szCs w:val="28"/>
        </w:rPr>
      </w:pPr>
      <w:r>
        <w:rPr>
          <w:rFonts w:ascii="Times New Roman" w:hAnsi="Times New Roman" w:cs="Times New Roman"/>
          <w:sz w:val="28"/>
          <w:szCs w:val="28"/>
        </w:rPr>
        <w:t>There have been substantially</w:t>
      </w:r>
      <w:r w:rsidR="00F232A0">
        <w:rPr>
          <w:rFonts w:ascii="Times New Roman" w:hAnsi="Times New Roman" w:cs="Times New Roman"/>
          <w:sz w:val="28"/>
          <w:szCs w:val="28"/>
        </w:rPr>
        <w:t xml:space="preserve"> different patterns</w:t>
      </w:r>
      <w:r w:rsidR="00D73435">
        <w:rPr>
          <w:rFonts w:ascii="Times New Roman" w:hAnsi="Times New Roman" w:cs="Times New Roman"/>
          <w:sz w:val="28"/>
          <w:szCs w:val="28"/>
        </w:rPr>
        <w:t xml:space="preserve"> in how tax-funded systems across Europe (essentially Northern European and Sou</w:t>
      </w:r>
      <w:r w:rsidR="00525BB3">
        <w:rPr>
          <w:rFonts w:ascii="Times New Roman" w:hAnsi="Times New Roman" w:cs="Times New Roman"/>
          <w:sz w:val="28"/>
          <w:szCs w:val="28"/>
        </w:rPr>
        <w:t xml:space="preserve">thern European) </w:t>
      </w:r>
      <w:r>
        <w:rPr>
          <w:rFonts w:ascii="Times New Roman" w:hAnsi="Times New Roman" w:cs="Times New Roman"/>
          <w:sz w:val="28"/>
          <w:szCs w:val="28"/>
        </w:rPr>
        <w:t xml:space="preserve">have </w:t>
      </w:r>
      <w:r w:rsidR="00525BB3">
        <w:rPr>
          <w:rFonts w:ascii="Times New Roman" w:hAnsi="Times New Roman" w:cs="Times New Roman"/>
          <w:sz w:val="28"/>
          <w:szCs w:val="28"/>
        </w:rPr>
        <w:t>focused their</w:t>
      </w:r>
      <w:r w:rsidR="00F232A0">
        <w:rPr>
          <w:rFonts w:ascii="Times New Roman" w:hAnsi="Times New Roman" w:cs="Times New Roman"/>
          <w:sz w:val="28"/>
          <w:szCs w:val="28"/>
        </w:rPr>
        <w:t xml:space="preserve"> post-2008</w:t>
      </w:r>
      <w:r w:rsidR="00D73435">
        <w:rPr>
          <w:rFonts w:ascii="Times New Roman" w:hAnsi="Times New Roman" w:cs="Times New Roman"/>
          <w:sz w:val="28"/>
          <w:szCs w:val="28"/>
        </w:rPr>
        <w:t xml:space="preserve"> institutional reforms in comparison to how Social Health Insurance</w:t>
      </w:r>
      <w:r w:rsidR="00334677">
        <w:rPr>
          <w:rFonts w:ascii="Times New Roman" w:hAnsi="Times New Roman" w:cs="Times New Roman"/>
          <w:sz w:val="28"/>
          <w:szCs w:val="28"/>
        </w:rPr>
        <w:t xml:space="preserve"> (SHI)</w:t>
      </w:r>
      <w:r w:rsidR="00D73435">
        <w:rPr>
          <w:rFonts w:ascii="Times New Roman" w:hAnsi="Times New Roman" w:cs="Times New Roman"/>
          <w:sz w:val="28"/>
          <w:szCs w:val="28"/>
        </w:rPr>
        <w:t xml:space="preserve"> funded systems (essentially Continental systems in Western and C</w:t>
      </w:r>
      <w:r w:rsidR="00F232A0">
        <w:rPr>
          <w:rFonts w:ascii="Times New Roman" w:hAnsi="Times New Roman" w:cs="Times New Roman"/>
          <w:sz w:val="28"/>
          <w:szCs w:val="28"/>
        </w:rPr>
        <w:t xml:space="preserve">entral </w:t>
      </w:r>
      <w:r w:rsidR="00F232A0">
        <w:rPr>
          <w:rFonts w:ascii="Times New Roman" w:hAnsi="Times New Roman" w:cs="Times New Roman"/>
          <w:sz w:val="28"/>
          <w:szCs w:val="28"/>
        </w:rPr>
        <w:lastRenderedPageBreak/>
        <w:t>Europe) have responded</w:t>
      </w:r>
      <w:r w:rsidR="00D73435">
        <w:rPr>
          <w:rFonts w:ascii="Times New Roman" w:hAnsi="Times New Roman" w:cs="Times New Roman"/>
          <w:sz w:val="28"/>
          <w:szCs w:val="28"/>
        </w:rPr>
        <w:t>.</w:t>
      </w:r>
      <w:r w:rsidR="00B9581F">
        <w:rPr>
          <w:rFonts w:ascii="Times New Roman" w:hAnsi="Times New Roman" w:cs="Times New Roman"/>
          <w:sz w:val="28"/>
          <w:szCs w:val="28"/>
        </w:rPr>
        <w:t xml:space="preserve"> </w:t>
      </w:r>
      <w:r w:rsidR="00334677">
        <w:rPr>
          <w:rFonts w:ascii="Times New Roman" w:hAnsi="Times New Roman" w:cs="Times New Roman"/>
          <w:sz w:val="28"/>
          <w:szCs w:val="28"/>
        </w:rPr>
        <w:t>The mos</w:t>
      </w:r>
      <w:r w:rsidR="002F32F8">
        <w:rPr>
          <w:rFonts w:ascii="Times New Roman" w:hAnsi="Times New Roman" w:cs="Times New Roman"/>
          <w:sz w:val="28"/>
          <w:szCs w:val="28"/>
        </w:rPr>
        <w:t>t</w:t>
      </w:r>
      <w:r w:rsidR="00A70C7E">
        <w:rPr>
          <w:rFonts w:ascii="Times New Roman" w:hAnsi="Times New Roman" w:cs="Times New Roman"/>
          <w:sz w:val="28"/>
          <w:szCs w:val="28"/>
        </w:rPr>
        <w:t xml:space="preserve"> st</w:t>
      </w:r>
      <w:r w:rsidR="00525BB3">
        <w:rPr>
          <w:rFonts w:ascii="Times New Roman" w:hAnsi="Times New Roman" w:cs="Times New Roman"/>
          <w:sz w:val="28"/>
          <w:szCs w:val="28"/>
        </w:rPr>
        <w:t>riking difference</w:t>
      </w:r>
      <w:r w:rsidR="00FC5AD5">
        <w:rPr>
          <w:rFonts w:ascii="Times New Roman" w:hAnsi="Times New Roman" w:cs="Times New Roman"/>
          <w:sz w:val="28"/>
          <w:szCs w:val="28"/>
        </w:rPr>
        <w:t xml:space="preserve"> is</w:t>
      </w:r>
      <w:r w:rsidR="00195876">
        <w:rPr>
          <w:rFonts w:ascii="Times New Roman" w:hAnsi="Times New Roman" w:cs="Times New Roman"/>
          <w:sz w:val="28"/>
          <w:szCs w:val="28"/>
        </w:rPr>
        <w:t xml:space="preserve"> in those parts of</w:t>
      </w:r>
      <w:r w:rsidR="002F32F8">
        <w:rPr>
          <w:rFonts w:ascii="Times New Roman" w:hAnsi="Times New Roman" w:cs="Times New Roman"/>
          <w:sz w:val="28"/>
          <w:szCs w:val="28"/>
        </w:rPr>
        <w:t xml:space="preserve"> the health system </w:t>
      </w:r>
      <w:r w:rsidR="00195876">
        <w:rPr>
          <w:rFonts w:ascii="Times New Roman" w:hAnsi="Times New Roman" w:cs="Times New Roman"/>
          <w:sz w:val="28"/>
          <w:szCs w:val="28"/>
        </w:rPr>
        <w:t xml:space="preserve">where </w:t>
      </w:r>
      <w:r w:rsidR="002F32F8">
        <w:rPr>
          <w:rFonts w:ascii="Times New Roman" w:hAnsi="Times New Roman" w:cs="Times New Roman"/>
          <w:sz w:val="28"/>
          <w:szCs w:val="28"/>
        </w:rPr>
        <w:t>there has been</w:t>
      </w:r>
      <w:r w:rsidR="005F3D30">
        <w:rPr>
          <w:rFonts w:ascii="Times New Roman" w:hAnsi="Times New Roman" w:cs="Times New Roman"/>
          <w:sz w:val="28"/>
          <w:szCs w:val="28"/>
        </w:rPr>
        <w:t xml:space="preserve"> little or </w:t>
      </w:r>
      <w:r w:rsidR="00334677">
        <w:rPr>
          <w:rFonts w:ascii="Times New Roman" w:hAnsi="Times New Roman" w:cs="Times New Roman"/>
          <w:sz w:val="28"/>
          <w:szCs w:val="28"/>
        </w:rPr>
        <w:t>no change</w:t>
      </w:r>
      <w:r w:rsidR="00240D07">
        <w:rPr>
          <w:rFonts w:ascii="Times New Roman" w:hAnsi="Times New Roman" w:cs="Times New Roman"/>
          <w:sz w:val="28"/>
          <w:szCs w:val="28"/>
        </w:rPr>
        <w:t xml:space="preserve"> - </w:t>
      </w:r>
      <w:r w:rsidR="002F32F8">
        <w:rPr>
          <w:rFonts w:ascii="Times New Roman" w:hAnsi="Times New Roman" w:cs="Times New Roman"/>
          <w:sz w:val="28"/>
          <w:szCs w:val="28"/>
        </w:rPr>
        <w:t>that is, no major new strategies or initiatives. In t</w:t>
      </w:r>
      <w:r w:rsidR="00240D07">
        <w:rPr>
          <w:rFonts w:ascii="Times New Roman" w:hAnsi="Times New Roman" w:cs="Times New Roman"/>
          <w:sz w:val="28"/>
          <w:szCs w:val="28"/>
        </w:rPr>
        <w:t xml:space="preserve">ax-funded systems, there has been no </w:t>
      </w:r>
      <w:r w:rsidR="00EB63EF">
        <w:rPr>
          <w:rFonts w:ascii="Times New Roman" w:hAnsi="Times New Roman" w:cs="Times New Roman"/>
          <w:sz w:val="28"/>
          <w:szCs w:val="28"/>
        </w:rPr>
        <w:t>sign</w:t>
      </w:r>
      <w:r w:rsidR="00240D07">
        <w:rPr>
          <w:rFonts w:ascii="Times New Roman" w:hAnsi="Times New Roman" w:cs="Times New Roman"/>
          <w:sz w:val="28"/>
          <w:szCs w:val="28"/>
        </w:rPr>
        <w:t>ificant change in</w:t>
      </w:r>
      <w:r w:rsidR="00716ED1">
        <w:rPr>
          <w:rFonts w:ascii="Times New Roman" w:hAnsi="Times New Roman" w:cs="Times New Roman"/>
          <w:sz w:val="28"/>
          <w:szCs w:val="28"/>
        </w:rPr>
        <w:t xml:space="preserve"> the</w:t>
      </w:r>
      <w:r w:rsidR="000352F5">
        <w:rPr>
          <w:rFonts w:ascii="Times New Roman" w:hAnsi="Times New Roman" w:cs="Times New Roman"/>
          <w:sz w:val="28"/>
          <w:szCs w:val="28"/>
        </w:rPr>
        <w:t xml:space="preserve"> specific</w:t>
      </w:r>
      <w:r w:rsidR="00240D07">
        <w:rPr>
          <w:rFonts w:ascii="Times New Roman" w:hAnsi="Times New Roman" w:cs="Times New Roman"/>
          <w:sz w:val="28"/>
          <w:szCs w:val="28"/>
        </w:rPr>
        <w:t xml:space="preserve"> </w:t>
      </w:r>
      <w:r w:rsidR="00334677">
        <w:rPr>
          <w:rFonts w:ascii="Times New Roman" w:hAnsi="Times New Roman" w:cs="Times New Roman"/>
          <w:sz w:val="28"/>
          <w:szCs w:val="28"/>
        </w:rPr>
        <w:t>funding</w:t>
      </w:r>
      <w:r w:rsidR="00240D07">
        <w:rPr>
          <w:rFonts w:ascii="Times New Roman" w:hAnsi="Times New Roman" w:cs="Times New Roman"/>
          <w:sz w:val="28"/>
          <w:szCs w:val="28"/>
        </w:rPr>
        <w:t xml:space="preserve"> arrangements for</w:t>
      </w:r>
      <w:r w:rsidR="00EB63EF">
        <w:rPr>
          <w:rFonts w:ascii="Times New Roman" w:hAnsi="Times New Roman" w:cs="Times New Roman"/>
          <w:sz w:val="28"/>
          <w:szCs w:val="28"/>
        </w:rPr>
        <w:t xml:space="preserve"> </w:t>
      </w:r>
      <w:r w:rsidR="001459AB">
        <w:rPr>
          <w:rFonts w:ascii="Times New Roman" w:hAnsi="Times New Roman" w:cs="Times New Roman"/>
          <w:sz w:val="28"/>
          <w:szCs w:val="28"/>
        </w:rPr>
        <w:t xml:space="preserve">publicly provided health care, </w:t>
      </w:r>
      <w:r w:rsidR="00716ED1">
        <w:rPr>
          <w:rFonts w:ascii="Times New Roman" w:hAnsi="Times New Roman" w:cs="Times New Roman"/>
          <w:sz w:val="28"/>
          <w:szCs w:val="28"/>
        </w:rPr>
        <w:t>although the number of private insurance policies that provide private health services have grown considerably since 2008</w:t>
      </w:r>
      <w:r w:rsidR="001459AB">
        <w:rPr>
          <w:rFonts w:ascii="Times New Roman" w:hAnsi="Times New Roman" w:cs="Times New Roman"/>
          <w:sz w:val="28"/>
          <w:szCs w:val="28"/>
        </w:rPr>
        <w:t xml:space="preserve"> in Sweden, Norway, and Denmark</w:t>
      </w:r>
      <w:r w:rsidR="00716ED1">
        <w:rPr>
          <w:rFonts w:ascii="Times New Roman" w:hAnsi="Times New Roman" w:cs="Times New Roman"/>
          <w:sz w:val="28"/>
          <w:szCs w:val="28"/>
        </w:rPr>
        <w:t>.</w:t>
      </w:r>
      <w:r w:rsidR="00EB63EF">
        <w:rPr>
          <w:rFonts w:ascii="Times New Roman" w:hAnsi="Times New Roman" w:cs="Times New Roman"/>
          <w:sz w:val="28"/>
          <w:szCs w:val="28"/>
        </w:rPr>
        <w:t xml:space="preserve"> By contrast, i</w:t>
      </w:r>
      <w:r w:rsidR="00334677">
        <w:rPr>
          <w:rFonts w:ascii="Times New Roman" w:hAnsi="Times New Roman" w:cs="Times New Roman"/>
          <w:sz w:val="28"/>
          <w:szCs w:val="28"/>
        </w:rPr>
        <w:t>n SHI systems</w:t>
      </w:r>
      <w:r w:rsidR="002F32F8">
        <w:rPr>
          <w:rFonts w:ascii="Times New Roman" w:hAnsi="Times New Roman" w:cs="Times New Roman"/>
          <w:sz w:val="28"/>
          <w:szCs w:val="28"/>
        </w:rPr>
        <w:t>,</w:t>
      </w:r>
      <w:r w:rsidR="00EB63EF">
        <w:rPr>
          <w:rFonts w:ascii="Times New Roman" w:hAnsi="Times New Roman" w:cs="Times New Roman"/>
          <w:sz w:val="28"/>
          <w:szCs w:val="28"/>
        </w:rPr>
        <w:t xml:space="preserve"> </w:t>
      </w:r>
      <w:r w:rsidR="000352F5">
        <w:rPr>
          <w:rFonts w:ascii="Times New Roman" w:hAnsi="Times New Roman" w:cs="Times New Roman"/>
          <w:sz w:val="28"/>
          <w:szCs w:val="28"/>
        </w:rPr>
        <w:t>it has been the institutional and organizational arrangements for the production of health services that have been</w:t>
      </w:r>
      <w:r w:rsidR="00EB63EF">
        <w:rPr>
          <w:rFonts w:ascii="Times New Roman" w:hAnsi="Times New Roman" w:cs="Times New Roman"/>
          <w:sz w:val="28"/>
          <w:szCs w:val="28"/>
        </w:rPr>
        <w:t xml:space="preserve"> </w:t>
      </w:r>
      <w:r w:rsidR="005F3D30">
        <w:rPr>
          <w:rFonts w:ascii="Times New Roman" w:hAnsi="Times New Roman" w:cs="Times New Roman"/>
          <w:sz w:val="28"/>
          <w:szCs w:val="28"/>
        </w:rPr>
        <w:t xml:space="preserve">largely </w:t>
      </w:r>
      <w:r w:rsidR="000352F5">
        <w:rPr>
          <w:rFonts w:ascii="Times New Roman" w:hAnsi="Times New Roman" w:cs="Times New Roman"/>
          <w:sz w:val="28"/>
          <w:szCs w:val="28"/>
        </w:rPr>
        <w:t>unchanged,</w:t>
      </w:r>
      <w:r w:rsidR="001459AB">
        <w:rPr>
          <w:rFonts w:ascii="Times New Roman" w:hAnsi="Times New Roman" w:cs="Times New Roman"/>
          <w:sz w:val="28"/>
          <w:szCs w:val="28"/>
        </w:rPr>
        <w:t xml:space="preserve"> with some exceptions</w:t>
      </w:r>
      <w:r w:rsidR="005F3D30">
        <w:rPr>
          <w:rFonts w:ascii="Times New Roman" w:hAnsi="Times New Roman" w:cs="Times New Roman"/>
          <w:sz w:val="28"/>
          <w:szCs w:val="28"/>
        </w:rPr>
        <w:t xml:space="preserve"> concerning long</w:t>
      </w:r>
      <w:r w:rsidR="005F4A59">
        <w:rPr>
          <w:rFonts w:ascii="Times New Roman" w:hAnsi="Times New Roman" w:cs="Times New Roman"/>
          <w:sz w:val="28"/>
          <w:szCs w:val="28"/>
        </w:rPr>
        <w:t>-</w:t>
      </w:r>
      <w:r w:rsidR="005F3D30">
        <w:rPr>
          <w:rFonts w:ascii="Times New Roman" w:hAnsi="Times New Roman" w:cs="Times New Roman"/>
          <w:sz w:val="28"/>
          <w:szCs w:val="28"/>
        </w:rPr>
        <w:t xml:space="preserve">term care services (see </w:t>
      </w:r>
      <w:r w:rsidR="001459AB">
        <w:rPr>
          <w:rFonts w:ascii="Times New Roman" w:hAnsi="Times New Roman" w:cs="Times New Roman"/>
          <w:sz w:val="28"/>
          <w:szCs w:val="28"/>
        </w:rPr>
        <w:t xml:space="preserve">Netherlands </w:t>
      </w:r>
      <w:r w:rsidR="005F3D30">
        <w:rPr>
          <w:rFonts w:ascii="Times New Roman" w:hAnsi="Times New Roman" w:cs="Times New Roman"/>
          <w:sz w:val="28"/>
          <w:szCs w:val="28"/>
        </w:rPr>
        <w:t>case study below)</w:t>
      </w:r>
      <w:r w:rsidR="001459AB">
        <w:rPr>
          <w:rFonts w:ascii="Times New Roman" w:hAnsi="Times New Roman" w:cs="Times New Roman"/>
          <w:sz w:val="28"/>
          <w:szCs w:val="28"/>
        </w:rPr>
        <w:t xml:space="preserve"> and pilot projects for chronically ill elderly</w:t>
      </w:r>
      <w:r w:rsidR="005F3D30">
        <w:rPr>
          <w:rFonts w:ascii="Times New Roman" w:hAnsi="Times New Roman" w:cs="Times New Roman"/>
          <w:sz w:val="28"/>
          <w:szCs w:val="28"/>
        </w:rPr>
        <w:t xml:space="preserve">. </w:t>
      </w:r>
      <w:r w:rsidR="002F32F8">
        <w:rPr>
          <w:rFonts w:ascii="Times New Roman" w:hAnsi="Times New Roman" w:cs="Times New Roman"/>
          <w:sz w:val="28"/>
          <w:szCs w:val="28"/>
        </w:rPr>
        <w:t xml:space="preserve"> </w:t>
      </w:r>
      <w:r w:rsidR="00334677">
        <w:rPr>
          <w:rFonts w:ascii="Times New Roman" w:hAnsi="Times New Roman" w:cs="Times New Roman"/>
          <w:sz w:val="28"/>
          <w:szCs w:val="28"/>
        </w:rPr>
        <w:t xml:space="preserve"> </w:t>
      </w:r>
    </w:p>
    <w:p w:rsidR="00EB63EF" w:rsidRDefault="00EB63EF" w:rsidP="00623A19">
      <w:pPr>
        <w:pStyle w:val="NoSpacing"/>
        <w:rPr>
          <w:rFonts w:ascii="Times New Roman" w:hAnsi="Times New Roman" w:cs="Times New Roman"/>
          <w:sz w:val="28"/>
          <w:szCs w:val="28"/>
        </w:rPr>
      </w:pPr>
    </w:p>
    <w:p w:rsidR="00D868D1" w:rsidRDefault="004D063F" w:rsidP="00623A19">
      <w:pPr>
        <w:pStyle w:val="NoSpacing"/>
        <w:rPr>
          <w:rFonts w:ascii="Times New Roman" w:hAnsi="Times New Roman" w:cs="Times New Roman"/>
          <w:sz w:val="28"/>
          <w:szCs w:val="28"/>
        </w:rPr>
      </w:pPr>
      <w:r>
        <w:rPr>
          <w:rFonts w:ascii="Times New Roman" w:hAnsi="Times New Roman" w:cs="Times New Roman"/>
          <w:sz w:val="28"/>
          <w:szCs w:val="28"/>
        </w:rPr>
        <w:t>Similarly</w:t>
      </w:r>
      <w:r w:rsidR="00C478F3">
        <w:rPr>
          <w:rFonts w:ascii="Times New Roman" w:hAnsi="Times New Roman" w:cs="Times New Roman"/>
          <w:sz w:val="28"/>
          <w:szCs w:val="28"/>
        </w:rPr>
        <w:t>, the</w:t>
      </w:r>
      <w:r w:rsidR="00334677">
        <w:rPr>
          <w:rFonts w:ascii="Times New Roman" w:hAnsi="Times New Roman" w:cs="Times New Roman"/>
          <w:sz w:val="28"/>
          <w:szCs w:val="28"/>
        </w:rPr>
        <w:t xml:space="preserve"> </w:t>
      </w:r>
      <w:r w:rsidR="002F32F8">
        <w:rPr>
          <w:rFonts w:ascii="Times New Roman" w:hAnsi="Times New Roman" w:cs="Times New Roman"/>
          <w:sz w:val="28"/>
          <w:szCs w:val="28"/>
        </w:rPr>
        <w:t xml:space="preserve">significant organizational and institutional </w:t>
      </w:r>
      <w:r w:rsidR="00911C7C">
        <w:rPr>
          <w:rFonts w:ascii="Times New Roman" w:hAnsi="Times New Roman" w:cs="Times New Roman"/>
          <w:sz w:val="28"/>
          <w:szCs w:val="28"/>
        </w:rPr>
        <w:t xml:space="preserve">changes </w:t>
      </w:r>
      <w:r w:rsidR="00C478F3">
        <w:rPr>
          <w:rFonts w:ascii="Times New Roman" w:hAnsi="Times New Roman" w:cs="Times New Roman"/>
          <w:sz w:val="28"/>
          <w:szCs w:val="28"/>
        </w:rPr>
        <w:t xml:space="preserve">that </w:t>
      </w:r>
      <w:r w:rsidR="00911C7C" w:rsidRPr="00D868D1">
        <w:rPr>
          <w:rFonts w:ascii="Times New Roman" w:hAnsi="Times New Roman" w:cs="Times New Roman"/>
          <w:i/>
          <w:sz w:val="28"/>
          <w:szCs w:val="28"/>
        </w:rPr>
        <w:t>have</w:t>
      </w:r>
      <w:r w:rsidR="00911C7C">
        <w:rPr>
          <w:rFonts w:ascii="Times New Roman" w:hAnsi="Times New Roman" w:cs="Times New Roman"/>
          <w:sz w:val="28"/>
          <w:szCs w:val="28"/>
        </w:rPr>
        <w:t xml:space="preserve"> been made </w:t>
      </w:r>
      <w:r w:rsidR="00AE297F">
        <w:rPr>
          <w:rFonts w:ascii="Times New Roman" w:hAnsi="Times New Roman" w:cs="Times New Roman"/>
          <w:sz w:val="28"/>
          <w:szCs w:val="28"/>
        </w:rPr>
        <w:t>in these health systems</w:t>
      </w:r>
      <w:r>
        <w:rPr>
          <w:rFonts w:ascii="Times New Roman" w:hAnsi="Times New Roman" w:cs="Times New Roman"/>
          <w:sz w:val="28"/>
          <w:szCs w:val="28"/>
        </w:rPr>
        <w:t xml:space="preserve"> have also been quite</w:t>
      </w:r>
      <w:r w:rsidR="00C478F3">
        <w:rPr>
          <w:rFonts w:ascii="Times New Roman" w:hAnsi="Times New Roman" w:cs="Times New Roman"/>
          <w:sz w:val="28"/>
          <w:szCs w:val="28"/>
        </w:rPr>
        <w:t xml:space="preserve"> different</w:t>
      </w:r>
      <w:r w:rsidR="00D868D1">
        <w:rPr>
          <w:rFonts w:ascii="Times New Roman" w:hAnsi="Times New Roman" w:cs="Times New Roman"/>
          <w:sz w:val="28"/>
          <w:szCs w:val="28"/>
        </w:rPr>
        <w:t>. I</w:t>
      </w:r>
      <w:r w:rsidR="00911C7C">
        <w:rPr>
          <w:rFonts w:ascii="Times New Roman" w:hAnsi="Times New Roman" w:cs="Times New Roman"/>
          <w:sz w:val="28"/>
          <w:szCs w:val="28"/>
        </w:rPr>
        <w:t>n tax-funded systems</w:t>
      </w:r>
      <w:r>
        <w:rPr>
          <w:rFonts w:ascii="Times New Roman" w:hAnsi="Times New Roman" w:cs="Times New Roman"/>
          <w:sz w:val="28"/>
          <w:szCs w:val="28"/>
        </w:rPr>
        <w:t>,  major</w:t>
      </w:r>
      <w:r w:rsidR="00D868D1">
        <w:rPr>
          <w:rFonts w:ascii="Times New Roman" w:hAnsi="Times New Roman" w:cs="Times New Roman"/>
          <w:sz w:val="28"/>
          <w:szCs w:val="28"/>
        </w:rPr>
        <w:t xml:space="preserve"> changes in re-configuring service provider organizations on the</w:t>
      </w:r>
      <w:r>
        <w:rPr>
          <w:rFonts w:ascii="Times New Roman" w:hAnsi="Times New Roman" w:cs="Times New Roman"/>
          <w:sz w:val="28"/>
          <w:szCs w:val="28"/>
        </w:rPr>
        <w:t xml:space="preserve"> </w:t>
      </w:r>
      <w:r w:rsidR="00334677">
        <w:rPr>
          <w:rFonts w:ascii="Times New Roman" w:hAnsi="Times New Roman" w:cs="Times New Roman"/>
          <w:sz w:val="28"/>
          <w:szCs w:val="28"/>
        </w:rPr>
        <w:t>production</w:t>
      </w:r>
      <w:r>
        <w:rPr>
          <w:rFonts w:ascii="Times New Roman" w:hAnsi="Times New Roman" w:cs="Times New Roman"/>
          <w:sz w:val="28"/>
          <w:szCs w:val="28"/>
        </w:rPr>
        <w:t xml:space="preserve"> side have been introduced in long</w:t>
      </w:r>
      <w:r w:rsidR="005F4A59">
        <w:rPr>
          <w:rFonts w:ascii="Times New Roman" w:hAnsi="Times New Roman" w:cs="Times New Roman"/>
          <w:sz w:val="28"/>
          <w:szCs w:val="28"/>
        </w:rPr>
        <w:t>-</w:t>
      </w:r>
      <w:r>
        <w:rPr>
          <w:rFonts w:ascii="Times New Roman" w:hAnsi="Times New Roman" w:cs="Times New Roman"/>
          <w:sz w:val="28"/>
          <w:szCs w:val="28"/>
        </w:rPr>
        <w:t>term care services (Norway, Denmark)</w:t>
      </w:r>
      <w:r w:rsidR="00D868D1">
        <w:rPr>
          <w:rFonts w:ascii="Times New Roman" w:hAnsi="Times New Roman" w:cs="Times New Roman"/>
          <w:sz w:val="28"/>
          <w:szCs w:val="28"/>
        </w:rPr>
        <w:t>,</w:t>
      </w:r>
      <w:r>
        <w:rPr>
          <w:rFonts w:ascii="Times New Roman" w:hAnsi="Times New Roman" w:cs="Times New Roman"/>
          <w:sz w:val="28"/>
          <w:szCs w:val="28"/>
        </w:rPr>
        <w:t xml:space="preserve"> as well as a major re-structuring of the entire service delivery system now underway in Finland (Saltman and Teperi, 2016). </w:t>
      </w:r>
      <w:r w:rsidR="006C15FE">
        <w:rPr>
          <w:rFonts w:ascii="Times New Roman" w:hAnsi="Times New Roman" w:cs="Times New Roman"/>
          <w:sz w:val="28"/>
          <w:szCs w:val="28"/>
        </w:rPr>
        <w:t>There also have been important pilot projects on decentralization (England) and long</w:t>
      </w:r>
      <w:r w:rsidR="005F4A59">
        <w:rPr>
          <w:rFonts w:ascii="Times New Roman" w:hAnsi="Times New Roman" w:cs="Times New Roman"/>
          <w:sz w:val="28"/>
          <w:szCs w:val="28"/>
        </w:rPr>
        <w:t>-</w:t>
      </w:r>
      <w:r w:rsidR="006C15FE">
        <w:rPr>
          <w:rFonts w:ascii="Times New Roman" w:hAnsi="Times New Roman" w:cs="Times New Roman"/>
          <w:sz w:val="28"/>
          <w:szCs w:val="28"/>
        </w:rPr>
        <w:t>term care alternatives (Sweden). Conversely, i</w:t>
      </w:r>
      <w:r w:rsidR="00D868D1">
        <w:rPr>
          <w:rFonts w:ascii="Times New Roman" w:hAnsi="Times New Roman" w:cs="Times New Roman"/>
          <w:sz w:val="28"/>
          <w:szCs w:val="28"/>
        </w:rPr>
        <w:t>n</w:t>
      </w:r>
      <w:r w:rsidR="00334677">
        <w:rPr>
          <w:rFonts w:ascii="Times New Roman" w:hAnsi="Times New Roman" w:cs="Times New Roman"/>
          <w:sz w:val="28"/>
          <w:szCs w:val="28"/>
        </w:rPr>
        <w:t xml:space="preserve"> SHI systems, </w:t>
      </w:r>
      <w:r w:rsidR="00AE297F">
        <w:rPr>
          <w:rFonts w:ascii="Times New Roman" w:hAnsi="Times New Roman" w:cs="Times New Roman"/>
          <w:sz w:val="28"/>
          <w:szCs w:val="28"/>
        </w:rPr>
        <w:t>most</w:t>
      </w:r>
      <w:r w:rsidR="00D868D1">
        <w:rPr>
          <w:rFonts w:ascii="Times New Roman" w:hAnsi="Times New Roman" w:cs="Times New Roman"/>
          <w:sz w:val="28"/>
          <w:szCs w:val="28"/>
        </w:rPr>
        <w:t xml:space="preserve"> </w:t>
      </w:r>
      <w:r w:rsidR="00334677">
        <w:rPr>
          <w:rFonts w:ascii="Times New Roman" w:hAnsi="Times New Roman" w:cs="Times New Roman"/>
          <w:sz w:val="28"/>
          <w:szCs w:val="28"/>
        </w:rPr>
        <w:t xml:space="preserve">major </w:t>
      </w:r>
      <w:r w:rsidR="00AE297F">
        <w:rPr>
          <w:rFonts w:ascii="Times New Roman" w:hAnsi="Times New Roman" w:cs="Times New Roman"/>
          <w:sz w:val="28"/>
          <w:szCs w:val="28"/>
        </w:rPr>
        <w:t xml:space="preserve">structural health system </w:t>
      </w:r>
      <w:r w:rsidR="00334677">
        <w:rPr>
          <w:rFonts w:ascii="Times New Roman" w:hAnsi="Times New Roman" w:cs="Times New Roman"/>
          <w:sz w:val="28"/>
          <w:szCs w:val="28"/>
        </w:rPr>
        <w:t>changes</w:t>
      </w:r>
      <w:r w:rsidR="00AE297F">
        <w:rPr>
          <w:rFonts w:ascii="Times New Roman" w:hAnsi="Times New Roman" w:cs="Times New Roman"/>
          <w:sz w:val="28"/>
          <w:szCs w:val="28"/>
        </w:rPr>
        <w:t xml:space="preserve"> </w:t>
      </w:r>
      <w:r w:rsidR="006C15FE">
        <w:rPr>
          <w:rFonts w:ascii="Times New Roman" w:hAnsi="Times New Roman" w:cs="Times New Roman"/>
          <w:sz w:val="28"/>
          <w:szCs w:val="28"/>
        </w:rPr>
        <w:t xml:space="preserve">have focused on the funding side, on </w:t>
      </w:r>
      <w:r w:rsidR="00334677">
        <w:rPr>
          <w:rFonts w:ascii="Times New Roman" w:hAnsi="Times New Roman" w:cs="Times New Roman"/>
          <w:sz w:val="28"/>
          <w:szCs w:val="28"/>
        </w:rPr>
        <w:t xml:space="preserve">how </w:t>
      </w:r>
      <w:r w:rsidR="00D868D1">
        <w:rPr>
          <w:rFonts w:ascii="Times New Roman" w:hAnsi="Times New Roman" w:cs="Times New Roman"/>
          <w:sz w:val="28"/>
          <w:szCs w:val="28"/>
        </w:rPr>
        <w:t xml:space="preserve">health care </w:t>
      </w:r>
      <w:r w:rsidR="00334677">
        <w:rPr>
          <w:rFonts w:ascii="Times New Roman" w:hAnsi="Times New Roman" w:cs="Times New Roman"/>
          <w:sz w:val="28"/>
          <w:szCs w:val="28"/>
        </w:rPr>
        <w:t>revenue is raised and c</w:t>
      </w:r>
      <w:r w:rsidR="00D868D1">
        <w:rPr>
          <w:rFonts w:ascii="Times New Roman" w:hAnsi="Times New Roman" w:cs="Times New Roman"/>
          <w:sz w:val="28"/>
          <w:szCs w:val="28"/>
        </w:rPr>
        <w:t>hanneled.</w:t>
      </w:r>
      <w:r w:rsidR="002263CD">
        <w:rPr>
          <w:rFonts w:ascii="Times New Roman" w:hAnsi="Times New Roman" w:cs="Times New Roman"/>
          <w:sz w:val="28"/>
          <w:szCs w:val="28"/>
        </w:rPr>
        <w:t xml:space="preserve"> </w:t>
      </w:r>
    </w:p>
    <w:p w:rsidR="00D868D1" w:rsidRDefault="00D868D1" w:rsidP="00623A19">
      <w:pPr>
        <w:pStyle w:val="NoSpacing"/>
        <w:rPr>
          <w:rFonts w:ascii="Times New Roman" w:hAnsi="Times New Roman" w:cs="Times New Roman"/>
          <w:sz w:val="28"/>
          <w:szCs w:val="28"/>
        </w:rPr>
      </w:pPr>
    </w:p>
    <w:p w:rsidR="00D35B40" w:rsidRDefault="00AF7270" w:rsidP="00623A19">
      <w:pPr>
        <w:pStyle w:val="NoSpacing"/>
        <w:rPr>
          <w:rFonts w:ascii="Times New Roman" w:hAnsi="Times New Roman" w:cs="Times New Roman"/>
          <w:sz w:val="28"/>
          <w:szCs w:val="28"/>
        </w:rPr>
      </w:pPr>
      <w:r>
        <w:rPr>
          <w:rFonts w:ascii="Times New Roman" w:hAnsi="Times New Roman" w:cs="Times New Roman"/>
          <w:sz w:val="28"/>
          <w:szCs w:val="28"/>
        </w:rPr>
        <w:t>It is of</w:t>
      </w:r>
      <w:r w:rsidR="00AD0839">
        <w:rPr>
          <w:rFonts w:ascii="Times New Roman" w:hAnsi="Times New Roman" w:cs="Times New Roman"/>
          <w:sz w:val="28"/>
          <w:szCs w:val="28"/>
        </w:rPr>
        <w:t xml:space="preserve"> note that, despite the structural divergence just detailed, b</w:t>
      </w:r>
      <w:r w:rsidR="002263CD">
        <w:rPr>
          <w:rFonts w:ascii="Times New Roman" w:hAnsi="Times New Roman" w:cs="Times New Roman"/>
          <w:sz w:val="28"/>
          <w:szCs w:val="28"/>
        </w:rPr>
        <w:t>oth</w:t>
      </w:r>
      <w:r w:rsidR="00AD0839">
        <w:rPr>
          <w:rFonts w:ascii="Times New Roman" w:hAnsi="Times New Roman" w:cs="Times New Roman"/>
          <w:sz w:val="28"/>
          <w:szCs w:val="28"/>
        </w:rPr>
        <w:t xml:space="preserve"> types of systems </w:t>
      </w:r>
      <w:r w:rsidR="00A9195F">
        <w:rPr>
          <w:rFonts w:ascii="Times New Roman" w:hAnsi="Times New Roman" w:cs="Times New Roman"/>
          <w:sz w:val="28"/>
          <w:szCs w:val="28"/>
        </w:rPr>
        <w:t>have made important</w:t>
      </w:r>
      <w:r w:rsidR="00AD0839">
        <w:rPr>
          <w:rFonts w:ascii="Times New Roman" w:hAnsi="Times New Roman" w:cs="Times New Roman"/>
          <w:sz w:val="28"/>
          <w:szCs w:val="28"/>
        </w:rPr>
        <w:t xml:space="preserve"> changes to</w:t>
      </w:r>
      <w:r w:rsidR="00334677">
        <w:rPr>
          <w:rFonts w:ascii="Times New Roman" w:hAnsi="Times New Roman" w:cs="Times New Roman"/>
          <w:sz w:val="28"/>
          <w:szCs w:val="28"/>
        </w:rPr>
        <w:t xml:space="preserve"> the intermediate category of “allocation models,” </w:t>
      </w:r>
      <w:r w:rsidR="00D868D1">
        <w:rPr>
          <w:rFonts w:ascii="Times New Roman" w:hAnsi="Times New Roman" w:cs="Times New Roman"/>
          <w:sz w:val="28"/>
          <w:szCs w:val="28"/>
        </w:rPr>
        <w:t>e</w:t>
      </w:r>
      <w:r w:rsidR="00695ECE">
        <w:rPr>
          <w:rFonts w:ascii="Times New Roman" w:hAnsi="Times New Roman" w:cs="Times New Roman"/>
          <w:sz w:val="28"/>
          <w:szCs w:val="28"/>
        </w:rPr>
        <w:t>.</w:t>
      </w:r>
      <w:r w:rsidR="00D868D1">
        <w:rPr>
          <w:rFonts w:ascii="Times New Roman" w:hAnsi="Times New Roman" w:cs="Times New Roman"/>
          <w:sz w:val="28"/>
          <w:szCs w:val="28"/>
        </w:rPr>
        <w:t>g</w:t>
      </w:r>
      <w:r w:rsidR="00695ECE">
        <w:rPr>
          <w:rFonts w:ascii="Times New Roman" w:hAnsi="Times New Roman" w:cs="Times New Roman"/>
          <w:sz w:val="28"/>
          <w:szCs w:val="28"/>
        </w:rPr>
        <w:t>.,</w:t>
      </w:r>
      <w:r w:rsidR="0056554A">
        <w:rPr>
          <w:rFonts w:ascii="Times New Roman" w:hAnsi="Times New Roman" w:cs="Times New Roman"/>
          <w:sz w:val="28"/>
          <w:szCs w:val="28"/>
        </w:rPr>
        <w:t xml:space="preserve"> the arrangements and incentives by which </w:t>
      </w:r>
      <w:r w:rsidR="00D868D1">
        <w:rPr>
          <w:rFonts w:ascii="Times New Roman" w:hAnsi="Times New Roman" w:cs="Times New Roman"/>
          <w:sz w:val="28"/>
          <w:szCs w:val="28"/>
        </w:rPr>
        <w:t xml:space="preserve">the </w:t>
      </w:r>
      <w:r w:rsidR="0056554A">
        <w:rPr>
          <w:rFonts w:ascii="Times New Roman" w:hAnsi="Times New Roman" w:cs="Times New Roman"/>
          <w:sz w:val="28"/>
          <w:szCs w:val="28"/>
        </w:rPr>
        <w:t>money</w:t>
      </w:r>
      <w:r w:rsidR="00FD2FE4">
        <w:rPr>
          <w:rFonts w:ascii="Times New Roman" w:hAnsi="Times New Roman" w:cs="Times New Roman"/>
          <w:sz w:val="28"/>
          <w:szCs w:val="28"/>
        </w:rPr>
        <w:t xml:space="preserve"> raised (</w:t>
      </w:r>
      <w:r w:rsidR="00D868D1">
        <w:rPr>
          <w:rFonts w:ascii="Times New Roman" w:hAnsi="Times New Roman" w:cs="Times New Roman"/>
          <w:sz w:val="28"/>
          <w:szCs w:val="28"/>
        </w:rPr>
        <w:t>here called “funding”) is transferred to the service providers (here called “production”)</w:t>
      </w:r>
      <w:r w:rsidR="0056554A">
        <w:rPr>
          <w:rFonts w:ascii="Times New Roman" w:hAnsi="Times New Roman" w:cs="Times New Roman"/>
          <w:sz w:val="28"/>
          <w:szCs w:val="28"/>
        </w:rPr>
        <w:t>.</w:t>
      </w:r>
      <w:r w:rsidR="00334677">
        <w:rPr>
          <w:rFonts w:ascii="Times New Roman" w:hAnsi="Times New Roman" w:cs="Times New Roman"/>
          <w:sz w:val="28"/>
          <w:szCs w:val="28"/>
        </w:rPr>
        <w:t xml:space="preserve"> </w:t>
      </w:r>
      <w:r w:rsidR="00C86D8C">
        <w:rPr>
          <w:rFonts w:ascii="Times New Roman" w:hAnsi="Times New Roman" w:cs="Times New Roman"/>
          <w:sz w:val="28"/>
          <w:szCs w:val="28"/>
        </w:rPr>
        <w:t xml:space="preserve">One key allocation element that grew substantially in tax-funded health systems was the number and size of private contractors, extending from specific types of elective surgery to a wide range of social care services including nursing home and other elderly residence-based care. </w:t>
      </w:r>
      <w:r w:rsidR="00D35B40">
        <w:rPr>
          <w:rFonts w:ascii="Times New Roman" w:hAnsi="Times New Roman" w:cs="Times New Roman"/>
          <w:sz w:val="28"/>
          <w:szCs w:val="28"/>
        </w:rPr>
        <w:t xml:space="preserve">Although </w:t>
      </w:r>
      <w:r w:rsidR="008A5732">
        <w:rPr>
          <w:rFonts w:ascii="Times New Roman" w:hAnsi="Times New Roman" w:cs="Times New Roman"/>
          <w:sz w:val="28"/>
          <w:szCs w:val="28"/>
        </w:rPr>
        <w:t xml:space="preserve">this </w:t>
      </w:r>
      <w:r w:rsidR="00D35B40">
        <w:rPr>
          <w:rFonts w:ascii="Times New Roman" w:hAnsi="Times New Roman" w:cs="Times New Roman"/>
          <w:sz w:val="28"/>
          <w:szCs w:val="28"/>
        </w:rPr>
        <w:t xml:space="preserve">New Public </w:t>
      </w:r>
      <w:r w:rsidR="00B34195">
        <w:rPr>
          <w:rFonts w:ascii="Times New Roman" w:hAnsi="Times New Roman" w:cs="Times New Roman"/>
          <w:sz w:val="28"/>
          <w:szCs w:val="28"/>
        </w:rPr>
        <w:t>M</w:t>
      </w:r>
      <w:r w:rsidR="00D35B40">
        <w:rPr>
          <w:rFonts w:ascii="Times New Roman" w:hAnsi="Times New Roman" w:cs="Times New Roman"/>
          <w:sz w:val="28"/>
          <w:szCs w:val="28"/>
        </w:rPr>
        <w:t xml:space="preserve">anagement strategy (Hood, 1991) </w:t>
      </w:r>
      <w:r w:rsidR="008A5732">
        <w:rPr>
          <w:rFonts w:ascii="Times New Roman" w:hAnsi="Times New Roman" w:cs="Times New Roman"/>
          <w:sz w:val="28"/>
          <w:szCs w:val="28"/>
        </w:rPr>
        <w:t>was</w:t>
      </w:r>
      <w:r w:rsidR="00D35B40">
        <w:rPr>
          <w:rFonts w:ascii="Times New Roman" w:hAnsi="Times New Roman" w:cs="Times New Roman"/>
          <w:sz w:val="28"/>
          <w:szCs w:val="28"/>
        </w:rPr>
        <w:t xml:space="preserve"> not</w:t>
      </w:r>
      <w:r w:rsidR="008A5732">
        <w:rPr>
          <w:rFonts w:ascii="Times New Roman" w:hAnsi="Times New Roman" w:cs="Times New Roman"/>
          <w:sz w:val="28"/>
          <w:szCs w:val="28"/>
        </w:rPr>
        <w:t xml:space="preserve"> “new” to Northern European tax-funded health systems, </w:t>
      </w:r>
      <w:r w:rsidR="00D35B40">
        <w:rPr>
          <w:rFonts w:ascii="Times New Roman" w:hAnsi="Times New Roman" w:cs="Times New Roman"/>
          <w:sz w:val="28"/>
          <w:szCs w:val="28"/>
        </w:rPr>
        <w:t>the scope and volume in several</w:t>
      </w:r>
      <w:r w:rsidR="008A5732">
        <w:rPr>
          <w:rFonts w:ascii="Times New Roman" w:hAnsi="Times New Roman" w:cs="Times New Roman"/>
          <w:sz w:val="28"/>
          <w:szCs w:val="28"/>
        </w:rPr>
        <w:t xml:space="preserve"> countries (Swed</w:t>
      </w:r>
      <w:r w:rsidR="00FE3700">
        <w:rPr>
          <w:rFonts w:ascii="Times New Roman" w:hAnsi="Times New Roman" w:cs="Times New Roman"/>
          <w:sz w:val="28"/>
          <w:szCs w:val="28"/>
        </w:rPr>
        <w:t>en, Eng</w:t>
      </w:r>
      <w:r w:rsidR="00FD2FE4">
        <w:rPr>
          <w:rFonts w:ascii="Times New Roman" w:hAnsi="Times New Roman" w:cs="Times New Roman"/>
          <w:sz w:val="28"/>
          <w:szCs w:val="28"/>
        </w:rPr>
        <w:t>land) grew substantially during this period</w:t>
      </w:r>
      <w:r w:rsidR="00FE3700">
        <w:rPr>
          <w:rFonts w:ascii="Times New Roman" w:hAnsi="Times New Roman" w:cs="Times New Roman"/>
          <w:sz w:val="28"/>
          <w:szCs w:val="28"/>
        </w:rPr>
        <w:t>.</w:t>
      </w:r>
      <w:r w:rsidR="00D35B40">
        <w:rPr>
          <w:rFonts w:ascii="Times New Roman" w:hAnsi="Times New Roman" w:cs="Times New Roman"/>
          <w:sz w:val="28"/>
          <w:szCs w:val="28"/>
        </w:rPr>
        <w:t xml:space="preserve"> </w:t>
      </w:r>
    </w:p>
    <w:p w:rsidR="00D35B40" w:rsidRDefault="00D35B40" w:rsidP="00623A19">
      <w:pPr>
        <w:pStyle w:val="NoSpacing"/>
        <w:rPr>
          <w:rFonts w:ascii="Times New Roman" w:hAnsi="Times New Roman" w:cs="Times New Roman"/>
          <w:sz w:val="28"/>
          <w:szCs w:val="28"/>
        </w:rPr>
      </w:pPr>
    </w:p>
    <w:p w:rsidR="00945F03" w:rsidRDefault="00D35B40" w:rsidP="00623A19">
      <w:pPr>
        <w:pStyle w:val="NoSpacing"/>
        <w:rPr>
          <w:rFonts w:ascii="Times New Roman" w:hAnsi="Times New Roman" w:cs="Times New Roman"/>
          <w:sz w:val="28"/>
          <w:szCs w:val="28"/>
        </w:rPr>
      </w:pPr>
      <w:r>
        <w:rPr>
          <w:rFonts w:ascii="Times New Roman" w:hAnsi="Times New Roman" w:cs="Times New Roman"/>
          <w:sz w:val="28"/>
          <w:szCs w:val="28"/>
        </w:rPr>
        <w:t xml:space="preserve">Similarly, in SHI systems, these allocation model changes focused on </w:t>
      </w:r>
      <w:r w:rsidR="00853C35">
        <w:rPr>
          <w:rFonts w:ascii="Times New Roman" w:hAnsi="Times New Roman" w:cs="Times New Roman"/>
          <w:sz w:val="28"/>
          <w:szCs w:val="28"/>
        </w:rPr>
        <w:t xml:space="preserve">a shift from the previous, collective and retrospective model of allocation among its separate sickness funds (for example, German risk </w:t>
      </w:r>
      <w:r w:rsidR="00930C0C">
        <w:rPr>
          <w:rFonts w:ascii="Times New Roman" w:hAnsi="Times New Roman" w:cs="Times New Roman"/>
          <w:sz w:val="28"/>
          <w:szCs w:val="28"/>
        </w:rPr>
        <w:t>adjustment models prior to 2009</w:t>
      </w:r>
      <w:r w:rsidR="007B539C">
        <w:rPr>
          <w:rFonts w:ascii="Times New Roman" w:hAnsi="Times New Roman" w:cs="Times New Roman"/>
          <w:sz w:val="28"/>
          <w:szCs w:val="28"/>
        </w:rPr>
        <w:t xml:space="preserve"> </w:t>
      </w:r>
      <w:r w:rsidR="00930C0C">
        <w:rPr>
          <w:rFonts w:ascii="Times New Roman" w:hAnsi="Times New Roman" w:cs="Times New Roman"/>
          <w:sz w:val="28"/>
          <w:szCs w:val="28"/>
        </w:rPr>
        <w:t>(Busse, 2004</w:t>
      </w:r>
      <w:r w:rsidR="007B539C">
        <w:rPr>
          <w:rFonts w:ascii="Times New Roman" w:hAnsi="Times New Roman" w:cs="Times New Roman"/>
          <w:sz w:val="28"/>
          <w:szCs w:val="28"/>
        </w:rPr>
        <w:t>)</w:t>
      </w:r>
      <w:r w:rsidR="00930C0C">
        <w:rPr>
          <w:rFonts w:ascii="Times New Roman" w:hAnsi="Times New Roman" w:cs="Times New Roman"/>
          <w:sz w:val="28"/>
          <w:szCs w:val="28"/>
        </w:rPr>
        <w:t>)</w:t>
      </w:r>
      <w:r w:rsidR="007B539C">
        <w:rPr>
          <w:rFonts w:ascii="Times New Roman" w:hAnsi="Times New Roman" w:cs="Times New Roman"/>
          <w:sz w:val="28"/>
          <w:szCs w:val="28"/>
        </w:rPr>
        <w:t>,</w:t>
      </w:r>
      <w:r w:rsidR="00853C35">
        <w:rPr>
          <w:rFonts w:ascii="Times New Roman" w:hAnsi="Times New Roman" w:cs="Times New Roman"/>
          <w:sz w:val="28"/>
          <w:szCs w:val="28"/>
        </w:rPr>
        <w:t xml:space="preserve"> to –</w:t>
      </w:r>
      <w:r w:rsidR="00930C0C">
        <w:rPr>
          <w:rFonts w:ascii="Times New Roman" w:hAnsi="Times New Roman" w:cs="Times New Roman"/>
          <w:sz w:val="28"/>
          <w:szCs w:val="28"/>
        </w:rPr>
        <w:t xml:space="preserve"> </w:t>
      </w:r>
      <w:r w:rsidR="00AD0839">
        <w:rPr>
          <w:rFonts w:ascii="Times New Roman" w:hAnsi="Times New Roman" w:cs="Times New Roman"/>
          <w:sz w:val="28"/>
          <w:szCs w:val="28"/>
        </w:rPr>
        <w:t xml:space="preserve">as </w:t>
      </w:r>
      <w:r w:rsidR="00853C35">
        <w:rPr>
          <w:rFonts w:ascii="Times New Roman" w:hAnsi="Times New Roman" w:cs="Times New Roman"/>
          <w:sz w:val="28"/>
          <w:szCs w:val="28"/>
        </w:rPr>
        <w:t xml:space="preserve">in </w:t>
      </w:r>
      <w:r w:rsidR="00EE203D">
        <w:rPr>
          <w:rFonts w:ascii="Times New Roman" w:hAnsi="Times New Roman" w:cs="Times New Roman"/>
          <w:sz w:val="28"/>
          <w:szCs w:val="28"/>
        </w:rPr>
        <w:t>t</w:t>
      </w:r>
      <w:r w:rsidR="00853C35">
        <w:rPr>
          <w:rFonts w:ascii="Times New Roman" w:hAnsi="Times New Roman" w:cs="Times New Roman"/>
          <w:sz w:val="28"/>
          <w:szCs w:val="28"/>
        </w:rPr>
        <w:t>he Netherlands post-2006 - new individually-based, prospective models of ris</w:t>
      </w:r>
      <w:r w:rsidR="00A418C8">
        <w:rPr>
          <w:rFonts w:ascii="Times New Roman" w:hAnsi="Times New Roman" w:cs="Times New Roman"/>
          <w:sz w:val="28"/>
          <w:szCs w:val="28"/>
        </w:rPr>
        <w:t xml:space="preserve">k adjustment that </w:t>
      </w:r>
      <w:r w:rsidR="00853C35">
        <w:rPr>
          <w:rFonts w:ascii="Times New Roman" w:hAnsi="Times New Roman" w:cs="Times New Roman"/>
          <w:sz w:val="28"/>
          <w:szCs w:val="28"/>
        </w:rPr>
        <w:t>set a price on each insuree’s head which would pass to their selected insurance fund, including a special bonus for those suffering from one of 80 “listed conditions” (Kroneman et. al., 2016).</w:t>
      </w:r>
      <w:r>
        <w:rPr>
          <w:rFonts w:ascii="Times New Roman" w:hAnsi="Times New Roman" w:cs="Times New Roman"/>
          <w:sz w:val="28"/>
          <w:szCs w:val="28"/>
        </w:rPr>
        <w:t xml:space="preserve"> </w:t>
      </w:r>
      <w:r w:rsidR="00AD0839">
        <w:rPr>
          <w:rFonts w:ascii="Times New Roman" w:hAnsi="Times New Roman" w:cs="Times New Roman"/>
          <w:sz w:val="28"/>
          <w:szCs w:val="28"/>
        </w:rPr>
        <w:t xml:space="preserve">Germany also adopted a </w:t>
      </w:r>
      <w:r w:rsidR="00AD0839">
        <w:rPr>
          <w:rFonts w:ascii="Times New Roman" w:hAnsi="Times New Roman" w:cs="Times New Roman"/>
          <w:sz w:val="28"/>
          <w:szCs w:val="28"/>
        </w:rPr>
        <w:lastRenderedPageBreak/>
        <w:t>similar type of central pooling plus individual risk adjustment</w:t>
      </w:r>
      <w:r>
        <w:rPr>
          <w:rFonts w:ascii="Times New Roman" w:hAnsi="Times New Roman" w:cs="Times New Roman"/>
          <w:sz w:val="28"/>
          <w:szCs w:val="28"/>
        </w:rPr>
        <w:t xml:space="preserve"> </w:t>
      </w:r>
      <w:r w:rsidR="00AD0839">
        <w:rPr>
          <w:rFonts w:ascii="Times New Roman" w:hAnsi="Times New Roman" w:cs="Times New Roman"/>
          <w:sz w:val="28"/>
          <w:szCs w:val="28"/>
        </w:rPr>
        <w:t>system in 2009 which, although planned just befor</w:t>
      </w:r>
      <w:r w:rsidR="008506A6">
        <w:rPr>
          <w:rFonts w:ascii="Times New Roman" w:hAnsi="Times New Roman" w:cs="Times New Roman"/>
          <w:sz w:val="28"/>
          <w:szCs w:val="28"/>
        </w:rPr>
        <w:t>e the crisis, had to be increased</w:t>
      </w:r>
      <w:r w:rsidR="00AD0839">
        <w:rPr>
          <w:rFonts w:ascii="Times New Roman" w:hAnsi="Times New Roman" w:cs="Times New Roman"/>
          <w:sz w:val="28"/>
          <w:szCs w:val="28"/>
        </w:rPr>
        <w:t xml:space="preserve"> </w:t>
      </w:r>
      <w:r w:rsidR="008506A6">
        <w:rPr>
          <w:rFonts w:ascii="Times New Roman" w:hAnsi="Times New Roman" w:cs="Times New Roman"/>
          <w:sz w:val="28"/>
          <w:szCs w:val="28"/>
        </w:rPr>
        <w:t>in 2011</w:t>
      </w:r>
      <w:r w:rsidR="00AD0839">
        <w:rPr>
          <w:rFonts w:ascii="Times New Roman" w:hAnsi="Times New Roman" w:cs="Times New Roman"/>
          <w:sz w:val="28"/>
          <w:szCs w:val="28"/>
        </w:rPr>
        <w:t xml:space="preserve"> - following the crisis – to provide more money</w:t>
      </w:r>
      <w:r w:rsidR="00024867">
        <w:rPr>
          <w:rFonts w:ascii="Times New Roman" w:hAnsi="Times New Roman" w:cs="Times New Roman"/>
          <w:sz w:val="28"/>
          <w:szCs w:val="28"/>
        </w:rPr>
        <w:t>. This funding increase</w:t>
      </w:r>
      <w:r w:rsidR="00AD0839">
        <w:rPr>
          <w:rFonts w:ascii="Times New Roman" w:hAnsi="Times New Roman" w:cs="Times New Roman"/>
          <w:sz w:val="28"/>
          <w:szCs w:val="28"/>
        </w:rPr>
        <w:t xml:space="preserve"> was accomplished by an historic shift in the traditional 50%-50% allocation of premiums between employer and employee to an arrangement in which the employee had to pay a higher percentage than the employer  (</w:t>
      </w:r>
      <w:r w:rsidR="008506A6">
        <w:rPr>
          <w:rFonts w:ascii="Times New Roman" w:hAnsi="Times New Roman" w:cs="Times New Roman"/>
          <w:sz w:val="28"/>
          <w:szCs w:val="28"/>
        </w:rPr>
        <w:t>rising</w:t>
      </w:r>
      <w:r w:rsidR="00AD0839">
        <w:rPr>
          <w:rFonts w:ascii="Times New Roman" w:hAnsi="Times New Roman" w:cs="Times New Roman"/>
          <w:sz w:val="28"/>
          <w:szCs w:val="28"/>
        </w:rPr>
        <w:t xml:space="preserve"> to 8.2% for the e</w:t>
      </w:r>
      <w:r w:rsidR="008506A6">
        <w:rPr>
          <w:rFonts w:ascii="Times New Roman" w:hAnsi="Times New Roman" w:cs="Times New Roman"/>
          <w:sz w:val="28"/>
          <w:szCs w:val="28"/>
        </w:rPr>
        <w:t xml:space="preserve">mployee, while </w:t>
      </w:r>
      <w:r w:rsidR="00AD0839">
        <w:rPr>
          <w:rFonts w:ascii="Times New Roman" w:hAnsi="Times New Roman" w:cs="Times New Roman"/>
          <w:sz w:val="28"/>
          <w:szCs w:val="28"/>
        </w:rPr>
        <w:t xml:space="preserve">the employer’s share held firm at </w:t>
      </w:r>
      <w:r w:rsidR="008506A6">
        <w:rPr>
          <w:rFonts w:ascii="Times New Roman" w:hAnsi="Times New Roman" w:cs="Times New Roman"/>
          <w:sz w:val="28"/>
          <w:szCs w:val="28"/>
        </w:rPr>
        <w:t xml:space="preserve">the 2005 rate of </w:t>
      </w:r>
      <w:r w:rsidR="00AD0839">
        <w:rPr>
          <w:rFonts w:ascii="Times New Roman" w:hAnsi="Times New Roman" w:cs="Times New Roman"/>
          <w:sz w:val="28"/>
          <w:szCs w:val="28"/>
        </w:rPr>
        <w:t>7.</w:t>
      </w:r>
      <w:r w:rsidR="008506A6">
        <w:rPr>
          <w:rFonts w:ascii="Times New Roman" w:hAnsi="Times New Roman" w:cs="Times New Roman"/>
          <w:sz w:val="28"/>
          <w:szCs w:val="28"/>
        </w:rPr>
        <w:t xml:space="preserve">3%) (Busse and Blumel, 2014). </w:t>
      </w:r>
      <w:r w:rsidR="00AD0839">
        <w:rPr>
          <w:rFonts w:ascii="Times New Roman" w:hAnsi="Times New Roman" w:cs="Times New Roman"/>
          <w:sz w:val="28"/>
          <w:szCs w:val="28"/>
        </w:rPr>
        <w:t xml:space="preserve"> </w:t>
      </w:r>
    </w:p>
    <w:p w:rsidR="00945F03" w:rsidRDefault="00945F03" w:rsidP="00623A19">
      <w:pPr>
        <w:pStyle w:val="NoSpacing"/>
        <w:rPr>
          <w:rFonts w:ascii="Times New Roman" w:hAnsi="Times New Roman" w:cs="Times New Roman"/>
          <w:sz w:val="28"/>
          <w:szCs w:val="28"/>
        </w:rPr>
      </w:pPr>
    </w:p>
    <w:p w:rsidR="00221C75" w:rsidRDefault="00945F03" w:rsidP="00623A19">
      <w:pPr>
        <w:pStyle w:val="NoSpacing"/>
        <w:rPr>
          <w:rFonts w:ascii="Times New Roman" w:hAnsi="Times New Roman" w:cs="Times New Roman"/>
          <w:sz w:val="28"/>
          <w:szCs w:val="28"/>
        </w:rPr>
      </w:pPr>
      <w:r>
        <w:rPr>
          <w:rFonts w:ascii="Times New Roman" w:hAnsi="Times New Roman" w:cs="Times New Roman"/>
          <w:sz w:val="28"/>
          <w:szCs w:val="28"/>
        </w:rPr>
        <w:t xml:space="preserve">These distinctions trace a revealing pattern across the post-2008 health sector landscape in Europe </w:t>
      </w:r>
      <w:r w:rsidR="00024867">
        <w:rPr>
          <w:rFonts w:ascii="Times New Roman" w:hAnsi="Times New Roman" w:cs="Times New Roman"/>
          <w:sz w:val="28"/>
          <w:szCs w:val="28"/>
        </w:rPr>
        <w:t xml:space="preserve">– </w:t>
      </w:r>
      <w:r>
        <w:rPr>
          <w:rFonts w:ascii="Times New Roman" w:hAnsi="Times New Roman" w:cs="Times New Roman"/>
          <w:sz w:val="28"/>
          <w:szCs w:val="28"/>
        </w:rPr>
        <w:t>o</w:t>
      </w:r>
      <w:r w:rsidR="009B3886">
        <w:rPr>
          <w:rFonts w:ascii="Times New Roman" w:hAnsi="Times New Roman" w:cs="Times New Roman"/>
          <w:sz w:val="28"/>
          <w:szCs w:val="28"/>
        </w:rPr>
        <w:t>ne that undercuts</w:t>
      </w:r>
      <w:r w:rsidR="00167BB6">
        <w:rPr>
          <w:rFonts w:ascii="Times New Roman" w:hAnsi="Times New Roman" w:cs="Times New Roman"/>
          <w:sz w:val="28"/>
          <w:szCs w:val="28"/>
        </w:rPr>
        <w:t xml:space="preserve"> the recurring propensity of some</w:t>
      </w:r>
      <w:r>
        <w:rPr>
          <w:rFonts w:ascii="Times New Roman" w:hAnsi="Times New Roman" w:cs="Times New Roman"/>
          <w:sz w:val="28"/>
          <w:szCs w:val="28"/>
        </w:rPr>
        <w:t xml:space="preserve"> health policy analysts to suggest that differences between tax and SHI funded systems are disappearing</w:t>
      </w:r>
      <w:r w:rsidR="003D115F">
        <w:rPr>
          <w:rFonts w:ascii="Times New Roman" w:hAnsi="Times New Roman" w:cs="Times New Roman"/>
          <w:sz w:val="28"/>
          <w:szCs w:val="28"/>
        </w:rPr>
        <w:t xml:space="preserve"> due to </w:t>
      </w:r>
      <w:r w:rsidR="00167BB6">
        <w:rPr>
          <w:rFonts w:ascii="Times New Roman" w:hAnsi="Times New Roman" w:cs="Times New Roman"/>
          <w:sz w:val="28"/>
          <w:szCs w:val="28"/>
        </w:rPr>
        <w:t>convergence</w:t>
      </w:r>
      <w:r w:rsidR="009B3886">
        <w:rPr>
          <w:rFonts w:ascii="Times New Roman" w:hAnsi="Times New Roman" w:cs="Times New Roman"/>
          <w:sz w:val="28"/>
          <w:szCs w:val="28"/>
        </w:rPr>
        <w:t xml:space="preserve"> </w:t>
      </w:r>
      <w:r w:rsidR="00C37C34">
        <w:rPr>
          <w:rFonts w:ascii="Times New Roman" w:hAnsi="Times New Roman" w:cs="Times New Roman"/>
          <w:sz w:val="28"/>
          <w:szCs w:val="28"/>
        </w:rPr>
        <w:t>(Thomson et al, 2009; Greer et al, 2015</w:t>
      </w:r>
      <w:r>
        <w:rPr>
          <w:rFonts w:ascii="Times New Roman" w:hAnsi="Times New Roman" w:cs="Times New Roman"/>
          <w:sz w:val="28"/>
          <w:szCs w:val="28"/>
        </w:rPr>
        <w:t xml:space="preserve">). </w:t>
      </w:r>
      <w:r w:rsidR="00C463AC">
        <w:rPr>
          <w:rFonts w:ascii="Times New Roman" w:hAnsi="Times New Roman" w:cs="Times New Roman"/>
          <w:sz w:val="28"/>
          <w:szCs w:val="28"/>
        </w:rPr>
        <w:t xml:space="preserve"> In actual practice,</w:t>
      </w:r>
      <w:r w:rsidR="00EB56B0">
        <w:rPr>
          <w:rFonts w:ascii="Times New Roman" w:hAnsi="Times New Roman" w:cs="Times New Roman"/>
          <w:sz w:val="28"/>
          <w:szCs w:val="28"/>
        </w:rPr>
        <w:t xml:space="preserve"> </w:t>
      </w:r>
      <w:r w:rsidR="00334677">
        <w:rPr>
          <w:rFonts w:ascii="Times New Roman" w:hAnsi="Times New Roman" w:cs="Times New Roman"/>
          <w:sz w:val="28"/>
          <w:szCs w:val="28"/>
        </w:rPr>
        <w:t xml:space="preserve">these two different types of </w:t>
      </w:r>
      <w:r>
        <w:rPr>
          <w:rFonts w:ascii="Times New Roman" w:hAnsi="Times New Roman" w:cs="Times New Roman"/>
          <w:sz w:val="28"/>
          <w:szCs w:val="28"/>
        </w:rPr>
        <w:t xml:space="preserve">health care systems are working on quite different assumptions about </w:t>
      </w:r>
      <w:r w:rsidR="00EB56B0">
        <w:rPr>
          <w:rFonts w:ascii="Times New Roman" w:hAnsi="Times New Roman" w:cs="Times New Roman"/>
          <w:sz w:val="28"/>
          <w:szCs w:val="28"/>
        </w:rPr>
        <w:t xml:space="preserve">needed changes to </w:t>
      </w:r>
      <w:r>
        <w:rPr>
          <w:rFonts w:ascii="Times New Roman" w:hAnsi="Times New Roman" w:cs="Times New Roman"/>
          <w:sz w:val="28"/>
          <w:szCs w:val="28"/>
        </w:rPr>
        <w:t>normative, financial, political, regulatory, and managerial forms of responsibility.</w:t>
      </w:r>
      <w:r w:rsidR="00184BD8">
        <w:rPr>
          <w:rFonts w:ascii="Times New Roman" w:hAnsi="Times New Roman" w:cs="Times New Roman"/>
          <w:sz w:val="28"/>
          <w:szCs w:val="28"/>
        </w:rPr>
        <w:t xml:space="preserve"> </w:t>
      </w:r>
      <w:r w:rsidR="004173D9">
        <w:rPr>
          <w:rFonts w:ascii="Times New Roman" w:hAnsi="Times New Roman" w:cs="Times New Roman"/>
          <w:sz w:val="28"/>
          <w:szCs w:val="28"/>
        </w:rPr>
        <w:t>There also appears to be</w:t>
      </w:r>
      <w:r w:rsidR="00652E5A">
        <w:rPr>
          <w:rFonts w:ascii="Times New Roman" w:hAnsi="Times New Roman" w:cs="Times New Roman"/>
          <w:sz w:val="28"/>
          <w:szCs w:val="28"/>
        </w:rPr>
        <w:t xml:space="preserve"> notable difference</w:t>
      </w:r>
      <w:r w:rsidR="004173D9">
        <w:rPr>
          <w:rFonts w:ascii="Times New Roman" w:hAnsi="Times New Roman" w:cs="Times New Roman"/>
          <w:sz w:val="28"/>
          <w:szCs w:val="28"/>
        </w:rPr>
        <w:t>s</w:t>
      </w:r>
      <w:r w:rsidR="00652E5A">
        <w:rPr>
          <w:rFonts w:ascii="Times New Roman" w:hAnsi="Times New Roman" w:cs="Times New Roman"/>
          <w:sz w:val="28"/>
          <w:szCs w:val="28"/>
        </w:rPr>
        <w:t xml:space="preserve"> in the </w:t>
      </w:r>
      <w:r w:rsidR="00DA3146">
        <w:rPr>
          <w:rFonts w:ascii="Times New Roman" w:hAnsi="Times New Roman" w:cs="Times New Roman"/>
          <w:sz w:val="28"/>
          <w:szCs w:val="28"/>
        </w:rPr>
        <w:t xml:space="preserve">overall </w:t>
      </w:r>
      <w:r w:rsidR="00652E5A">
        <w:rPr>
          <w:rFonts w:ascii="Times New Roman" w:hAnsi="Times New Roman" w:cs="Times New Roman"/>
          <w:sz w:val="28"/>
          <w:szCs w:val="28"/>
        </w:rPr>
        <w:t>perform</w:t>
      </w:r>
      <w:r w:rsidR="00FD4584">
        <w:rPr>
          <w:rFonts w:ascii="Times New Roman" w:hAnsi="Times New Roman" w:cs="Times New Roman"/>
          <w:sz w:val="28"/>
          <w:szCs w:val="28"/>
        </w:rPr>
        <w:t>ance of these different systems. A</w:t>
      </w:r>
      <w:r w:rsidR="00EB7A7C">
        <w:rPr>
          <w:rFonts w:ascii="Times New Roman" w:hAnsi="Times New Roman" w:cs="Times New Roman"/>
          <w:sz w:val="28"/>
          <w:szCs w:val="28"/>
        </w:rPr>
        <w:t>s one</w:t>
      </w:r>
      <w:r w:rsidR="00652E5A">
        <w:rPr>
          <w:rFonts w:ascii="Times New Roman" w:hAnsi="Times New Roman" w:cs="Times New Roman"/>
          <w:sz w:val="28"/>
          <w:szCs w:val="28"/>
        </w:rPr>
        <w:t xml:space="preserve"> </w:t>
      </w:r>
      <w:r w:rsidR="004C3C0E">
        <w:rPr>
          <w:rFonts w:ascii="Times New Roman" w:hAnsi="Times New Roman" w:cs="Times New Roman"/>
          <w:sz w:val="28"/>
          <w:szCs w:val="28"/>
        </w:rPr>
        <w:t xml:space="preserve">important </w:t>
      </w:r>
      <w:r w:rsidR="00652E5A">
        <w:rPr>
          <w:rFonts w:ascii="Times New Roman" w:hAnsi="Times New Roman" w:cs="Times New Roman"/>
          <w:sz w:val="28"/>
          <w:szCs w:val="28"/>
        </w:rPr>
        <w:t>exa</w:t>
      </w:r>
      <w:r w:rsidR="0093165C">
        <w:rPr>
          <w:rFonts w:ascii="Times New Roman" w:hAnsi="Times New Roman" w:cs="Times New Roman"/>
          <w:sz w:val="28"/>
          <w:szCs w:val="28"/>
        </w:rPr>
        <w:t>mple, SHI funded health systems</w:t>
      </w:r>
      <w:r w:rsidR="00FD4584">
        <w:rPr>
          <w:rFonts w:ascii="Times New Roman" w:hAnsi="Times New Roman" w:cs="Times New Roman"/>
          <w:sz w:val="28"/>
          <w:szCs w:val="28"/>
        </w:rPr>
        <w:t xml:space="preserve"> </w:t>
      </w:r>
      <w:r w:rsidR="00652E5A">
        <w:rPr>
          <w:rFonts w:ascii="Times New Roman" w:hAnsi="Times New Roman" w:cs="Times New Roman"/>
          <w:sz w:val="28"/>
          <w:szCs w:val="28"/>
        </w:rPr>
        <w:t>have few</w:t>
      </w:r>
      <w:r w:rsidR="00FD4584">
        <w:rPr>
          <w:rFonts w:ascii="Times New Roman" w:hAnsi="Times New Roman" w:cs="Times New Roman"/>
          <w:sz w:val="28"/>
          <w:szCs w:val="28"/>
        </w:rPr>
        <w:t xml:space="preserve"> (Netherlands)</w:t>
      </w:r>
      <w:r w:rsidR="00652E5A">
        <w:rPr>
          <w:rFonts w:ascii="Times New Roman" w:hAnsi="Times New Roman" w:cs="Times New Roman"/>
          <w:sz w:val="28"/>
          <w:szCs w:val="28"/>
        </w:rPr>
        <w:t xml:space="preserve"> to no (Germany</w:t>
      </w:r>
      <w:r w:rsidR="00FD4584">
        <w:rPr>
          <w:rFonts w:ascii="Times New Roman" w:hAnsi="Times New Roman" w:cs="Times New Roman"/>
          <w:sz w:val="28"/>
          <w:szCs w:val="28"/>
        </w:rPr>
        <w:t>, France, Switzerland</w:t>
      </w:r>
      <w:r w:rsidR="00652E5A">
        <w:rPr>
          <w:rFonts w:ascii="Times New Roman" w:hAnsi="Times New Roman" w:cs="Times New Roman"/>
          <w:sz w:val="28"/>
          <w:szCs w:val="28"/>
        </w:rPr>
        <w:t xml:space="preserve">) queues of patients waiting to receive primary or </w:t>
      </w:r>
      <w:r w:rsidR="004173D9">
        <w:rPr>
          <w:rFonts w:ascii="Times New Roman" w:hAnsi="Times New Roman" w:cs="Times New Roman"/>
          <w:sz w:val="28"/>
          <w:szCs w:val="28"/>
        </w:rPr>
        <w:t>elective services. T</w:t>
      </w:r>
      <w:r w:rsidR="00652E5A">
        <w:rPr>
          <w:rFonts w:ascii="Times New Roman" w:hAnsi="Times New Roman" w:cs="Times New Roman"/>
          <w:sz w:val="28"/>
          <w:szCs w:val="28"/>
        </w:rPr>
        <w:t>ax-funded health system</w:t>
      </w:r>
      <w:r w:rsidR="00017A63">
        <w:rPr>
          <w:rFonts w:ascii="Times New Roman" w:hAnsi="Times New Roman" w:cs="Times New Roman"/>
          <w:sz w:val="28"/>
          <w:szCs w:val="28"/>
        </w:rPr>
        <w:t>s</w:t>
      </w:r>
      <w:r w:rsidR="00867152">
        <w:rPr>
          <w:rFonts w:ascii="Times New Roman" w:hAnsi="Times New Roman" w:cs="Times New Roman"/>
          <w:sz w:val="28"/>
          <w:szCs w:val="28"/>
        </w:rPr>
        <w:t xml:space="preserve"> </w:t>
      </w:r>
      <w:r w:rsidR="00652E5A">
        <w:rPr>
          <w:rFonts w:ascii="Times New Roman" w:hAnsi="Times New Roman" w:cs="Times New Roman"/>
          <w:sz w:val="28"/>
          <w:szCs w:val="28"/>
        </w:rPr>
        <w:t xml:space="preserve"> in Northern Eur</w:t>
      </w:r>
      <w:r w:rsidR="00FD4584">
        <w:rPr>
          <w:rFonts w:ascii="Times New Roman" w:hAnsi="Times New Roman" w:cs="Times New Roman"/>
          <w:sz w:val="28"/>
          <w:szCs w:val="28"/>
        </w:rPr>
        <w:t>ope</w:t>
      </w:r>
      <w:r w:rsidR="006E482A">
        <w:rPr>
          <w:rFonts w:ascii="Times New Roman" w:hAnsi="Times New Roman" w:cs="Times New Roman"/>
          <w:sz w:val="28"/>
          <w:szCs w:val="28"/>
        </w:rPr>
        <w:t xml:space="preserve"> </w:t>
      </w:r>
      <w:r w:rsidR="00FD4584">
        <w:rPr>
          <w:rFonts w:ascii="Times New Roman" w:hAnsi="Times New Roman" w:cs="Times New Roman"/>
          <w:sz w:val="28"/>
          <w:szCs w:val="28"/>
        </w:rPr>
        <w:t xml:space="preserve">– even those with formal </w:t>
      </w:r>
      <w:r w:rsidR="00652E5A">
        <w:rPr>
          <w:rFonts w:ascii="Times New Roman" w:hAnsi="Times New Roman" w:cs="Times New Roman"/>
          <w:sz w:val="28"/>
          <w:szCs w:val="28"/>
        </w:rPr>
        <w:t>“care guarantees” (Sweden</w:t>
      </w:r>
      <w:r w:rsidR="00013596">
        <w:rPr>
          <w:rFonts w:ascii="Times New Roman" w:hAnsi="Times New Roman" w:cs="Times New Roman"/>
          <w:sz w:val="28"/>
          <w:szCs w:val="28"/>
        </w:rPr>
        <w:t>, Denmark, Norway, Finland</w:t>
      </w:r>
      <w:r w:rsidR="00FD4584">
        <w:rPr>
          <w:rFonts w:ascii="Times New Roman" w:hAnsi="Times New Roman" w:cs="Times New Roman"/>
          <w:sz w:val="28"/>
          <w:szCs w:val="28"/>
        </w:rPr>
        <w:t>) and official patient management</w:t>
      </w:r>
      <w:r w:rsidR="00652E5A">
        <w:rPr>
          <w:rFonts w:ascii="Times New Roman" w:hAnsi="Times New Roman" w:cs="Times New Roman"/>
          <w:sz w:val="28"/>
          <w:szCs w:val="28"/>
        </w:rPr>
        <w:t xml:space="preserve"> policies (England, Ireland) – continue</w:t>
      </w:r>
      <w:r w:rsidR="004173D9">
        <w:rPr>
          <w:rFonts w:ascii="Times New Roman" w:hAnsi="Times New Roman" w:cs="Times New Roman"/>
          <w:sz w:val="28"/>
          <w:szCs w:val="28"/>
        </w:rPr>
        <w:t>,</w:t>
      </w:r>
      <w:r w:rsidR="00652E5A">
        <w:rPr>
          <w:rFonts w:ascii="Times New Roman" w:hAnsi="Times New Roman" w:cs="Times New Roman"/>
          <w:sz w:val="28"/>
          <w:szCs w:val="28"/>
        </w:rPr>
        <w:t xml:space="preserve"> </w:t>
      </w:r>
      <w:r w:rsidR="004173D9">
        <w:rPr>
          <w:rFonts w:ascii="Times New Roman" w:hAnsi="Times New Roman" w:cs="Times New Roman"/>
          <w:sz w:val="28"/>
          <w:szCs w:val="28"/>
        </w:rPr>
        <w:t xml:space="preserve">quite the contrary, </w:t>
      </w:r>
      <w:r w:rsidR="00652E5A">
        <w:rPr>
          <w:rFonts w:ascii="Times New Roman" w:hAnsi="Times New Roman" w:cs="Times New Roman"/>
          <w:sz w:val="28"/>
          <w:szCs w:val="28"/>
        </w:rPr>
        <w:t>to have wait</w:t>
      </w:r>
      <w:r w:rsidR="0093165C">
        <w:rPr>
          <w:rFonts w:ascii="Times New Roman" w:hAnsi="Times New Roman" w:cs="Times New Roman"/>
          <w:sz w:val="28"/>
          <w:szCs w:val="28"/>
        </w:rPr>
        <w:t xml:space="preserve">ing lists </w:t>
      </w:r>
      <w:r w:rsidR="004173D9">
        <w:rPr>
          <w:rFonts w:ascii="Times New Roman" w:hAnsi="Times New Roman" w:cs="Times New Roman"/>
          <w:sz w:val="28"/>
          <w:szCs w:val="28"/>
        </w:rPr>
        <w:t xml:space="preserve">often </w:t>
      </w:r>
      <w:r w:rsidR="0093165C">
        <w:rPr>
          <w:rFonts w:ascii="Times New Roman" w:hAnsi="Times New Roman" w:cs="Times New Roman"/>
          <w:sz w:val="28"/>
          <w:szCs w:val="28"/>
        </w:rPr>
        <w:t>running</w:t>
      </w:r>
      <w:r w:rsidR="006E482A">
        <w:rPr>
          <w:rFonts w:ascii="Times New Roman" w:hAnsi="Times New Roman" w:cs="Times New Roman"/>
          <w:sz w:val="28"/>
          <w:szCs w:val="28"/>
        </w:rPr>
        <w:t xml:space="preserve"> six months or longer</w:t>
      </w:r>
      <w:r w:rsidR="00FD4584">
        <w:rPr>
          <w:rFonts w:ascii="Times New Roman" w:hAnsi="Times New Roman" w:cs="Times New Roman"/>
          <w:sz w:val="28"/>
          <w:szCs w:val="28"/>
        </w:rPr>
        <w:t xml:space="preserve"> fo</w:t>
      </w:r>
      <w:r w:rsidR="00C901CE">
        <w:rPr>
          <w:rFonts w:ascii="Times New Roman" w:hAnsi="Times New Roman" w:cs="Times New Roman"/>
          <w:sz w:val="28"/>
          <w:szCs w:val="28"/>
        </w:rPr>
        <w:t>r some procedures including cancer</w:t>
      </w:r>
      <w:r w:rsidR="00FD4584">
        <w:rPr>
          <w:rFonts w:ascii="Times New Roman" w:hAnsi="Times New Roman" w:cs="Times New Roman"/>
          <w:sz w:val="28"/>
          <w:szCs w:val="28"/>
        </w:rPr>
        <w:t xml:space="preserve"> therapies</w:t>
      </w:r>
      <w:r w:rsidR="00C901CE">
        <w:rPr>
          <w:rFonts w:ascii="Times New Roman" w:hAnsi="Times New Roman" w:cs="Times New Roman"/>
          <w:sz w:val="28"/>
          <w:szCs w:val="28"/>
        </w:rPr>
        <w:t xml:space="preserve"> (see for example Neville</w:t>
      </w:r>
      <w:r w:rsidR="00EE203D">
        <w:rPr>
          <w:rFonts w:ascii="Times New Roman" w:hAnsi="Times New Roman" w:cs="Times New Roman"/>
          <w:sz w:val="28"/>
          <w:szCs w:val="28"/>
        </w:rPr>
        <w:t xml:space="preserve">, </w:t>
      </w:r>
      <w:r w:rsidR="00C901CE">
        <w:rPr>
          <w:rFonts w:ascii="Times New Roman" w:hAnsi="Times New Roman" w:cs="Times New Roman"/>
          <w:sz w:val="28"/>
          <w:szCs w:val="28"/>
        </w:rPr>
        <w:t>2017</w:t>
      </w:r>
      <w:r w:rsidR="00EE203D">
        <w:rPr>
          <w:rFonts w:ascii="Times New Roman" w:hAnsi="Times New Roman" w:cs="Times New Roman"/>
          <w:sz w:val="28"/>
          <w:szCs w:val="28"/>
        </w:rPr>
        <w:t>,</w:t>
      </w:r>
      <w:r w:rsidR="00C901CE">
        <w:rPr>
          <w:rFonts w:ascii="Times New Roman" w:hAnsi="Times New Roman" w:cs="Times New Roman"/>
          <w:sz w:val="28"/>
          <w:szCs w:val="28"/>
        </w:rPr>
        <w:t xml:space="preserve"> </w:t>
      </w:r>
      <w:r w:rsidR="00AD636E">
        <w:rPr>
          <w:rFonts w:ascii="Times New Roman" w:hAnsi="Times New Roman" w:cs="Times New Roman"/>
          <w:sz w:val="28"/>
          <w:szCs w:val="28"/>
        </w:rPr>
        <w:t>re</w:t>
      </w:r>
      <w:r w:rsidR="002A33DD">
        <w:rPr>
          <w:rFonts w:ascii="Times New Roman" w:hAnsi="Times New Roman" w:cs="Times New Roman"/>
          <w:sz w:val="28"/>
          <w:szCs w:val="28"/>
        </w:rPr>
        <w:t>garding</w:t>
      </w:r>
      <w:r w:rsidR="00AD636E">
        <w:rPr>
          <w:rFonts w:ascii="Times New Roman" w:hAnsi="Times New Roman" w:cs="Times New Roman"/>
          <w:sz w:val="28"/>
          <w:szCs w:val="28"/>
        </w:rPr>
        <w:t xml:space="preserve"> England),</w:t>
      </w:r>
      <w:r w:rsidR="004173D9">
        <w:rPr>
          <w:rFonts w:ascii="Times New Roman" w:hAnsi="Times New Roman" w:cs="Times New Roman"/>
          <w:sz w:val="28"/>
          <w:szCs w:val="28"/>
        </w:rPr>
        <w:t xml:space="preserve"> </w:t>
      </w:r>
      <w:r w:rsidR="006E482A">
        <w:rPr>
          <w:rFonts w:ascii="Times New Roman" w:hAnsi="Times New Roman" w:cs="Times New Roman"/>
          <w:sz w:val="28"/>
          <w:szCs w:val="28"/>
        </w:rPr>
        <w:t>queues wh</w:t>
      </w:r>
      <w:r w:rsidR="004173D9">
        <w:rPr>
          <w:rFonts w:ascii="Times New Roman" w:hAnsi="Times New Roman" w:cs="Times New Roman"/>
          <w:sz w:val="28"/>
          <w:szCs w:val="28"/>
        </w:rPr>
        <w:t xml:space="preserve">ich nearly all these systems </w:t>
      </w:r>
      <w:r w:rsidR="00671F07">
        <w:rPr>
          <w:rFonts w:ascii="Times New Roman" w:hAnsi="Times New Roman" w:cs="Times New Roman"/>
          <w:sz w:val="28"/>
          <w:szCs w:val="28"/>
        </w:rPr>
        <w:t>have had for</w:t>
      </w:r>
      <w:r w:rsidR="00221C75">
        <w:rPr>
          <w:rFonts w:ascii="Times New Roman" w:hAnsi="Times New Roman" w:cs="Times New Roman"/>
          <w:sz w:val="28"/>
          <w:szCs w:val="28"/>
        </w:rPr>
        <w:t xml:space="preserve"> most of</w:t>
      </w:r>
      <w:r w:rsidR="00652E5A">
        <w:rPr>
          <w:rFonts w:ascii="Times New Roman" w:hAnsi="Times New Roman" w:cs="Times New Roman"/>
          <w:sz w:val="28"/>
          <w:szCs w:val="28"/>
        </w:rPr>
        <w:t xml:space="preserve"> the last 30 years</w:t>
      </w:r>
      <w:r w:rsidR="0093165C">
        <w:rPr>
          <w:rFonts w:ascii="Times New Roman" w:hAnsi="Times New Roman" w:cs="Times New Roman"/>
          <w:sz w:val="28"/>
          <w:szCs w:val="28"/>
        </w:rPr>
        <w:t xml:space="preserve"> (s</w:t>
      </w:r>
      <w:r w:rsidR="007F4071">
        <w:rPr>
          <w:rFonts w:ascii="Times New Roman" w:hAnsi="Times New Roman" w:cs="Times New Roman"/>
          <w:sz w:val="28"/>
          <w:szCs w:val="28"/>
        </w:rPr>
        <w:t>ee</w:t>
      </w:r>
      <w:r w:rsidR="00F157CE">
        <w:rPr>
          <w:rFonts w:ascii="Times New Roman" w:hAnsi="Times New Roman" w:cs="Times New Roman"/>
          <w:sz w:val="28"/>
          <w:szCs w:val="28"/>
        </w:rPr>
        <w:t xml:space="preserve"> John Yates, 1987 re England)</w:t>
      </w:r>
      <w:r w:rsidR="00652E5A">
        <w:rPr>
          <w:rFonts w:ascii="Times New Roman" w:hAnsi="Times New Roman" w:cs="Times New Roman"/>
          <w:sz w:val="28"/>
          <w:szCs w:val="28"/>
        </w:rPr>
        <w:t xml:space="preserve">. </w:t>
      </w:r>
    </w:p>
    <w:p w:rsidR="00FC089A" w:rsidRPr="00B47579" w:rsidRDefault="00FC089A" w:rsidP="00B47579">
      <w:pPr>
        <w:pStyle w:val="NoSpacing"/>
        <w:rPr>
          <w:rFonts w:ascii="Times New Roman" w:hAnsi="Times New Roman" w:cs="Times New Roman"/>
          <w:b/>
          <w:sz w:val="28"/>
          <w:szCs w:val="28"/>
        </w:rPr>
      </w:pPr>
    </w:p>
    <w:p w:rsidR="00B47579" w:rsidRPr="00B85786" w:rsidRDefault="00B47579" w:rsidP="000648BC">
      <w:pPr>
        <w:pStyle w:val="NoSpacing"/>
        <w:numPr>
          <w:ilvl w:val="0"/>
          <w:numId w:val="17"/>
        </w:numPr>
        <w:rPr>
          <w:rFonts w:ascii="Times New Roman" w:hAnsi="Times New Roman" w:cs="Times New Roman"/>
          <w:b/>
          <w:sz w:val="28"/>
          <w:szCs w:val="28"/>
        </w:rPr>
      </w:pPr>
      <w:r>
        <w:rPr>
          <w:rFonts w:ascii="Times New Roman" w:hAnsi="Times New Roman" w:cs="Times New Roman"/>
          <w:b/>
          <w:sz w:val="28"/>
          <w:szCs w:val="28"/>
        </w:rPr>
        <w:t>Innovative Post-2008 Reform Strategies in Tax-Funded Health Systems</w:t>
      </w:r>
    </w:p>
    <w:p w:rsidR="00F569D9" w:rsidRDefault="00EC3504" w:rsidP="00D54B2F">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A126C" w:rsidRDefault="00E933C8" w:rsidP="000A126C">
      <w:pPr>
        <w:pStyle w:val="NoSpacing"/>
        <w:rPr>
          <w:rFonts w:ascii="Times New Roman" w:hAnsi="Times New Roman" w:cs="Times New Roman"/>
          <w:sz w:val="28"/>
          <w:szCs w:val="28"/>
        </w:rPr>
      </w:pPr>
      <w:r>
        <w:rPr>
          <w:rFonts w:ascii="Times New Roman" w:hAnsi="Times New Roman" w:cs="Times New Roman"/>
          <w:sz w:val="28"/>
          <w:szCs w:val="28"/>
        </w:rPr>
        <w:t xml:space="preserve">As the </w:t>
      </w:r>
      <w:r w:rsidR="000A126C">
        <w:rPr>
          <w:rFonts w:ascii="Times New Roman" w:hAnsi="Times New Roman" w:cs="Times New Roman"/>
          <w:sz w:val="28"/>
          <w:szCs w:val="28"/>
        </w:rPr>
        <w:t>slow economic growth picture has become the “new n</w:t>
      </w:r>
      <w:r>
        <w:rPr>
          <w:rFonts w:ascii="Times New Roman" w:hAnsi="Times New Roman" w:cs="Times New Roman"/>
          <w:sz w:val="28"/>
          <w:szCs w:val="28"/>
        </w:rPr>
        <w:t xml:space="preserve">ormal,” in combination with </w:t>
      </w:r>
      <w:r w:rsidR="000A126C">
        <w:rPr>
          <w:rFonts w:ascii="Times New Roman" w:hAnsi="Times New Roman" w:cs="Times New Roman"/>
          <w:sz w:val="28"/>
          <w:szCs w:val="28"/>
        </w:rPr>
        <w:t xml:space="preserve">population and organizational changes just noted, policymakers in a number of Western European countries have shifted gears and introduced a range of targeted new reform measures. While this process took on different characteristics in tax-funded as against SHI-funded health systems, in both cases the focus of a number of these measures was on reducing existing and expected costs for future infrastructure and particularly for expensive facilities (hospital inpatient and emergency facilities; nursing homes) </w:t>
      </w:r>
      <w:r w:rsidR="00A677EA">
        <w:rPr>
          <w:rFonts w:ascii="Times New Roman" w:hAnsi="Times New Roman" w:cs="Times New Roman"/>
          <w:sz w:val="28"/>
          <w:szCs w:val="28"/>
        </w:rPr>
        <w:t xml:space="preserve">utilized </w:t>
      </w:r>
      <w:r w:rsidR="000A126C">
        <w:rPr>
          <w:rFonts w:ascii="Times New Roman" w:hAnsi="Times New Roman" w:cs="Times New Roman"/>
          <w:sz w:val="28"/>
          <w:szCs w:val="28"/>
        </w:rPr>
        <w:t>for caring for chronically ill elderly.</w:t>
      </w:r>
    </w:p>
    <w:p w:rsidR="000A126C" w:rsidRDefault="000A126C" w:rsidP="000A126C">
      <w:pPr>
        <w:pStyle w:val="NoSpacing"/>
        <w:rPr>
          <w:rFonts w:ascii="Times New Roman" w:hAnsi="Times New Roman" w:cs="Times New Roman"/>
          <w:sz w:val="28"/>
          <w:szCs w:val="28"/>
        </w:rPr>
      </w:pPr>
    </w:p>
    <w:p w:rsidR="00716ED1" w:rsidRDefault="00754D2D" w:rsidP="00716ED1">
      <w:pPr>
        <w:pStyle w:val="NoSpacing"/>
        <w:rPr>
          <w:rFonts w:ascii="Times New Roman" w:hAnsi="Times New Roman"/>
          <w:sz w:val="28"/>
          <w:szCs w:val="28"/>
        </w:rPr>
      </w:pPr>
      <w:r>
        <w:rPr>
          <w:rFonts w:ascii="Times New Roman" w:hAnsi="Times New Roman"/>
          <w:sz w:val="28"/>
          <w:szCs w:val="28"/>
        </w:rPr>
        <w:lastRenderedPageBreak/>
        <w:t>A number of</w:t>
      </w:r>
      <w:r w:rsidR="00D4684E">
        <w:rPr>
          <w:rFonts w:ascii="Times New Roman" w:hAnsi="Times New Roman"/>
          <w:sz w:val="28"/>
          <w:szCs w:val="28"/>
        </w:rPr>
        <w:t xml:space="preserve"> innovative and, potentially, transferrable organizational changes have been introduced</w:t>
      </w:r>
      <w:r w:rsidR="00027028">
        <w:rPr>
          <w:rFonts w:ascii="Times New Roman" w:hAnsi="Times New Roman"/>
          <w:sz w:val="28"/>
          <w:szCs w:val="28"/>
        </w:rPr>
        <w:t xml:space="preserve"> on the delivery side of European</w:t>
      </w:r>
      <w:r w:rsidR="00D4684E">
        <w:rPr>
          <w:rFonts w:ascii="Times New Roman" w:hAnsi="Times New Roman"/>
          <w:sz w:val="28"/>
          <w:szCs w:val="28"/>
        </w:rPr>
        <w:t xml:space="preserve"> tax-funded health systems, with ancillary changes in how funding is allocat</w:t>
      </w:r>
      <w:r w:rsidR="00501B1F">
        <w:rPr>
          <w:rFonts w:ascii="Times New Roman" w:hAnsi="Times New Roman"/>
          <w:sz w:val="28"/>
          <w:szCs w:val="28"/>
        </w:rPr>
        <w:t xml:space="preserve">ed to producers. Among the </w:t>
      </w:r>
      <w:r w:rsidR="00D4684E">
        <w:rPr>
          <w:rFonts w:ascii="Times New Roman" w:hAnsi="Times New Roman"/>
          <w:sz w:val="28"/>
          <w:szCs w:val="28"/>
        </w:rPr>
        <w:t xml:space="preserve">interesting </w:t>
      </w:r>
      <w:r w:rsidR="001A6F9E">
        <w:rPr>
          <w:rFonts w:ascii="Times New Roman" w:hAnsi="Times New Roman"/>
          <w:sz w:val="28"/>
          <w:szCs w:val="28"/>
        </w:rPr>
        <w:t xml:space="preserve">(mostly </w:t>
      </w:r>
      <w:r>
        <w:rPr>
          <w:rFonts w:ascii="Times New Roman" w:hAnsi="Times New Roman"/>
          <w:sz w:val="28"/>
          <w:szCs w:val="28"/>
        </w:rPr>
        <w:t>national-level</w:t>
      </w:r>
      <w:r w:rsidR="001A6F9E">
        <w:rPr>
          <w:rFonts w:ascii="Times New Roman" w:hAnsi="Times New Roman"/>
          <w:sz w:val="28"/>
          <w:szCs w:val="28"/>
        </w:rPr>
        <w:t>)</w:t>
      </w:r>
      <w:r>
        <w:rPr>
          <w:rFonts w:ascii="Times New Roman" w:hAnsi="Times New Roman"/>
          <w:sz w:val="28"/>
          <w:szCs w:val="28"/>
        </w:rPr>
        <w:t xml:space="preserve"> policy </w:t>
      </w:r>
      <w:r w:rsidR="00CA3286">
        <w:rPr>
          <w:rFonts w:ascii="Times New Roman" w:hAnsi="Times New Roman"/>
          <w:sz w:val="28"/>
          <w:szCs w:val="28"/>
        </w:rPr>
        <w:t>strategies adopted</w:t>
      </w:r>
      <w:r w:rsidR="00D4684E">
        <w:rPr>
          <w:rFonts w:ascii="Times New Roman" w:hAnsi="Times New Roman"/>
          <w:sz w:val="28"/>
          <w:szCs w:val="28"/>
        </w:rPr>
        <w:t xml:space="preserve"> </w:t>
      </w:r>
      <w:r w:rsidR="00CA3286">
        <w:rPr>
          <w:rFonts w:ascii="Times New Roman" w:hAnsi="Times New Roman"/>
          <w:sz w:val="28"/>
          <w:szCs w:val="28"/>
        </w:rPr>
        <w:t>by</w:t>
      </w:r>
      <w:r w:rsidR="0037211C">
        <w:rPr>
          <w:rFonts w:ascii="Times New Roman" w:hAnsi="Times New Roman"/>
          <w:sz w:val="28"/>
          <w:szCs w:val="28"/>
        </w:rPr>
        <w:t xml:space="preserve"> tax-funded systems </w:t>
      </w:r>
      <w:r w:rsidR="00D4684E">
        <w:rPr>
          <w:rFonts w:ascii="Times New Roman" w:hAnsi="Times New Roman"/>
          <w:sz w:val="28"/>
          <w:szCs w:val="28"/>
        </w:rPr>
        <w:t>have been the following:</w:t>
      </w:r>
    </w:p>
    <w:p w:rsidR="00716ED1" w:rsidRDefault="00716ED1" w:rsidP="00716ED1">
      <w:pPr>
        <w:pStyle w:val="NoSpacing"/>
        <w:rPr>
          <w:rFonts w:ascii="Times New Roman" w:hAnsi="Times New Roman"/>
          <w:sz w:val="28"/>
          <w:szCs w:val="28"/>
        </w:rPr>
      </w:pPr>
    </w:p>
    <w:p w:rsidR="00716ED1" w:rsidRDefault="00716ED1" w:rsidP="00716ED1">
      <w:pPr>
        <w:pStyle w:val="NoSpacing"/>
        <w:rPr>
          <w:rFonts w:ascii="Times New Roman" w:hAnsi="Times New Roman"/>
          <w:sz w:val="28"/>
          <w:szCs w:val="28"/>
        </w:rPr>
      </w:pPr>
    </w:p>
    <w:p w:rsidR="00716ED1" w:rsidRPr="00F23AE5" w:rsidRDefault="00716ED1" w:rsidP="000E51A3">
      <w:pPr>
        <w:pStyle w:val="NoSpacing"/>
        <w:numPr>
          <w:ilvl w:val="0"/>
          <w:numId w:val="2"/>
        </w:numPr>
        <w:rPr>
          <w:rFonts w:ascii="Times New Roman" w:hAnsi="Times New Roman"/>
          <w:sz w:val="28"/>
          <w:szCs w:val="28"/>
        </w:rPr>
      </w:pPr>
      <w:r w:rsidRPr="00F23AE5">
        <w:rPr>
          <w:rFonts w:ascii="Times New Roman" w:hAnsi="Times New Roman"/>
          <w:i/>
          <w:iCs/>
          <w:sz w:val="28"/>
          <w:szCs w:val="28"/>
        </w:rPr>
        <w:t>Consolidating</w:t>
      </w:r>
      <w:r w:rsidR="00A0786F">
        <w:rPr>
          <w:rFonts w:ascii="Times New Roman" w:hAnsi="Times New Roman"/>
          <w:sz w:val="28"/>
          <w:szCs w:val="28"/>
        </w:rPr>
        <w:t xml:space="preserve"> hospitals: district into r</w:t>
      </w:r>
      <w:r w:rsidRPr="00F23AE5">
        <w:rPr>
          <w:rFonts w:ascii="Times New Roman" w:hAnsi="Times New Roman"/>
          <w:sz w:val="28"/>
          <w:szCs w:val="28"/>
        </w:rPr>
        <w:t>egional</w:t>
      </w:r>
    </w:p>
    <w:p w:rsidR="00716ED1" w:rsidRPr="00F23AE5" w:rsidRDefault="00716ED1" w:rsidP="00716ED1">
      <w:pPr>
        <w:pStyle w:val="NoSpacing"/>
        <w:rPr>
          <w:rFonts w:ascii="Times New Roman" w:hAnsi="Times New Roman"/>
          <w:sz w:val="28"/>
          <w:szCs w:val="28"/>
        </w:rPr>
      </w:pPr>
      <w:r w:rsidRPr="00F23AE5">
        <w:rPr>
          <w:rFonts w:ascii="Times New Roman" w:hAnsi="Times New Roman"/>
          <w:sz w:val="28"/>
          <w:szCs w:val="28"/>
        </w:rPr>
        <w:t xml:space="preserve">                          (Norway; Denmark; Finland [proposed]; Latvia)</w:t>
      </w:r>
    </w:p>
    <w:p w:rsidR="00716ED1" w:rsidRDefault="00716ED1" w:rsidP="000E51A3">
      <w:pPr>
        <w:pStyle w:val="NoSpacing"/>
        <w:numPr>
          <w:ilvl w:val="0"/>
          <w:numId w:val="3"/>
        </w:numPr>
        <w:rPr>
          <w:rFonts w:ascii="Times New Roman" w:hAnsi="Times New Roman"/>
          <w:sz w:val="28"/>
          <w:szCs w:val="28"/>
        </w:rPr>
      </w:pPr>
      <w:r w:rsidRPr="00F23AE5">
        <w:rPr>
          <w:rFonts w:ascii="Times New Roman" w:hAnsi="Times New Roman"/>
          <w:i/>
          <w:iCs/>
          <w:sz w:val="28"/>
          <w:szCs w:val="28"/>
        </w:rPr>
        <w:t xml:space="preserve">Re-Centralizing </w:t>
      </w:r>
      <w:r w:rsidR="00A0786F">
        <w:rPr>
          <w:rFonts w:ascii="Times New Roman" w:hAnsi="Times New Roman"/>
          <w:sz w:val="28"/>
          <w:szCs w:val="28"/>
        </w:rPr>
        <w:t xml:space="preserve">administrative/budget controls over health care to national </w:t>
      </w:r>
    </w:p>
    <w:p w:rsidR="00A0786F" w:rsidRPr="00A0786F" w:rsidRDefault="00A0786F" w:rsidP="00A0786F">
      <w:pPr>
        <w:pStyle w:val="NoSpacing"/>
        <w:ind w:left="720"/>
        <w:rPr>
          <w:rFonts w:ascii="Times New Roman" w:hAnsi="Times New Roman"/>
          <w:sz w:val="28"/>
          <w:szCs w:val="28"/>
        </w:rPr>
      </w:pPr>
      <w:r>
        <w:rPr>
          <w:rFonts w:ascii="Times New Roman" w:hAnsi="Times New Roman"/>
          <w:i/>
          <w:iCs/>
          <w:sz w:val="28"/>
          <w:szCs w:val="28"/>
        </w:rPr>
        <w:t xml:space="preserve">                 </w:t>
      </w:r>
      <w:r w:rsidR="002536E8">
        <w:rPr>
          <w:rFonts w:ascii="Times New Roman" w:hAnsi="Times New Roman"/>
          <w:iCs/>
          <w:sz w:val="28"/>
          <w:szCs w:val="28"/>
        </w:rPr>
        <w:t>level</w:t>
      </w:r>
      <w:r>
        <w:rPr>
          <w:rFonts w:ascii="Times New Roman" w:hAnsi="Times New Roman"/>
          <w:iCs/>
          <w:sz w:val="28"/>
          <w:szCs w:val="28"/>
        </w:rPr>
        <w:t xml:space="preserve"> of government</w:t>
      </w:r>
    </w:p>
    <w:p w:rsidR="00716ED1" w:rsidRPr="00F23AE5" w:rsidRDefault="00716ED1" w:rsidP="00716ED1">
      <w:pPr>
        <w:pStyle w:val="NoSpacing"/>
        <w:rPr>
          <w:rFonts w:ascii="Times New Roman" w:hAnsi="Times New Roman"/>
          <w:sz w:val="28"/>
          <w:szCs w:val="28"/>
        </w:rPr>
      </w:pPr>
      <w:r w:rsidRPr="00F23AE5">
        <w:rPr>
          <w:rFonts w:ascii="Times New Roman" w:hAnsi="Times New Roman"/>
          <w:sz w:val="28"/>
          <w:szCs w:val="28"/>
        </w:rPr>
        <w:t xml:space="preserve">                           (Norway; Denmark; Veneto/Italy; Finland [proposed])</w:t>
      </w:r>
    </w:p>
    <w:p w:rsidR="00D85201" w:rsidRDefault="00716ED1" w:rsidP="000E51A3">
      <w:pPr>
        <w:pStyle w:val="NoSpacing"/>
        <w:numPr>
          <w:ilvl w:val="0"/>
          <w:numId w:val="4"/>
        </w:numPr>
        <w:rPr>
          <w:rFonts w:ascii="Times New Roman" w:hAnsi="Times New Roman"/>
          <w:sz w:val="28"/>
          <w:szCs w:val="28"/>
        </w:rPr>
      </w:pPr>
      <w:r w:rsidRPr="00F23AE5">
        <w:rPr>
          <w:rFonts w:ascii="Times New Roman" w:hAnsi="Times New Roman"/>
          <w:i/>
          <w:iCs/>
          <w:sz w:val="28"/>
          <w:szCs w:val="28"/>
        </w:rPr>
        <w:t>De-centralizing</w:t>
      </w:r>
      <w:r w:rsidR="00D85201">
        <w:rPr>
          <w:rFonts w:ascii="Times New Roman" w:hAnsi="Times New Roman"/>
          <w:sz w:val="28"/>
          <w:szCs w:val="28"/>
        </w:rPr>
        <w:t xml:space="preserve"> administrative/budget controls to m</w:t>
      </w:r>
      <w:r w:rsidRPr="00F23AE5">
        <w:rPr>
          <w:rFonts w:ascii="Times New Roman" w:hAnsi="Times New Roman"/>
          <w:sz w:val="28"/>
          <w:szCs w:val="28"/>
        </w:rPr>
        <w:t>unicipal</w:t>
      </w:r>
      <w:r w:rsidR="00D85201">
        <w:rPr>
          <w:rFonts w:ascii="Times New Roman" w:hAnsi="Times New Roman"/>
          <w:sz w:val="28"/>
          <w:szCs w:val="28"/>
        </w:rPr>
        <w:t xml:space="preserve"> </w:t>
      </w:r>
    </w:p>
    <w:p w:rsidR="00716ED1" w:rsidRPr="00D85201" w:rsidRDefault="00D85201" w:rsidP="00D85201">
      <w:pPr>
        <w:pStyle w:val="NoSpacing"/>
        <w:ind w:left="720"/>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 xml:space="preserve">level of </w:t>
      </w:r>
      <w:r w:rsidRPr="00D85201">
        <w:rPr>
          <w:rFonts w:ascii="Times New Roman" w:hAnsi="Times New Roman"/>
          <w:sz w:val="28"/>
          <w:szCs w:val="28"/>
        </w:rPr>
        <w:t>government</w:t>
      </w:r>
    </w:p>
    <w:p w:rsidR="00716ED1" w:rsidRPr="00F23AE5" w:rsidRDefault="00716ED1" w:rsidP="00716ED1">
      <w:pPr>
        <w:pStyle w:val="NoSpacing"/>
        <w:rPr>
          <w:rFonts w:ascii="Times New Roman" w:hAnsi="Times New Roman"/>
          <w:sz w:val="28"/>
          <w:szCs w:val="28"/>
        </w:rPr>
      </w:pPr>
      <w:r w:rsidRPr="00F23AE5">
        <w:rPr>
          <w:rFonts w:ascii="Times New Roman" w:hAnsi="Times New Roman"/>
          <w:sz w:val="28"/>
          <w:szCs w:val="28"/>
        </w:rPr>
        <w:t xml:space="preserve">                           (Norway; Denmark)</w:t>
      </w:r>
    </w:p>
    <w:p w:rsidR="00716ED1" w:rsidRPr="00F23AE5" w:rsidRDefault="00716ED1" w:rsidP="000E51A3">
      <w:pPr>
        <w:pStyle w:val="NoSpacing"/>
        <w:numPr>
          <w:ilvl w:val="0"/>
          <w:numId w:val="5"/>
        </w:numPr>
        <w:rPr>
          <w:rFonts w:ascii="Times New Roman" w:hAnsi="Times New Roman"/>
          <w:sz w:val="28"/>
          <w:szCs w:val="28"/>
        </w:rPr>
      </w:pPr>
      <w:r w:rsidRPr="00F23AE5">
        <w:rPr>
          <w:rFonts w:ascii="Times New Roman" w:hAnsi="Times New Roman"/>
          <w:i/>
          <w:iCs/>
          <w:sz w:val="28"/>
          <w:szCs w:val="28"/>
        </w:rPr>
        <w:t>Fusing</w:t>
      </w:r>
      <w:r w:rsidR="00517B7A">
        <w:rPr>
          <w:rFonts w:ascii="Times New Roman" w:hAnsi="Times New Roman"/>
          <w:sz w:val="28"/>
          <w:szCs w:val="28"/>
        </w:rPr>
        <w:t xml:space="preserve"> health and social (LTC) care within a single public a</w:t>
      </w:r>
      <w:r w:rsidRPr="00F23AE5">
        <w:rPr>
          <w:rFonts w:ascii="Times New Roman" w:hAnsi="Times New Roman"/>
          <w:sz w:val="28"/>
          <w:szCs w:val="28"/>
        </w:rPr>
        <w:t>dministration</w:t>
      </w:r>
    </w:p>
    <w:p w:rsidR="00716ED1" w:rsidRPr="00F23AE5" w:rsidRDefault="0030396A" w:rsidP="00716ED1">
      <w:pPr>
        <w:pStyle w:val="NoSpacing"/>
        <w:rPr>
          <w:rFonts w:ascii="Times New Roman" w:hAnsi="Times New Roman"/>
          <w:sz w:val="28"/>
          <w:szCs w:val="28"/>
        </w:rPr>
      </w:pPr>
      <w:r>
        <w:rPr>
          <w:rFonts w:ascii="Times New Roman" w:hAnsi="Times New Roman"/>
          <w:sz w:val="28"/>
          <w:szCs w:val="28"/>
        </w:rPr>
        <w:t xml:space="preserve">                            </w:t>
      </w:r>
      <w:r w:rsidR="00716ED1" w:rsidRPr="00F23AE5">
        <w:rPr>
          <w:rFonts w:ascii="Times New Roman" w:hAnsi="Times New Roman"/>
          <w:sz w:val="28"/>
          <w:szCs w:val="28"/>
        </w:rPr>
        <w:t>(Finland</w:t>
      </w:r>
      <w:r w:rsidR="005B11EA">
        <w:rPr>
          <w:rFonts w:ascii="Times New Roman" w:hAnsi="Times New Roman"/>
          <w:sz w:val="28"/>
          <w:szCs w:val="28"/>
        </w:rPr>
        <w:t xml:space="preserve"> [proposed]; England – Greater </w:t>
      </w:r>
      <w:r w:rsidR="00716ED1" w:rsidRPr="00F23AE5">
        <w:rPr>
          <w:rFonts w:ascii="Times New Roman" w:hAnsi="Times New Roman"/>
          <w:sz w:val="28"/>
          <w:szCs w:val="28"/>
        </w:rPr>
        <w:t>Manchester</w:t>
      </w:r>
      <w:r>
        <w:rPr>
          <w:rFonts w:ascii="Times New Roman" w:hAnsi="Times New Roman"/>
          <w:sz w:val="28"/>
          <w:szCs w:val="28"/>
        </w:rPr>
        <w:t>;</w:t>
      </w:r>
      <w:r w:rsidR="005B11EA">
        <w:rPr>
          <w:rFonts w:ascii="Times New Roman" w:hAnsi="Times New Roman"/>
          <w:sz w:val="28"/>
          <w:szCs w:val="28"/>
        </w:rPr>
        <w:t xml:space="preserve"> </w:t>
      </w:r>
      <w:r>
        <w:rPr>
          <w:rFonts w:ascii="Times New Roman" w:hAnsi="Times New Roman"/>
          <w:sz w:val="28"/>
          <w:szCs w:val="28"/>
        </w:rPr>
        <w:t>Sheffield</w:t>
      </w:r>
      <w:r w:rsidR="00716ED1" w:rsidRPr="00F23AE5">
        <w:rPr>
          <w:rFonts w:ascii="Times New Roman" w:hAnsi="Times New Roman"/>
          <w:sz w:val="28"/>
          <w:szCs w:val="28"/>
        </w:rPr>
        <w:t xml:space="preserve">)     </w:t>
      </w:r>
    </w:p>
    <w:p w:rsidR="00716ED1" w:rsidRPr="00F23AE5" w:rsidRDefault="00716ED1" w:rsidP="000E51A3">
      <w:pPr>
        <w:pStyle w:val="NoSpacing"/>
        <w:numPr>
          <w:ilvl w:val="0"/>
          <w:numId w:val="6"/>
        </w:numPr>
        <w:rPr>
          <w:rFonts w:ascii="Times New Roman" w:hAnsi="Times New Roman"/>
          <w:sz w:val="28"/>
          <w:szCs w:val="28"/>
        </w:rPr>
      </w:pPr>
      <w:r w:rsidRPr="00F23AE5">
        <w:rPr>
          <w:rFonts w:ascii="Times New Roman" w:hAnsi="Times New Roman"/>
          <w:i/>
          <w:iCs/>
          <w:sz w:val="28"/>
          <w:szCs w:val="28"/>
        </w:rPr>
        <w:t xml:space="preserve">Shifting </w:t>
      </w:r>
      <w:r w:rsidR="00517B7A">
        <w:rPr>
          <w:rFonts w:ascii="Times New Roman" w:hAnsi="Times New Roman"/>
          <w:sz w:val="28"/>
          <w:szCs w:val="28"/>
        </w:rPr>
        <w:t>chronically i</w:t>
      </w:r>
      <w:r w:rsidRPr="00F23AE5">
        <w:rPr>
          <w:rFonts w:ascii="Times New Roman" w:hAnsi="Times New Roman"/>
          <w:sz w:val="28"/>
          <w:szCs w:val="28"/>
        </w:rPr>
        <w:t xml:space="preserve">ll </w:t>
      </w:r>
      <w:r w:rsidR="00517B7A">
        <w:rPr>
          <w:rFonts w:ascii="Times New Roman" w:hAnsi="Times New Roman"/>
          <w:sz w:val="28"/>
          <w:szCs w:val="28"/>
        </w:rPr>
        <w:t>elderly from nursing homes to home c</w:t>
      </w:r>
      <w:r w:rsidRPr="00F23AE5">
        <w:rPr>
          <w:rFonts w:ascii="Times New Roman" w:hAnsi="Times New Roman"/>
          <w:sz w:val="28"/>
          <w:szCs w:val="28"/>
        </w:rPr>
        <w:t>are</w:t>
      </w:r>
    </w:p>
    <w:p w:rsidR="00716ED1" w:rsidRPr="00F23AE5" w:rsidRDefault="00716ED1" w:rsidP="00716ED1">
      <w:pPr>
        <w:pStyle w:val="NoSpacing"/>
        <w:rPr>
          <w:rFonts w:ascii="Times New Roman" w:hAnsi="Times New Roman"/>
          <w:sz w:val="28"/>
          <w:szCs w:val="28"/>
        </w:rPr>
      </w:pPr>
      <w:r w:rsidRPr="00F23AE5">
        <w:rPr>
          <w:rFonts w:ascii="Times New Roman" w:hAnsi="Times New Roman"/>
          <w:sz w:val="28"/>
          <w:szCs w:val="28"/>
        </w:rPr>
        <w:t xml:space="preserve"> </w:t>
      </w:r>
      <w:r w:rsidR="0030396A">
        <w:rPr>
          <w:rFonts w:ascii="Times New Roman" w:hAnsi="Times New Roman"/>
          <w:sz w:val="28"/>
          <w:szCs w:val="28"/>
        </w:rPr>
        <w:t xml:space="preserve">                           </w:t>
      </w:r>
      <w:r w:rsidRPr="00F23AE5">
        <w:rPr>
          <w:rFonts w:ascii="Times New Roman" w:hAnsi="Times New Roman"/>
          <w:sz w:val="28"/>
          <w:szCs w:val="28"/>
        </w:rPr>
        <w:t xml:space="preserve"> (Netherlands)</w:t>
      </w:r>
    </w:p>
    <w:p w:rsidR="00716ED1" w:rsidRPr="00F23AE5" w:rsidRDefault="00716ED1" w:rsidP="000E51A3">
      <w:pPr>
        <w:pStyle w:val="NoSpacing"/>
        <w:numPr>
          <w:ilvl w:val="0"/>
          <w:numId w:val="7"/>
        </w:numPr>
        <w:rPr>
          <w:rFonts w:ascii="Times New Roman" w:hAnsi="Times New Roman"/>
          <w:sz w:val="28"/>
          <w:szCs w:val="28"/>
        </w:rPr>
      </w:pPr>
      <w:r w:rsidRPr="00F23AE5">
        <w:rPr>
          <w:rFonts w:ascii="Times New Roman" w:hAnsi="Times New Roman"/>
          <w:i/>
          <w:iCs/>
          <w:sz w:val="28"/>
          <w:szCs w:val="28"/>
        </w:rPr>
        <w:t>Creating</w:t>
      </w:r>
      <w:r w:rsidR="00517B7A">
        <w:rPr>
          <w:rFonts w:ascii="Times New Roman" w:hAnsi="Times New Roman"/>
          <w:sz w:val="28"/>
          <w:szCs w:val="28"/>
        </w:rPr>
        <w:t xml:space="preserve"> “municipal acute bed units” (MAUs)/step-down b</w:t>
      </w:r>
      <w:r w:rsidRPr="00F23AE5">
        <w:rPr>
          <w:rFonts w:ascii="Times New Roman" w:hAnsi="Times New Roman"/>
          <w:sz w:val="28"/>
          <w:szCs w:val="28"/>
        </w:rPr>
        <w:t>eds</w:t>
      </w:r>
    </w:p>
    <w:p w:rsidR="00716ED1" w:rsidRPr="00F23AE5" w:rsidRDefault="00716ED1" w:rsidP="00716ED1">
      <w:pPr>
        <w:pStyle w:val="NoSpacing"/>
        <w:rPr>
          <w:rFonts w:ascii="Times New Roman" w:hAnsi="Times New Roman"/>
          <w:sz w:val="28"/>
          <w:szCs w:val="28"/>
        </w:rPr>
      </w:pPr>
      <w:r w:rsidRPr="00F23AE5">
        <w:rPr>
          <w:rFonts w:ascii="Times New Roman" w:hAnsi="Times New Roman"/>
          <w:sz w:val="28"/>
          <w:szCs w:val="28"/>
        </w:rPr>
        <w:t xml:space="preserve"> </w:t>
      </w:r>
      <w:r w:rsidR="0030396A">
        <w:rPr>
          <w:rFonts w:ascii="Times New Roman" w:hAnsi="Times New Roman"/>
          <w:sz w:val="28"/>
          <w:szCs w:val="28"/>
        </w:rPr>
        <w:t xml:space="preserve">                           </w:t>
      </w:r>
      <w:r w:rsidRPr="00F23AE5">
        <w:rPr>
          <w:rFonts w:ascii="Times New Roman" w:hAnsi="Times New Roman"/>
          <w:sz w:val="28"/>
          <w:szCs w:val="28"/>
        </w:rPr>
        <w:t xml:space="preserve"> (Norway; Denmark)</w:t>
      </w:r>
    </w:p>
    <w:p w:rsidR="00716ED1" w:rsidRPr="00F23AE5" w:rsidRDefault="00716ED1" w:rsidP="000E51A3">
      <w:pPr>
        <w:pStyle w:val="NoSpacing"/>
        <w:numPr>
          <w:ilvl w:val="0"/>
          <w:numId w:val="8"/>
        </w:numPr>
        <w:rPr>
          <w:rFonts w:ascii="Times New Roman" w:hAnsi="Times New Roman"/>
          <w:sz w:val="28"/>
          <w:szCs w:val="28"/>
        </w:rPr>
      </w:pPr>
      <w:r w:rsidRPr="00F23AE5">
        <w:rPr>
          <w:rFonts w:ascii="Times New Roman" w:hAnsi="Times New Roman"/>
          <w:i/>
          <w:iCs/>
          <w:sz w:val="28"/>
          <w:szCs w:val="28"/>
        </w:rPr>
        <w:t xml:space="preserve">Embedding </w:t>
      </w:r>
      <w:r w:rsidR="00517B7A">
        <w:rPr>
          <w:rFonts w:ascii="Times New Roman" w:hAnsi="Times New Roman"/>
          <w:sz w:val="28"/>
          <w:szCs w:val="28"/>
        </w:rPr>
        <w:t>“municipal primary care units” inside regional h</w:t>
      </w:r>
      <w:r w:rsidRPr="00F23AE5">
        <w:rPr>
          <w:rFonts w:ascii="Times New Roman" w:hAnsi="Times New Roman"/>
          <w:sz w:val="28"/>
          <w:szCs w:val="28"/>
        </w:rPr>
        <w:t>ospitals</w:t>
      </w:r>
    </w:p>
    <w:p w:rsidR="00716ED1" w:rsidRDefault="00716ED1" w:rsidP="00716ED1">
      <w:pPr>
        <w:pStyle w:val="NoSpacing"/>
        <w:rPr>
          <w:rFonts w:ascii="Times New Roman" w:hAnsi="Times New Roman"/>
          <w:sz w:val="28"/>
          <w:szCs w:val="28"/>
        </w:rPr>
      </w:pPr>
      <w:r w:rsidRPr="00F23AE5">
        <w:rPr>
          <w:rFonts w:ascii="Times New Roman" w:hAnsi="Times New Roman"/>
          <w:sz w:val="28"/>
          <w:szCs w:val="28"/>
        </w:rPr>
        <w:t xml:space="preserve">                             (Norway; Denmark)</w:t>
      </w:r>
    </w:p>
    <w:p w:rsidR="00BB2E03" w:rsidRDefault="00BB2E03" w:rsidP="00716ED1">
      <w:pPr>
        <w:pStyle w:val="NoSpacing"/>
        <w:rPr>
          <w:rFonts w:ascii="Times New Roman" w:hAnsi="Times New Roman"/>
          <w:sz w:val="28"/>
          <w:szCs w:val="28"/>
        </w:rPr>
      </w:pPr>
    </w:p>
    <w:p w:rsidR="001A6F9E" w:rsidRDefault="001A6F9E" w:rsidP="00716ED1">
      <w:pPr>
        <w:pStyle w:val="NoSpacing"/>
        <w:rPr>
          <w:rFonts w:ascii="Times New Roman" w:hAnsi="Times New Roman"/>
          <w:sz w:val="28"/>
          <w:szCs w:val="28"/>
        </w:rPr>
      </w:pPr>
      <w:r>
        <w:rPr>
          <w:rFonts w:ascii="Times New Roman" w:hAnsi="Times New Roman"/>
          <w:sz w:val="28"/>
          <w:szCs w:val="28"/>
        </w:rPr>
        <w:t>Addit</w:t>
      </w:r>
      <w:r w:rsidR="008355E9">
        <w:rPr>
          <w:rFonts w:ascii="Times New Roman" w:hAnsi="Times New Roman"/>
          <w:sz w:val="28"/>
          <w:szCs w:val="28"/>
        </w:rPr>
        <w:t xml:space="preserve">ionally, there are a growing </w:t>
      </w:r>
      <w:r>
        <w:rPr>
          <w:rFonts w:ascii="Times New Roman" w:hAnsi="Times New Roman"/>
          <w:sz w:val="28"/>
          <w:szCs w:val="28"/>
        </w:rPr>
        <w:t>number of</w:t>
      </w:r>
      <w:r w:rsidR="008355E9">
        <w:rPr>
          <w:rFonts w:ascii="Times New Roman" w:hAnsi="Times New Roman"/>
          <w:sz w:val="28"/>
          <w:szCs w:val="28"/>
        </w:rPr>
        <w:t xml:space="preserve"> pilot projects and reform trials</w:t>
      </w:r>
      <w:r>
        <w:rPr>
          <w:rFonts w:ascii="Times New Roman" w:hAnsi="Times New Roman"/>
          <w:sz w:val="28"/>
          <w:szCs w:val="28"/>
        </w:rPr>
        <w:t xml:space="preserve"> that as yet have no</w:t>
      </w:r>
      <w:r w:rsidR="008355E9">
        <w:rPr>
          <w:rFonts w:ascii="Times New Roman" w:hAnsi="Times New Roman"/>
          <w:sz w:val="28"/>
          <w:szCs w:val="28"/>
        </w:rPr>
        <w:t>t been disseminated nationally</w:t>
      </w:r>
      <w:r>
        <w:rPr>
          <w:rFonts w:ascii="Times New Roman" w:hAnsi="Times New Roman"/>
          <w:sz w:val="28"/>
          <w:szCs w:val="28"/>
        </w:rPr>
        <w:t>. These include:</w:t>
      </w:r>
    </w:p>
    <w:p w:rsidR="001A6F9E" w:rsidRDefault="001A6F9E" w:rsidP="00716ED1">
      <w:pPr>
        <w:pStyle w:val="NoSpacing"/>
        <w:rPr>
          <w:rFonts w:ascii="Times New Roman" w:hAnsi="Times New Roman"/>
          <w:sz w:val="28"/>
          <w:szCs w:val="28"/>
        </w:rPr>
      </w:pPr>
    </w:p>
    <w:p w:rsidR="001A6F9E" w:rsidRDefault="001A6F9E" w:rsidP="00691458">
      <w:pPr>
        <w:pStyle w:val="NoSpacing"/>
        <w:numPr>
          <w:ilvl w:val="0"/>
          <w:numId w:val="9"/>
        </w:numPr>
        <w:rPr>
          <w:rFonts w:ascii="Times New Roman" w:hAnsi="Times New Roman"/>
          <w:sz w:val="28"/>
          <w:szCs w:val="28"/>
        </w:rPr>
      </w:pPr>
      <w:r w:rsidRPr="001A6F9E">
        <w:rPr>
          <w:rFonts w:ascii="Times New Roman" w:hAnsi="Times New Roman"/>
          <w:i/>
          <w:sz w:val="28"/>
          <w:szCs w:val="28"/>
        </w:rPr>
        <w:t>Fusing</w:t>
      </w:r>
      <w:r w:rsidR="006C3E90">
        <w:rPr>
          <w:rFonts w:ascii="Times New Roman" w:hAnsi="Times New Roman"/>
          <w:sz w:val="28"/>
          <w:szCs w:val="28"/>
        </w:rPr>
        <w:t xml:space="preserve"> health and social (LTC) care inside a single public a</w:t>
      </w:r>
      <w:r>
        <w:rPr>
          <w:rFonts w:ascii="Times New Roman" w:hAnsi="Times New Roman"/>
          <w:sz w:val="28"/>
          <w:szCs w:val="28"/>
        </w:rPr>
        <w:t>dministration</w:t>
      </w:r>
    </w:p>
    <w:p w:rsidR="001A6F9E" w:rsidRDefault="001A6F9E" w:rsidP="001A6F9E">
      <w:pPr>
        <w:pStyle w:val="NoSpacing"/>
        <w:ind w:left="795"/>
        <w:rPr>
          <w:rFonts w:ascii="Times New Roman" w:hAnsi="Times New Roman"/>
          <w:sz w:val="28"/>
          <w:szCs w:val="28"/>
        </w:rPr>
      </w:pPr>
      <w:r>
        <w:rPr>
          <w:rFonts w:ascii="Times New Roman" w:hAnsi="Times New Roman"/>
          <w:sz w:val="28"/>
          <w:szCs w:val="28"/>
        </w:rPr>
        <w:t xml:space="preserve">                  </w:t>
      </w:r>
      <w:r w:rsidR="006C3E90">
        <w:rPr>
          <w:rFonts w:ascii="Times New Roman" w:hAnsi="Times New Roman"/>
          <w:sz w:val="28"/>
          <w:szCs w:val="28"/>
        </w:rPr>
        <w:t>(“TioHundra” p</w:t>
      </w:r>
      <w:r>
        <w:rPr>
          <w:rFonts w:ascii="Times New Roman" w:hAnsi="Times New Roman"/>
          <w:sz w:val="28"/>
          <w:szCs w:val="28"/>
        </w:rPr>
        <w:t>roject, Norrtalje, Stockholm County,</w:t>
      </w:r>
      <w:r w:rsidR="00612628">
        <w:rPr>
          <w:rFonts w:ascii="Times New Roman" w:hAnsi="Times New Roman"/>
          <w:sz w:val="28"/>
          <w:szCs w:val="28"/>
        </w:rPr>
        <w:t xml:space="preserve"> </w:t>
      </w:r>
      <w:r>
        <w:rPr>
          <w:rFonts w:ascii="Times New Roman" w:hAnsi="Times New Roman"/>
          <w:sz w:val="28"/>
          <w:szCs w:val="28"/>
        </w:rPr>
        <w:t>Sweden)</w:t>
      </w:r>
    </w:p>
    <w:p w:rsidR="001A6F9E" w:rsidRDefault="001A6F9E" w:rsidP="001A6F9E">
      <w:pPr>
        <w:pStyle w:val="NoSpacing"/>
        <w:ind w:left="795"/>
        <w:rPr>
          <w:rFonts w:ascii="Times New Roman" w:hAnsi="Times New Roman"/>
          <w:sz w:val="28"/>
          <w:szCs w:val="28"/>
        </w:rPr>
      </w:pPr>
    </w:p>
    <w:p w:rsidR="001A6F9E" w:rsidRDefault="001A6F9E" w:rsidP="00691458">
      <w:pPr>
        <w:pStyle w:val="NoSpacing"/>
        <w:numPr>
          <w:ilvl w:val="0"/>
          <w:numId w:val="9"/>
        </w:numPr>
        <w:rPr>
          <w:rFonts w:ascii="Times New Roman" w:hAnsi="Times New Roman"/>
          <w:sz w:val="28"/>
          <w:szCs w:val="28"/>
        </w:rPr>
      </w:pPr>
      <w:r w:rsidRPr="001A6F9E">
        <w:rPr>
          <w:rFonts w:ascii="Times New Roman" w:hAnsi="Times New Roman"/>
          <w:i/>
          <w:sz w:val="28"/>
          <w:szCs w:val="28"/>
        </w:rPr>
        <w:t>Re-unifying</w:t>
      </w:r>
      <w:r w:rsidR="006C3E90">
        <w:rPr>
          <w:rFonts w:ascii="Times New Roman" w:hAnsi="Times New Roman"/>
          <w:sz w:val="28"/>
          <w:szCs w:val="28"/>
        </w:rPr>
        <w:t xml:space="preserve"> regional health and social budgets: d</w:t>
      </w:r>
      <w:r>
        <w:rPr>
          <w:rFonts w:ascii="Times New Roman" w:hAnsi="Times New Roman"/>
          <w:sz w:val="28"/>
          <w:szCs w:val="28"/>
        </w:rPr>
        <w:t xml:space="preserve">ropping DRG case- </w:t>
      </w:r>
    </w:p>
    <w:p w:rsidR="001A6F9E" w:rsidRDefault="0030396A" w:rsidP="001A6F9E">
      <w:pPr>
        <w:pStyle w:val="NoSpacing"/>
        <w:ind w:left="795"/>
        <w:rPr>
          <w:rFonts w:ascii="Times New Roman" w:hAnsi="Times New Roman"/>
          <w:sz w:val="28"/>
          <w:szCs w:val="28"/>
        </w:rPr>
      </w:pPr>
      <w:r>
        <w:rPr>
          <w:rFonts w:ascii="Times New Roman" w:hAnsi="Times New Roman"/>
          <w:sz w:val="28"/>
          <w:szCs w:val="28"/>
        </w:rPr>
        <w:t xml:space="preserve">                  </w:t>
      </w:r>
      <w:r w:rsidR="001A6F9E">
        <w:rPr>
          <w:rFonts w:ascii="Times New Roman" w:hAnsi="Times New Roman"/>
          <w:sz w:val="28"/>
          <w:szCs w:val="28"/>
        </w:rPr>
        <w:t xml:space="preserve"> </w:t>
      </w:r>
      <w:r w:rsidR="001A6F9E" w:rsidRPr="001A6F9E">
        <w:rPr>
          <w:rFonts w:ascii="Times New Roman" w:hAnsi="Times New Roman"/>
          <w:sz w:val="28"/>
          <w:szCs w:val="28"/>
        </w:rPr>
        <w:t>based payment systems</w:t>
      </w:r>
    </w:p>
    <w:p w:rsidR="001A6F9E" w:rsidRPr="001A6F9E" w:rsidRDefault="001A6F9E" w:rsidP="001A6F9E">
      <w:pPr>
        <w:pStyle w:val="NoSpacing"/>
        <w:ind w:left="795"/>
        <w:rPr>
          <w:rFonts w:ascii="Times New Roman" w:hAnsi="Times New Roman"/>
          <w:sz w:val="28"/>
          <w:szCs w:val="28"/>
        </w:rPr>
      </w:pPr>
      <w:r>
        <w:rPr>
          <w:rFonts w:ascii="Times New Roman" w:hAnsi="Times New Roman"/>
          <w:sz w:val="28"/>
          <w:szCs w:val="28"/>
        </w:rPr>
        <w:t xml:space="preserve">                   (Central Region, Jutland, Denmark)</w:t>
      </w:r>
    </w:p>
    <w:p w:rsidR="00FF4CBA" w:rsidRDefault="001A6F9E" w:rsidP="00FF4CBA">
      <w:pPr>
        <w:pStyle w:val="NoSpacing"/>
        <w:ind w:left="795"/>
        <w:rPr>
          <w:rFonts w:ascii="Times New Roman" w:hAnsi="Times New Roman"/>
          <w:sz w:val="28"/>
          <w:szCs w:val="28"/>
        </w:rPr>
      </w:pPr>
      <w:r>
        <w:rPr>
          <w:rFonts w:ascii="Times New Roman" w:hAnsi="Times New Roman"/>
          <w:sz w:val="28"/>
          <w:szCs w:val="28"/>
        </w:rPr>
        <w:t xml:space="preserve">                       </w:t>
      </w:r>
    </w:p>
    <w:p w:rsidR="00BB2E03" w:rsidRDefault="00BB2E03" w:rsidP="00FF4CBA">
      <w:pPr>
        <w:pStyle w:val="NoSpacing"/>
        <w:rPr>
          <w:rFonts w:ascii="Times New Roman" w:hAnsi="Times New Roman"/>
          <w:sz w:val="28"/>
          <w:szCs w:val="28"/>
        </w:rPr>
      </w:pPr>
      <w:r>
        <w:rPr>
          <w:rFonts w:ascii="Times New Roman" w:hAnsi="Times New Roman"/>
          <w:sz w:val="28"/>
          <w:szCs w:val="28"/>
        </w:rPr>
        <w:t>There have also been a few organizational changes in tax-funded health care systems that have occurred on the funding side of these systems. These funding side changes are noteworthy for their peripheral (Nordic) or failed (Ireland) character:</w:t>
      </w:r>
    </w:p>
    <w:p w:rsidR="00C474C0" w:rsidRDefault="00C474C0" w:rsidP="00C474C0">
      <w:pPr>
        <w:pStyle w:val="NoSpacing"/>
        <w:rPr>
          <w:rFonts w:ascii="Times New Roman" w:hAnsi="Times New Roman"/>
          <w:sz w:val="28"/>
          <w:szCs w:val="28"/>
        </w:rPr>
      </w:pPr>
    </w:p>
    <w:p w:rsidR="007E7EBE" w:rsidRPr="007E7EBE" w:rsidRDefault="00E44B22" w:rsidP="00691458">
      <w:pPr>
        <w:pStyle w:val="NoSpacing"/>
        <w:numPr>
          <w:ilvl w:val="0"/>
          <w:numId w:val="9"/>
        </w:numPr>
        <w:rPr>
          <w:rFonts w:ascii="Times New Roman" w:hAnsi="Times New Roman"/>
          <w:sz w:val="28"/>
          <w:szCs w:val="28"/>
        </w:rPr>
      </w:pPr>
      <w:r>
        <w:rPr>
          <w:rFonts w:ascii="Times New Roman" w:hAnsi="Times New Roman"/>
          <w:sz w:val="28"/>
          <w:szCs w:val="28"/>
        </w:rPr>
        <w:t>Increased private</w:t>
      </w:r>
      <w:r w:rsidR="00C82E7A">
        <w:rPr>
          <w:rFonts w:ascii="Times New Roman" w:hAnsi="Times New Roman"/>
          <w:sz w:val="28"/>
          <w:szCs w:val="28"/>
        </w:rPr>
        <w:t xml:space="preserve"> </w:t>
      </w:r>
      <w:r>
        <w:rPr>
          <w:rFonts w:ascii="Times New Roman" w:hAnsi="Times New Roman"/>
          <w:sz w:val="28"/>
          <w:szCs w:val="28"/>
        </w:rPr>
        <w:t xml:space="preserve">supplemental </w:t>
      </w:r>
      <w:r w:rsidR="00C82E7A">
        <w:rPr>
          <w:rFonts w:ascii="Times New Roman" w:hAnsi="Times New Roman"/>
          <w:sz w:val="28"/>
          <w:szCs w:val="28"/>
        </w:rPr>
        <w:t>i</w:t>
      </w:r>
      <w:r w:rsidR="007E7EBE" w:rsidRPr="007E7EBE">
        <w:rPr>
          <w:rFonts w:ascii="Times New Roman" w:hAnsi="Times New Roman"/>
          <w:sz w:val="28"/>
          <w:szCs w:val="28"/>
        </w:rPr>
        <w:t>nsurance (Finland; Denmark; Sweden)</w:t>
      </w:r>
    </w:p>
    <w:p w:rsidR="007E7EBE" w:rsidRPr="007E7EBE" w:rsidRDefault="00C82E7A" w:rsidP="00691458">
      <w:pPr>
        <w:pStyle w:val="NoSpacing"/>
        <w:numPr>
          <w:ilvl w:val="0"/>
          <w:numId w:val="9"/>
        </w:numPr>
        <w:rPr>
          <w:rFonts w:ascii="Times New Roman" w:hAnsi="Times New Roman"/>
          <w:sz w:val="28"/>
          <w:szCs w:val="28"/>
        </w:rPr>
      </w:pPr>
      <w:r>
        <w:rPr>
          <w:rFonts w:ascii="Times New Roman" w:hAnsi="Times New Roman"/>
          <w:sz w:val="28"/>
          <w:szCs w:val="28"/>
        </w:rPr>
        <w:lastRenderedPageBreak/>
        <w:t>New m</w:t>
      </w:r>
      <w:r w:rsidR="007E7EBE" w:rsidRPr="007E7EBE">
        <w:rPr>
          <w:rFonts w:ascii="Times New Roman" w:hAnsi="Times New Roman"/>
          <w:sz w:val="28"/>
          <w:szCs w:val="28"/>
        </w:rPr>
        <w:t>anda</w:t>
      </w:r>
      <w:r>
        <w:rPr>
          <w:rFonts w:ascii="Times New Roman" w:hAnsi="Times New Roman"/>
          <w:sz w:val="28"/>
          <w:szCs w:val="28"/>
        </w:rPr>
        <w:t>tory social i</w:t>
      </w:r>
      <w:r w:rsidR="007E7EBE">
        <w:rPr>
          <w:rFonts w:ascii="Times New Roman" w:hAnsi="Times New Roman"/>
          <w:sz w:val="28"/>
          <w:szCs w:val="28"/>
        </w:rPr>
        <w:t>nsurance (Ireland - cancelled</w:t>
      </w:r>
      <w:r w:rsidR="007E7EBE" w:rsidRPr="007E7EBE">
        <w:rPr>
          <w:rFonts w:ascii="Times New Roman" w:hAnsi="Times New Roman"/>
          <w:sz w:val="28"/>
          <w:szCs w:val="28"/>
        </w:rPr>
        <w:t>)</w:t>
      </w:r>
    </w:p>
    <w:p w:rsidR="007E7EBE" w:rsidRDefault="00C82E7A" w:rsidP="00691458">
      <w:pPr>
        <w:pStyle w:val="NoSpacing"/>
        <w:numPr>
          <w:ilvl w:val="0"/>
          <w:numId w:val="9"/>
        </w:numPr>
        <w:rPr>
          <w:rFonts w:ascii="Times New Roman" w:hAnsi="Times New Roman"/>
          <w:sz w:val="28"/>
          <w:szCs w:val="28"/>
        </w:rPr>
      </w:pPr>
      <w:r>
        <w:rPr>
          <w:rFonts w:ascii="Times New Roman" w:hAnsi="Times New Roman"/>
          <w:sz w:val="28"/>
          <w:szCs w:val="28"/>
        </w:rPr>
        <w:t>Increased out-of-pocket p</w:t>
      </w:r>
      <w:r w:rsidR="007E7EBE" w:rsidRPr="007E7EBE">
        <w:rPr>
          <w:rFonts w:ascii="Times New Roman" w:hAnsi="Times New Roman"/>
          <w:sz w:val="28"/>
          <w:szCs w:val="28"/>
        </w:rPr>
        <w:t>ayment</w:t>
      </w:r>
      <w:r w:rsidR="007E7EBE">
        <w:rPr>
          <w:rFonts w:ascii="Times New Roman" w:hAnsi="Times New Roman"/>
          <w:sz w:val="28"/>
          <w:szCs w:val="28"/>
        </w:rPr>
        <w:t>s</w:t>
      </w:r>
      <w:r w:rsidR="007E7EBE" w:rsidRPr="007E7EBE">
        <w:rPr>
          <w:rFonts w:ascii="Times New Roman" w:hAnsi="Times New Roman"/>
          <w:sz w:val="28"/>
          <w:szCs w:val="28"/>
        </w:rPr>
        <w:t xml:space="preserve"> (Latvia – 37%</w:t>
      </w:r>
      <w:r w:rsidR="007E7EBE">
        <w:rPr>
          <w:rFonts w:ascii="Times New Roman" w:hAnsi="Times New Roman"/>
          <w:sz w:val="28"/>
          <w:szCs w:val="28"/>
        </w:rPr>
        <w:t xml:space="preserve"> of total</w:t>
      </w:r>
      <w:r w:rsidR="007E7EBE" w:rsidRPr="007E7EBE">
        <w:rPr>
          <w:rFonts w:ascii="Times New Roman" w:hAnsi="Times New Roman"/>
          <w:sz w:val="28"/>
          <w:szCs w:val="28"/>
        </w:rPr>
        <w:t xml:space="preserve"> expenditures)</w:t>
      </w:r>
    </w:p>
    <w:p w:rsidR="007E7EBE" w:rsidRDefault="007E7EBE" w:rsidP="007E7EBE">
      <w:pPr>
        <w:pStyle w:val="NoSpacing"/>
        <w:rPr>
          <w:rFonts w:ascii="Times New Roman" w:hAnsi="Times New Roman"/>
          <w:sz w:val="28"/>
          <w:szCs w:val="28"/>
        </w:rPr>
      </w:pPr>
    </w:p>
    <w:p w:rsidR="00C16D8D" w:rsidRDefault="00D47D41" w:rsidP="007E7EBE">
      <w:pPr>
        <w:pStyle w:val="NoSpacing"/>
        <w:rPr>
          <w:rFonts w:ascii="Times New Roman" w:hAnsi="Times New Roman"/>
          <w:sz w:val="28"/>
          <w:szCs w:val="28"/>
        </w:rPr>
      </w:pPr>
      <w:r>
        <w:rPr>
          <w:rFonts w:ascii="Times New Roman" w:hAnsi="Times New Roman"/>
          <w:sz w:val="28"/>
          <w:szCs w:val="28"/>
        </w:rPr>
        <w:t xml:space="preserve">By introducing this range of closely focused reforms, </w:t>
      </w:r>
      <w:r w:rsidR="00C16D8D">
        <w:rPr>
          <w:rFonts w:ascii="Times New Roman" w:hAnsi="Times New Roman"/>
          <w:sz w:val="28"/>
          <w:szCs w:val="28"/>
        </w:rPr>
        <w:t>policyma</w:t>
      </w:r>
      <w:r w:rsidR="002C2A68">
        <w:rPr>
          <w:rFonts w:ascii="Times New Roman" w:hAnsi="Times New Roman"/>
          <w:sz w:val="28"/>
          <w:szCs w:val="28"/>
        </w:rPr>
        <w:t>kers have sought to reduce</w:t>
      </w:r>
      <w:r>
        <w:rPr>
          <w:rFonts w:ascii="Times New Roman" w:hAnsi="Times New Roman"/>
          <w:sz w:val="28"/>
          <w:szCs w:val="28"/>
        </w:rPr>
        <w:t xml:space="preserve"> the</w:t>
      </w:r>
      <w:r w:rsidR="00C16D8D">
        <w:rPr>
          <w:rFonts w:ascii="Times New Roman" w:hAnsi="Times New Roman"/>
          <w:sz w:val="28"/>
          <w:szCs w:val="28"/>
        </w:rPr>
        <w:t xml:space="preserve"> post-2008 fiscal p</w:t>
      </w:r>
      <w:r w:rsidR="005B1BE0">
        <w:rPr>
          <w:rFonts w:ascii="Times New Roman" w:hAnsi="Times New Roman"/>
          <w:sz w:val="28"/>
          <w:szCs w:val="28"/>
        </w:rPr>
        <w:t>ressure on t</w:t>
      </w:r>
      <w:r>
        <w:rPr>
          <w:rFonts w:ascii="Times New Roman" w:hAnsi="Times New Roman"/>
          <w:sz w:val="28"/>
          <w:szCs w:val="28"/>
        </w:rPr>
        <w:t>heir health systems by streamlining both service delivery and administrative structures. To the extent that they are successful, these type</w:t>
      </w:r>
      <w:r w:rsidR="00284F8D">
        <w:rPr>
          <w:rFonts w:ascii="Times New Roman" w:hAnsi="Times New Roman"/>
          <w:sz w:val="28"/>
          <w:szCs w:val="28"/>
        </w:rPr>
        <w:t>s</w:t>
      </w:r>
      <w:r>
        <w:rPr>
          <w:rFonts w:ascii="Times New Roman" w:hAnsi="Times New Roman"/>
          <w:sz w:val="28"/>
          <w:szCs w:val="28"/>
        </w:rPr>
        <w:t xml:space="preserve"> of reforms can improve access and outcomes, particularly for the chronically ill patients that are both increasing rapidly in number and are adding additional strain to existing staff and facilities. In many cases, these reforms also enable elderly patients to be treated closer to home</w:t>
      </w:r>
      <w:r w:rsidR="005E4726">
        <w:rPr>
          <w:rFonts w:ascii="Times New Roman" w:hAnsi="Times New Roman"/>
          <w:sz w:val="28"/>
          <w:szCs w:val="28"/>
        </w:rPr>
        <w:t xml:space="preserve"> and</w:t>
      </w:r>
      <w:r>
        <w:rPr>
          <w:rFonts w:ascii="Times New Roman" w:hAnsi="Times New Roman"/>
          <w:sz w:val="28"/>
          <w:szCs w:val="28"/>
        </w:rPr>
        <w:t xml:space="preserve"> in less intensive settings, both of which typically are their preference.  </w:t>
      </w:r>
    </w:p>
    <w:p w:rsidR="00C82E7A" w:rsidRPr="00C82E7A" w:rsidRDefault="00C82E7A" w:rsidP="007E7EBE">
      <w:pPr>
        <w:pStyle w:val="NoSpacing"/>
        <w:rPr>
          <w:rFonts w:ascii="Times New Roman" w:hAnsi="Times New Roman"/>
          <w:b/>
          <w:sz w:val="28"/>
          <w:szCs w:val="28"/>
        </w:rPr>
      </w:pPr>
    </w:p>
    <w:p w:rsidR="007E7EBE" w:rsidRPr="00272951" w:rsidRDefault="00837FB7" w:rsidP="007E7EBE">
      <w:pPr>
        <w:pStyle w:val="NoSpacing"/>
        <w:rPr>
          <w:rFonts w:ascii="Times New Roman" w:hAnsi="Times New Roman"/>
          <w:sz w:val="28"/>
          <w:szCs w:val="28"/>
        </w:rPr>
      </w:pPr>
      <w:r>
        <w:rPr>
          <w:rFonts w:ascii="Times New Roman" w:hAnsi="Times New Roman"/>
          <w:sz w:val="28"/>
          <w:szCs w:val="28"/>
        </w:rPr>
        <w:t>Each of t</w:t>
      </w:r>
      <w:r w:rsidR="007E7EBE" w:rsidRPr="00272951">
        <w:rPr>
          <w:rFonts w:ascii="Times New Roman" w:hAnsi="Times New Roman"/>
          <w:sz w:val="28"/>
          <w:szCs w:val="28"/>
        </w:rPr>
        <w:t>he cou</w:t>
      </w:r>
      <w:r w:rsidR="003471A4">
        <w:rPr>
          <w:rFonts w:ascii="Times New Roman" w:hAnsi="Times New Roman"/>
          <w:sz w:val="28"/>
          <w:szCs w:val="28"/>
        </w:rPr>
        <w:t>ntry c</w:t>
      </w:r>
      <w:r w:rsidR="0084793E">
        <w:rPr>
          <w:rFonts w:ascii="Times New Roman" w:hAnsi="Times New Roman"/>
          <w:sz w:val="28"/>
          <w:szCs w:val="28"/>
        </w:rPr>
        <w:t xml:space="preserve">ase studies </w:t>
      </w:r>
      <w:r w:rsidR="003471A4">
        <w:rPr>
          <w:rFonts w:ascii="Times New Roman" w:hAnsi="Times New Roman"/>
          <w:sz w:val="28"/>
          <w:szCs w:val="28"/>
        </w:rPr>
        <w:t>below</w:t>
      </w:r>
      <w:r w:rsidR="005231C9">
        <w:rPr>
          <w:rFonts w:ascii="Times New Roman" w:hAnsi="Times New Roman"/>
          <w:sz w:val="28"/>
          <w:szCs w:val="28"/>
        </w:rPr>
        <w:t xml:space="preserve"> </w:t>
      </w:r>
      <w:r>
        <w:rPr>
          <w:rFonts w:ascii="Times New Roman" w:hAnsi="Times New Roman"/>
          <w:sz w:val="28"/>
          <w:szCs w:val="28"/>
        </w:rPr>
        <w:t>highlight one or more key</w:t>
      </w:r>
      <w:r w:rsidR="005231C9">
        <w:rPr>
          <w:rFonts w:ascii="Times New Roman" w:hAnsi="Times New Roman"/>
          <w:sz w:val="28"/>
          <w:szCs w:val="28"/>
        </w:rPr>
        <w:t xml:space="preserve"> dimensions</w:t>
      </w:r>
      <w:r>
        <w:rPr>
          <w:rFonts w:ascii="Times New Roman" w:hAnsi="Times New Roman"/>
          <w:sz w:val="28"/>
          <w:szCs w:val="28"/>
        </w:rPr>
        <w:t xml:space="preserve"> </w:t>
      </w:r>
      <w:r w:rsidR="00272951">
        <w:rPr>
          <w:rFonts w:ascii="Times New Roman" w:hAnsi="Times New Roman"/>
          <w:sz w:val="28"/>
          <w:szCs w:val="28"/>
        </w:rPr>
        <w:t>of these</w:t>
      </w:r>
      <w:r w:rsidR="004870F6" w:rsidRPr="00272951">
        <w:rPr>
          <w:rFonts w:ascii="Times New Roman" w:hAnsi="Times New Roman"/>
          <w:sz w:val="28"/>
          <w:szCs w:val="28"/>
        </w:rPr>
        <w:t xml:space="preserve"> </w:t>
      </w:r>
      <w:r>
        <w:rPr>
          <w:rFonts w:ascii="Times New Roman" w:hAnsi="Times New Roman"/>
          <w:sz w:val="28"/>
          <w:szCs w:val="28"/>
        </w:rPr>
        <w:t xml:space="preserve">new </w:t>
      </w:r>
      <w:r w:rsidR="007E7EBE" w:rsidRPr="00272951">
        <w:rPr>
          <w:rFonts w:ascii="Times New Roman" w:hAnsi="Times New Roman"/>
          <w:sz w:val="28"/>
          <w:szCs w:val="28"/>
        </w:rPr>
        <w:t>reform strategi</w:t>
      </w:r>
      <w:r w:rsidR="00272951">
        <w:rPr>
          <w:rFonts w:ascii="Times New Roman" w:hAnsi="Times New Roman"/>
          <w:sz w:val="28"/>
          <w:szCs w:val="28"/>
        </w:rPr>
        <w:t>es.</w:t>
      </w:r>
      <w:r w:rsidR="00A0334D">
        <w:rPr>
          <w:rFonts w:ascii="Times New Roman" w:hAnsi="Times New Roman"/>
          <w:sz w:val="28"/>
          <w:szCs w:val="28"/>
        </w:rPr>
        <w:t xml:space="preserve"> The</w:t>
      </w:r>
      <w:r w:rsidR="00B83C45">
        <w:rPr>
          <w:rFonts w:ascii="Times New Roman" w:hAnsi="Times New Roman"/>
          <w:sz w:val="28"/>
          <w:szCs w:val="28"/>
        </w:rPr>
        <w:t>se</w:t>
      </w:r>
      <w:r w:rsidR="00A0334D">
        <w:rPr>
          <w:rFonts w:ascii="Times New Roman" w:hAnsi="Times New Roman"/>
          <w:sz w:val="28"/>
          <w:szCs w:val="28"/>
        </w:rPr>
        <w:t xml:space="preserve"> cases concentrate on specific </w:t>
      </w:r>
      <w:r w:rsidR="00B83C45">
        <w:rPr>
          <w:rFonts w:ascii="Times New Roman" w:hAnsi="Times New Roman"/>
          <w:sz w:val="28"/>
          <w:szCs w:val="28"/>
        </w:rPr>
        <w:t xml:space="preserve">structural </w:t>
      </w:r>
      <w:r w:rsidR="00A0334D">
        <w:rPr>
          <w:rFonts w:ascii="Times New Roman" w:hAnsi="Times New Roman"/>
          <w:sz w:val="28"/>
          <w:szCs w:val="28"/>
        </w:rPr>
        <w:t>mechanisms for analytic but a</w:t>
      </w:r>
      <w:r w:rsidR="00B83C45">
        <w:rPr>
          <w:rFonts w:ascii="Times New Roman" w:hAnsi="Times New Roman"/>
          <w:sz w:val="28"/>
          <w:szCs w:val="28"/>
        </w:rPr>
        <w:t xml:space="preserve">lso policymaking reasons, seeking to illustrate the mix of innovative approaches that individual countries are adopting. As noted above, little formal evaluation </w:t>
      </w:r>
      <w:r w:rsidR="0014775B">
        <w:rPr>
          <w:rFonts w:ascii="Times New Roman" w:hAnsi="Times New Roman"/>
          <w:sz w:val="28"/>
          <w:szCs w:val="28"/>
        </w:rPr>
        <w:t>of these mechanisms</w:t>
      </w:r>
      <w:r w:rsidR="0084793E">
        <w:rPr>
          <w:rFonts w:ascii="Times New Roman" w:hAnsi="Times New Roman"/>
          <w:sz w:val="28"/>
          <w:szCs w:val="28"/>
        </w:rPr>
        <w:t xml:space="preserve"> - or </w:t>
      </w:r>
      <w:r w:rsidR="00B83C45">
        <w:rPr>
          <w:rFonts w:ascii="Times New Roman" w:hAnsi="Times New Roman"/>
          <w:sz w:val="28"/>
          <w:szCs w:val="28"/>
        </w:rPr>
        <w:t xml:space="preserve">of the specific mix of mechanisms employed in individual national contexts - has yet been completed, limiting conclusions about </w:t>
      </w:r>
      <w:r w:rsidR="0084793E">
        <w:rPr>
          <w:rFonts w:ascii="Times New Roman" w:hAnsi="Times New Roman"/>
          <w:sz w:val="28"/>
          <w:szCs w:val="28"/>
        </w:rPr>
        <w:t>long</w:t>
      </w:r>
      <w:r w:rsidR="003525D4">
        <w:rPr>
          <w:rFonts w:ascii="Times New Roman" w:hAnsi="Times New Roman"/>
          <w:sz w:val="28"/>
          <w:szCs w:val="28"/>
        </w:rPr>
        <w:t>-</w:t>
      </w:r>
      <w:r w:rsidR="0084793E">
        <w:rPr>
          <w:rFonts w:ascii="Times New Roman" w:hAnsi="Times New Roman"/>
          <w:sz w:val="28"/>
          <w:szCs w:val="28"/>
        </w:rPr>
        <w:t xml:space="preserve">term financial and care quality </w:t>
      </w:r>
      <w:r w:rsidR="00B83C45">
        <w:rPr>
          <w:rFonts w:ascii="Times New Roman" w:hAnsi="Times New Roman"/>
          <w:sz w:val="28"/>
          <w:szCs w:val="28"/>
        </w:rPr>
        <w:t>outcomes from these measures. However</w:t>
      </w:r>
      <w:r w:rsidR="005E4726">
        <w:rPr>
          <w:rFonts w:ascii="Times New Roman" w:hAnsi="Times New Roman"/>
          <w:sz w:val="28"/>
          <w:szCs w:val="28"/>
        </w:rPr>
        <w:t>,</w:t>
      </w:r>
      <w:r w:rsidR="00B83C45">
        <w:rPr>
          <w:rFonts w:ascii="Times New Roman" w:hAnsi="Times New Roman"/>
          <w:sz w:val="28"/>
          <w:szCs w:val="28"/>
        </w:rPr>
        <w:t xml:space="preserve"> d</w:t>
      </w:r>
      <w:r w:rsidR="00A0334D">
        <w:rPr>
          <w:rFonts w:ascii="Times New Roman" w:hAnsi="Times New Roman"/>
          <w:sz w:val="28"/>
          <w:szCs w:val="28"/>
        </w:rPr>
        <w:t>iscussion of the</w:t>
      </w:r>
      <w:r w:rsidR="007D6D8E">
        <w:rPr>
          <w:rFonts w:ascii="Times New Roman" w:hAnsi="Times New Roman"/>
          <w:sz w:val="28"/>
          <w:szCs w:val="28"/>
        </w:rPr>
        <w:t xml:space="preserve"> observed</w:t>
      </w:r>
      <w:r w:rsidR="00A0334D">
        <w:rPr>
          <w:rFonts w:ascii="Times New Roman" w:hAnsi="Times New Roman"/>
          <w:sz w:val="28"/>
          <w:szCs w:val="28"/>
        </w:rPr>
        <w:t xml:space="preserve"> patterns</w:t>
      </w:r>
      <w:r w:rsidR="003525D4">
        <w:rPr>
          <w:rFonts w:ascii="Times New Roman" w:hAnsi="Times New Roman"/>
          <w:sz w:val="28"/>
          <w:szCs w:val="28"/>
        </w:rPr>
        <w:t xml:space="preserve"> and relevant evaluation crit</w:t>
      </w:r>
      <w:r w:rsidR="0084793E">
        <w:rPr>
          <w:rFonts w:ascii="Times New Roman" w:hAnsi="Times New Roman"/>
          <w:sz w:val="28"/>
          <w:szCs w:val="28"/>
        </w:rPr>
        <w:t>eria</w:t>
      </w:r>
      <w:r w:rsidR="00A0334D">
        <w:rPr>
          <w:rFonts w:ascii="Times New Roman" w:hAnsi="Times New Roman"/>
          <w:sz w:val="28"/>
          <w:szCs w:val="28"/>
        </w:rPr>
        <w:t xml:space="preserve"> </w:t>
      </w:r>
      <w:r w:rsidR="007D6D8E">
        <w:rPr>
          <w:rFonts w:ascii="Times New Roman" w:hAnsi="Times New Roman"/>
          <w:sz w:val="28"/>
          <w:szCs w:val="28"/>
        </w:rPr>
        <w:t xml:space="preserve">among these cases </w:t>
      </w:r>
      <w:r w:rsidR="00A0334D">
        <w:rPr>
          <w:rFonts w:ascii="Times New Roman" w:hAnsi="Times New Roman"/>
          <w:sz w:val="28"/>
          <w:szCs w:val="28"/>
        </w:rPr>
        <w:t>follows in Part V</w:t>
      </w:r>
      <w:r w:rsidR="00937991">
        <w:rPr>
          <w:rFonts w:ascii="Times New Roman" w:hAnsi="Times New Roman"/>
          <w:sz w:val="28"/>
          <w:szCs w:val="28"/>
        </w:rPr>
        <w:t xml:space="preserve"> below</w:t>
      </w:r>
      <w:r w:rsidR="00A0334D">
        <w:rPr>
          <w:rFonts w:ascii="Times New Roman" w:hAnsi="Times New Roman"/>
          <w:sz w:val="28"/>
          <w:szCs w:val="28"/>
        </w:rPr>
        <w:t xml:space="preserve">. </w:t>
      </w:r>
      <w:r w:rsidR="003471A4">
        <w:rPr>
          <w:rFonts w:ascii="Times New Roman" w:hAnsi="Times New Roman"/>
          <w:sz w:val="28"/>
          <w:szCs w:val="28"/>
        </w:rPr>
        <w:t xml:space="preserve"> </w:t>
      </w:r>
    </w:p>
    <w:p w:rsidR="007E7EBE" w:rsidRPr="00C82E7A" w:rsidRDefault="007E7EBE" w:rsidP="007E7EBE">
      <w:pPr>
        <w:pStyle w:val="NoSpacing"/>
        <w:rPr>
          <w:rFonts w:ascii="Times New Roman" w:hAnsi="Times New Roman" w:cs="Times New Roman"/>
          <w:b/>
          <w:sz w:val="28"/>
          <w:szCs w:val="28"/>
        </w:rPr>
      </w:pPr>
    </w:p>
    <w:p w:rsidR="0004345A" w:rsidRPr="007A6F0C" w:rsidRDefault="006F67C7" w:rsidP="0004345A">
      <w:pPr>
        <w:pStyle w:val="NoSpacing"/>
        <w:rPr>
          <w:rFonts w:ascii="Times New Roman" w:hAnsi="Times New Roman" w:cs="Times New Roman"/>
          <w:b/>
          <w:sz w:val="28"/>
          <w:szCs w:val="28"/>
        </w:rPr>
      </w:pPr>
      <w:r w:rsidRPr="007A6F0C">
        <w:rPr>
          <w:rFonts w:ascii="Times New Roman" w:hAnsi="Times New Roman" w:cs="Times New Roman"/>
          <w:b/>
          <w:sz w:val="28"/>
          <w:szCs w:val="28"/>
        </w:rPr>
        <w:t>Norway</w:t>
      </w:r>
      <w:r w:rsidR="00F67770" w:rsidRPr="007A6F0C">
        <w:rPr>
          <w:rFonts w:ascii="Times New Roman" w:hAnsi="Times New Roman" w:cs="Times New Roman"/>
          <w:b/>
          <w:sz w:val="28"/>
          <w:szCs w:val="28"/>
        </w:rPr>
        <w:t xml:space="preserve"> </w:t>
      </w:r>
    </w:p>
    <w:p w:rsidR="00263966" w:rsidRDefault="00263966" w:rsidP="0004345A">
      <w:pPr>
        <w:pStyle w:val="NoSpacing"/>
        <w:rPr>
          <w:rFonts w:ascii="Times New Roman" w:hAnsi="Times New Roman" w:cs="Times New Roman"/>
          <w:sz w:val="28"/>
          <w:szCs w:val="28"/>
        </w:rPr>
      </w:pPr>
    </w:p>
    <w:p w:rsidR="002B3BBF" w:rsidRDefault="00737B83" w:rsidP="0004345A">
      <w:pPr>
        <w:pStyle w:val="NoSpacing"/>
        <w:rPr>
          <w:rFonts w:ascii="Times New Roman" w:hAnsi="Times New Roman" w:cs="Times New Roman"/>
          <w:sz w:val="28"/>
          <w:szCs w:val="28"/>
        </w:rPr>
      </w:pPr>
      <w:r>
        <w:rPr>
          <w:rFonts w:ascii="Times New Roman" w:hAnsi="Times New Roman" w:cs="Times New Roman"/>
          <w:sz w:val="28"/>
          <w:szCs w:val="28"/>
        </w:rPr>
        <w:t>In 2012, the Norwegian gover</w:t>
      </w:r>
      <w:r w:rsidR="00605E0C">
        <w:rPr>
          <w:rFonts w:ascii="Times New Roman" w:hAnsi="Times New Roman" w:cs="Times New Roman"/>
          <w:sz w:val="28"/>
          <w:szCs w:val="28"/>
        </w:rPr>
        <w:t>nment introduced</w:t>
      </w:r>
      <w:r>
        <w:rPr>
          <w:rFonts w:ascii="Times New Roman" w:hAnsi="Times New Roman" w:cs="Times New Roman"/>
          <w:sz w:val="28"/>
          <w:szCs w:val="28"/>
        </w:rPr>
        <w:t xml:space="preserve"> major structural </w:t>
      </w:r>
      <w:r w:rsidR="00332950">
        <w:rPr>
          <w:rFonts w:ascii="Times New Roman" w:hAnsi="Times New Roman" w:cs="Times New Roman"/>
          <w:sz w:val="28"/>
          <w:szCs w:val="28"/>
        </w:rPr>
        <w:t>r</w:t>
      </w:r>
      <w:r>
        <w:rPr>
          <w:rFonts w:ascii="Times New Roman" w:hAnsi="Times New Roman" w:cs="Times New Roman"/>
          <w:sz w:val="28"/>
          <w:szCs w:val="28"/>
        </w:rPr>
        <w:t>eforms in the public production of health care services</w:t>
      </w:r>
      <w:r w:rsidR="00605E0C">
        <w:rPr>
          <w:rFonts w:ascii="Times New Roman" w:hAnsi="Times New Roman" w:cs="Times New Roman"/>
          <w:sz w:val="28"/>
          <w:szCs w:val="28"/>
        </w:rPr>
        <w:t xml:space="preserve"> for the chronically ill elderly. These </w:t>
      </w:r>
      <w:r w:rsidR="00D67282">
        <w:rPr>
          <w:rFonts w:ascii="Times New Roman" w:hAnsi="Times New Roman" w:cs="Times New Roman"/>
          <w:sz w:val="28"/>
          <w:szCs w:val="28"/>
        </w:rPr>
        <w:t xml:space="preserve">focused </w:t>
      </w:r>
      <w:r>
        <w:rPr>
          <w:rFonts w:ascii="Times New Roman" w:hAnsi="Times New Roman" w:cs="Times New Roman"/>
          <w:sz w:val="28"/>
          <w:szCs w:val="28"/>
        </w:rPr>
        <w:t>on expanding acc</w:t>
      </w:r>
      <w:r w:rsidR="00605E0C">
        <w:rPr>
          <w:rFonts w:ascii="Times New Roman" w:hAnsi="Times New Roman" w:cs="Times New Roman"/>
          <w:sz w:val="28"/>
          <w:szCs w:val="28"/>
        </w:rPr>
        <w:t xml:space="preserve">ess </w:t>
      </w:r>
      <w:r>
        <w:rPr>
          <w:rFonts w:ascii="Times New Roman" w:hAnsi="Times New Roman" w:cs="Times New Roman"/>
          <w:sz w:val="28"/>
          <w:szCs w:val="28"/>
        </w:rPr>
        <w:t>to interme</w:t>
      </w:r>
      <w:r w:rsidR="00517813">
        <w:rPr>
          <w:rFonts w:ascii="Times New Roman" w:hAnsi="Times New Roman" w:cs="Times New Roman"/>
          <w:sz w:val="28"/>
          <w:szCs w:val="28"/>
        </w:rPr>
        <w:t>diate “step-down” services in</w:t>
      </w:r>
      <w:r w:rsidR="00605E0C">
        <w:rPr>
          <w:rFonts w:ascii="Times New Roman" w:hAnsi="Times New Roman" w:cs="Times New Roman"/>
          <w:sz w:val="28"/>
          <w:szCs w:val="28"/>
        </w:rPr>
        <w:t xml:space="preserve"> communities and establishing </w:t>
      </w:r>
      <w:r>
        <w:rPr>
          <w:rFonts w:ascii="Times New Roman" w:hAnsi="Times New Roman" w:cs="Times New Roman"/>
          <w:sz w:val="28"/>
          <w:szCs w:val="28"/>
        </w:rPr>
        <w:t>new hospital-based discha</w:t>
      </w:r>
      <w:r w:rsidR="003B0738">
        <w:rPr>
          <w:rFonts w:ascii="Times New Roman" w:hAnsi="Times New Roman" w:cs="Times New Roman"/>
          <w:sz w:val="28"/>
          <w:szCs w:val="28"/>
        </w:rPr>
        <w:t>rge coordination units</w:t>
      </w:r>
      <w:r w:rsidR="00605E0C">
        <w:rPr>
          <w:rFonts w:ascii="Times New Roman" w:hAnsi="Times New Roman" w:cs="Times New Roman"/>
          <w:sz w:val="28"/>
          <w:szCs w:val="28"/>
        </w:rPr>
        <w:t>, as well as requiring municipalities to reimburse hospitals for several types of chronic-care-related services</w:t>
      </w:r>
      <w:r w:rsidR="003B0738">
        <w:rPr>
          <w:rFonts w:ascii="Times New Roman" w:hAnsi="Times New Roman" w:cs="Times New Roman"/>
          <w:sz w:val="28"/>
          <w:szCs w:val="28"/>
        </w:rPr>
        <w:t xml:space="preserve"> (Hagen </w:t>
      </w:r>
      <w:r>
        <w:rPr>
          <w:rFonts w:ascii="Times New Roman" w:hAnsi="Times New Roman" w:cs="Times New Roman"/>
          <w:sz w:val="28"/>
          <w:szCs w:val="28"/>
        </w:rPr>
        <w:t xml:space="preserve">et al, 2015). These reforms reflected </w:t>
      </w:r>
      <w:r w:rsidR="00517813">
        <w:rPr>
          <w:rFonts w:ascii="Times New Roman" w:hAnsi="Times New Roman" w:cs="Times New Roman"/>
          <w:sz w:val="28"/>
          <w:szCs w:val="28"/>
        </w:rPr>
        <w:t xml:space="preserve">growing </w:t>
      </w:r>
      <w:r>
        <w:rPr>
          <w:rFonts w:ascii="Times New Roman" w:hAnsi="Times New Roman" w:cs="Times New Roman"/>
          <w:sz w:val="28"/>
          <w:szCs w:val="28"/>
        </w:rPr>
        <w:t xml:space="preserve">financial pressure in Norway on health sector services, including lengthening queues, following the onset of the 2008 financial crisis and the subsequent fall in the price of Norway’s main export, North Sea oil. </w:t>
      </w:r>
    </w:p>
    <w:p w:rsidR="002B3BBF" w:rsidRDefault="002B3BBF" w:rsidP="0004345A">
      <w:pPr>
        <w:pStyle w:val="NoSpacing"/>
        <w:rPr>
          <w:rFonts w:ascii="Times New Roman" w:hAnsi="Times New Roman" w:cs="Times New Roman"/>
          <w:sz w:val="28"/>
          <w:szCs w:val="28"/>
        </w:rPr>
      </w:pPr>
    </w:p>
    <w:p w:rsidR="00CA0B5C" w:rsidRDefault="007A6F0C" w:rsidP="0004345A">
      <w:pPr>
        <w:pStyle w:val="NoSpacing"/>
        <w:rPr>
          <w:rFonts w:ascii="Times New Roman" w:hAnsi="Times New Roman" w:cs="Times New Roman"/>
          <w:sz w:val="28"/>
          <w:szCs w:val="28"/>
        </w:rPr>
      </w:pPr>
      <w:r>
        <w:rPr>
          <w:rFonts w:ascii="Times New Roman" w:hAnsi="Times New Roman" w:cs="Times New Roman"/>
          <w:sz w:val="28"/>
          <w:szCs w:val="28"/>
        </w:rPr>
        <w:t xml:space="preserve">These </w:t>
      </w:r>
      <w:r w:rsidR="002B3BBF">
        <w:rPr>
          <w:rFonts w:ascii="Times New Roman" w:hAnsi="Times New Roman" w:cs="Times New Roman"/>
          <w:sz w:val="28"/>
          <w:szCs w:val="28"/>
        </w:rPr>
        <w:t xml:space="preserve">2012 </w:t>
      </w:r>
      <w:r>
        <w:rPr>
          <w:rFonts w:ascii="Times New Roman" w:hAnsi="Times New Roman" w:cs="Times New Roman"/>
          <w:sz w:val="28"/>
          <w:szCs w:val="28"/>
        </w:rPr>
        <w:t>reforms were an extension</w:t>
      </w:r>
      <w:r w:rsidR="002B3BBF">
        <w:rPr>
          <w:rFonts w:ascii="Times New Roman" w:hAnsi="Times New Roman" w:cs="Times New Roman"/>
          <w:sz w:val="28"/>
          <w:szCs w:val="28"/>
        </w:rPr>
        <w:t xml:space="preserve"> of</w:t>
      </w:r>
      <w:r w:rsidR="00CB7B33">
        <w:rPr>
          <w:rFonts w:ascii="Times New Roman" w:hAnsi="Times New Roman" w:cs="Times New Roman"/>
          <w:sz w:val="28"/>
          <w:szCs w:val="28"/>
        </w:rPr>
        <w:t xml:space="preserve"> </w:t>
      </w:r>
      <w:r>
        <w:rPr>
          <w:rFonts w:ascii="Times New Roman" w:hAnsi="Times New Roman" w:cs="Times New Roman"/>
          <w:sz w:val="28"/>
          <w:szCs w:val="28"/>
        </w:rPr>
        <w:t xml:space="preserve">strong national government intervention </w:t>
      </w:r>
      <w:r w:rsidR="00CB7B33">
        <w:rPr>
          <w:rFonts w:ascii="Times New Roman" w:hAnsi="Times New Roman" w:cs="Times New Roman"/>
          <w:sz w:val="28"/>
          <w:szCs w:val="28"/>
        </w:rPr>
        <w:t>in the health sector which had begun in 2002</w:t>
      </w:r>
      <w:r>
        <w:rPr>
          <w:rFonts w:ascii="Times New Roman" w:hAnsi="Times New Roman" w:cs="Times New Roman"/>
          <w:sz w:val="28"/>
          <w:szCs w:val="28"/>
        </w:rPr>
        <w:t xml:space="preserve"> </w:t>
      </w:r>
      <w:r w:rsidR="00CB7B33">
        <w:rPr>
          <w:rFonts w:ascii="Times New Roman" w:hAnsi="Times New Roman" w:cs="Times New Roman"/>
          <w:sz w:val="28"/>
          <w:szCs w:val="28"/>
        </w:rPr>
        <w:t xml:space="preserve">with the structural reform of </w:t>
      </w:r>
      <w:r>
        <w:rPr>
          <w:rFonts w:ascii="Times New Roman" w:hAnsi="Times New Roman" w:cs="Times New Roman"/>
          <w:sz w:val="28"/>
          <w:szCs w:val="28"/>
        </w:rPr>
        <w:t>publ</w:t>
      </w:r>
      <w:r w:rsidR="00B24E30">
        <w:rPr>
          <w:rFonts w:ascii="Times New Roman" w:hAnsi="Times New Roman" w:cs="Times New Roman"/>
          <w:sz w:val="28"/>
          <w:szCs w:val="28"/>
        </w:rPr>
        <w:t xml:space="preserve">ic providers. The 2002 reforms </w:t>
      </w:r>
      <w:r w:rsidR="00CB7B33">
        <w:rPr>
          <w:rFonts w:ascii="Times New Roman" w:hAnsi="Times New Roman" w:cs="Times New Roman"/>
          <w:sz w:val="28"/>
          <w:szCs w:val="28"/>
        </w:rPr>
        <w:t>had merged</w:t>
      </w:r>
      <w:r w:rsidR="000C35D4">
        <w:rPr>
          <w:rFonts w:ascii="Times New Roman" w:hAnsi="Times New Roman" w:cs="Times New Roman"/>
          <w:sz w:val="28"/>
          <w:szCs w:val="28"/>
        </w:rPr>
        <w:t xml:space="preserve"> Norway’s</w:t>
      </w:r>
      <w:r>
        <w:rPr>
          <w:rFonts w:ascii="Times New Roman" w:hAnsi="Times New Roman" w:cs="Times New Roman"/>
          <w:sz w:val="28"/>
          <w:szCs w:val="28"/>
        </w:rPr>
        <w:t xml:space="preserve"> 1</w:t>
      </w:r>
      <w:r w:rsidR="00CB7B33">
        <w:rPr>
          <w:rFonts w:ascii="Times New Roman" w:hAnsi="Times New Roman" w:cs="Times New Roman"/>
          <w:sz w:val="28"/>
          <w:szCs w:val="28"/>
        </w:rPr>
        <w:t>9 (elected) county councils</w:t>
      </w:r>
      <w:r w:rsidR="000C35D4">
        <w:rPr>
          <w:rFonts w:ascii="Times New Roman" w:hAnsi="Times New Roman" w:cs="Times New Roman"/>
          <w:sz w:val="28"/>
          <w:szCs w:val="28"/>
        </w:rPr>
        <w:t xml:space="preserve"> into 5 (then 4) </w:t>
      </w:r>
      <w:r w:rsidR="00CB7B33">
        <w:rPr>
          <w:rFonts w:ascii="Times New Roman" w:hAnsi="Times New Roman" w:cs="Times New Roman"/>
          <w:sz w:val="28"/>
          <w:szCs w:val="28"/>
        </w:rPr>
        <w:t xml:space="preserve">unelected </w:t>
      </w:r>
      <w:r w:rsidR="000C35D4">
        <w:rPr>
          <w:rFonts w:ascii="Times New Roman" w:hAnsi="Times New Roman" w:cs="Times New Roman"/>
          <w:sz w:val="28"/>
          <w:szCs w:val="28"/>
        </w:rPr>
        <w:t>regional</w:t>
      </w:r>
      <w:r w:rsidR="00CB7B33">
        <w:rPr>
          <w:rFonts w:ascii="Times New Roman" w:hAnsi="Times New Roman" w:cs="Times New Roman"/>
          <w:sz w:val="28"/>
          <w:szCs w:val="28"/>
        </w:rPr>
        <w:t xml:space="preserve"> administrative bodies</w:t>
      </w:r>
      <w:r w:rsidR="000C35D4">
        <w:rPr>
          <w:rFonts w:ascii="Times New Roman" w:hAnsi="Times New Roman" w:cs="Times New Roman"/>
          <w:sz w:val="28"/>
          <w:szCs w:val="28"/>
        </w:rPr>
        <w:t xml:space="preserve"> appointed</w:t>
      </w:r>
      <w:r w:rsidR="00CB7B33">
        <w:rPr>
          <w:rFonts w:ascii="Times New Roman" w:hAnsi="Times New Roman" w:cs="Times New Roman"/>
          <w:sz w:val="28"/>
          <w:szCs w:val="28"/>
        </w:rPr>
        <w:t xml:space="preserve"> from Oslo</w:t>
      </w:r>
      <w:r w:rsidR="00D54E1F">
        <w:rPr>
          <w:rFonts w:ascii="Times New Roman" w:hAnsi="Times New Roman" w:cs="Times New Roman"/>
          <w:sz w:val="28"/>
          <w:szCs w:val="28"/>
        </w:rPr>
        <w:t xml:space="preserve">, with the national government now providing </w:t>
      </w:r>
      <w:r w:rsidR="00B24E30">
        <w:rPr>
          <w:rFonts w:ascii="Times New Roman" w:hAnsi="Times New Roman" w:cs="Times New Roman"/>
          <w:sz w:val="28"/>
          <w:szCs w:val="28"/>
        </w:rPr>
        <w:t>100% of hospital budgets</w:t>
      </w:r>
      <w:r w:rsidR="007B0AB8">
        <w:rPr>
          <w:rFonts w:ascii="Times New Roman" w:hAnsi="Times New Roman" w:cs="Times New Roman"/>
          <w:sz w:val="28"/>
          <w:szCs w:val="28"/>
        </w:rPr>
        <w:t>. Also in the 2002 reform,</w:t>
      </w:r>
      <w:r w:rsidR="002B3BBF">
        <w:rPr>
          <w:rFonts w:ascii="Times New Roman" w:hAnsi="Times New Roman" w:cs="Times New Roman"/>
          <w:sz w:val="28"/>
          <w:szCs w:val="28"/>
        </w:rPr>
        <w:t xml:space="preserve"> </w:t>
      </w:r>
      <w:r w:rsidR="007B0AB8">
        <w:rPr>
          <w:rFonts w:ascii="Times New Roman" w:hAnsi="Times New Roman" w:cs="Times New Roman"/>
          <w:sz w:val="28"/>
          <w:szCs w:val="28"/>
        </w:rPr>
        <w:t>public hospitals had been</w:t>
      </w:r>
      <w:r w:rsidR="00CB7B33">
        <w:rPr>
          <w:rFonts w:ascii="Times New Roman" w:hAnsi="Times New Roman" w:cs="Times New Roman"/>
          <w:sz w:val="28"/>
          <w:szCs w:val="28"/>
        </w:rPr>
        <w:t xml:space="preserve"> consolidated into larger organizations, and</w:t>
      </w:r>
      <w:r w:rsidR="000C35D4">
        <w:rPr>
          <w:rFonts w:ascii="Times New Roman" w:hAnsi="Times New Roman" w:cs="Times New Roman"/>
          <w:sz w:val="28"/>
          <w:szCs w:val="28"/>
        </w:rPr>
        <w:t xml:space="preserve"> </w:t>
      </w:r>
      <w:r w:rsidR="000C35D4">
        <w:rPr>
          <w:rFonts w:ascii="Times New Roman" w:hAnsi="Times New Roman" w:cs="Times New Roman"/>
          <w:sz w:val="28"/>
          <w:szCs w:val="28"/>
        </w:rPr>
        <w:lastRenderedPageBreak/>
        <w:t xml:space="preserve">transformed into </w:t>
      </w:r>
      <w:r w:rsidR="007B0AB8">
        <w:rPr>
          <w:rFonts w:ascii="Times New Roman" w:hAnsi="Times New Roman" w:cs="Times New Roman"/>
          <w:sz w:val="28"/>
          <w:szCs w:val="28"/>
        </w:rPr>
        <w:t>“</w:t>
      </w:r>
      <w:r w:rsidR="000C35D4">
        <w:rPr>
          <w:rFonts w:ascii="Times New Roman" w:hAnsi="Times New Roman" w:cs="Times New Roman"/>
          <w:sz w:val="28"/>
          <w:szCs w:val="28"/>
        </w:rPr>
        <w:t xml:space="preserve">state </w:t>
      </w:r>
      <w:r w:rsidR="007B0AB8">
        <w:rPr>
          <w:rFonts w:ascii="Times New Roman" w:hAnsi="Times New Roman" w:cs="Times New Roman"/>
          <w:sz w:val="28"/>
          <w:szCs w:val="28"/>
        </w:rPr>
        <w:t>enterprises” that were expecte</w:t>
      </w:r>
      <w:r w:rsidR="00811AA8">
        <w:rPr>
          <w:rFonts w:ascii="Times New Roman" w:hAnsi="Times New Roman" w:cs="Times New Roman"/>
          <w:sz w:val="28"/>
          <w:szCs w:val="28"/>
        </w:rPr>
        <w:t>d to be “semi-autonomous managerial units”</w:t>
      </w:r>
      <w:r w:rsidR="007B0AB8">
        <w:rPr>
          <w:rFonts w:ascii="Times New Roman" w:hAnsi="Times New Roman" w:cs="Times New Roman"/>
          <w:sz w:val="28"/>
          <w:szCs w:val="28"/>
        </w:rPr>
        <w:t xml:space="preserve"> </w:t>
      </w:r>
      <w:r w:rsidR="009D76E4">
        <w:rPr>
          <w:rFonts w:ascii="Times New Roman" w:hAnsi="Times New Roman" w:cs="Times New Roman"/>
          <w:sz w:val="28"/>
          <w:szCs w:val="28"/>
        </w:rPr>
        <w:t>(Ringa</w:t>
      </w:r>
      <w:r w:rsidR="004B4A8D">
        <w:rPr>
          <w:rFonts w:ascii="Times New Roman" w:hAnsi="Times New Roman" w:cs="Times New Roman"/>
          <w:sz w:val="28"/>
          <w:szCs w:val="28"/>
        </w:rPr>
        <w:t>rd et al</w:t>
      </w:r>
      <w:r w:rsidR="006F67C7">
        <w:rPr>
          <w:rFonts w:ascii="Times New Roman" w:hAnsi="Times New Roman" w:cs="Times New Roman"/>
          <w:sz w:val="28"/>
          <w:szCs w:val="28"/>
        </w:rPr>
        <w:t>, 20</w:t>
      </w:r>
      <w:r w:rsidR="00C34BDF">
        <w:rPr>
          <w:rFonts w:ascii="Times New Roman" w:hAnsi="Times New Roman" w:cs="Times New Roman"/>
          <w:sz w:val="28"/>
          <w:szCs w:val="28"/>
        </w:rPr>
        <w:t>13</w:t>
      </w:r>
      <w:r w:rsidR="006F67C7">
        <w:rPr>
          <w:rFonts w:ascii="Times New Roman" w:hAnsi="Times New Roman" w:cs="Times New Roman"/>
          <w:sz w:val="28"/>
          <w:szCs w:val="28"/>
        </w:rPr>
        <w:t xml:space="preserve">). </w:t>
      </w:r>
    </w:p>
    <w:p w:rsidR="00263966" w:rsidRDefault="00263966" w:rsidP="0004345A">
      <w:pPr>
        <w:pStyle w:val="NoSpacing"/>
        <w:rPr>
          <w:rFonts w:ascii="Times New Roman" w:hAnsi="Times New Roman" w:cs="Times New Roman"/>
          <w:sz w:val="28"/>
          <w:szCs w:val="28"/>
        </w:rPr>
      </w:pPr>
    </w:p>
    <w:p w:rsidR="00263966" w:rsidRDefault="008A4D2E" w:rsidP="0004345A">
      <w:pPr>
        <w:pStyle w:val="NoSpacing"/>
        <w:rPr>
          <w:rFonts w:ascii="Times New Roman" w:hAnsi="Times New Roman" w:cs="Times New Roman"/>
          <w:sz w:val="28"/>
          <w:szCs w:val="28"/>
        </w:rPr>
      </w:pPr>
      <w:r>
        <w:rPr>
          <w:rFonts w:ascii="Times New Roman" w:hAnsi="Times New Roman" w:cs="Times New Roman"/>
          <w:sz w:val="28"/>
          <w:szCs w:val="28"/>
        </w:rPr>
        <w:t>The 2012 reforms established</w:t>
      </w:r>
      <w:r w:rsidR="00476C89">
        <w:rPr>
          <w:rFonts w:ascii="Times New Roman" w:hAnsi="Times New Roman" w:cs="Times New Roman"/>
          <w:sz w:val="28"/>
          <w:szCs w:val="28"/>
        </w:rPr>
        <w:t xml:space="preserve"> a series of innovative</w:t>
      </w:r>
      <w:r w:rsidR="002E2E2C">
        <w:rPr>
          <w:rFonts w:ascii="Times New Roman" w:hAnsi="Times New Roman" w:cs="Times New Roman"/>
          <w:sz w:val="28"/>
          <w:szCs w:val="28"/>
        </w:rPr>
        <w:t xml:space="preserve"> legal obligations for </w:t>
      </w:r>
      <w:r w:rsidR="00476C89">
        <w:rPr>
          <w:rFonts w:ascii="Times New Roman" w:hAnsi="Times New Roman" w:cs="Times New Roman"/>
          <w:sz w:val="28"/>
          <w:szCs w:val="28"/>
        </w:rPr>
        <w:t>municipal governments regarding</w:t>
      </w:r>
      <w:r w:rsidR="002E2E2C">
        <w:rPr>
          <w:rFonts w:ascii="Times New Roman" w:hAnsi="Times New Roman" w:cs="Times New Roman"/>
          <w:sz w:val="28"/>
          <w:szCs w:val="28"/>
        </w:rPr>
        <w:t xml:space="preserve"> the provision of</w:t>
      </w:r>
      <w:r w:rsidR="00476C89">
        <w:rPr>
          <w:rFonts w:ascii="Times New Roman" w:hAnsi="Times New Roman" w:cs="Times New Roman"/>
          <w:sz w:val="28"/>
          <w:szCs w:val="28"/>
        </w:rPr>
        <w:t xml:space="preserve"> elderly care services</w:t>
      </w:r>
      <w:r w:rsidR="00A64889">
        <w:rPr>
          <w:rFonts w:ascii="Times New Roman" w:hAnsi="Times New Roman" w:cs="Times New Roman"/>
          <w:sz w:val="28"/>
          <w:szCs w:val="28"/>
        </w:rPr>
        <w:t xml:space="preserve"> (Hagen et al, 2015)</w:t>
      </w:r>
      <w:r w:rsidR="00263966">
        <w:rPr>
          <w:rFonts w:ascii="Times New Roman" w:hAnsi="Times New Roman" w:cs="Times New Roman"/>
          <w:sz w:val="28"/>
          <w:szCs w:val="28"/>
        </w:rPr>
        <w:t xml:space="preserve">: </w:t>
      </w:r>
    </w:p>
    <w:p w:rsidR="00D67282" w:rsidRDefault="00D67282" w:rsidP="00D67282">
      <w:pPr>
        <w:pStyle w:val="NoSpacing"/>
        <w:rPr>
          <w:rFonts w:ascii="Times New Roman" w:hAnsi="Times New Roman"/>
          <w:i/>
          <w:iCs/>
          <w:sz w:val="28"/>
          <w:szCs w:val="28"/>
        </w:rPr>
      </w:pPr>
    </w:p>
    <w:p w:rsidR="00E93C74" w:rsidRPr="008A4D2E" w:rsidRDefault="007B01AA" w:rsidP="00691458">
      <w:pPr>
        <w:pStyle w:val="NoSpacing"/>
        <w:numPr>
          <w:ilvl w:val="0"/>
          <w:numId w:val="13"/>
        </w:numPr>
        <w:rPr>
          <w:rFonts w:ascii="Times New Roman" w:hAnsi="Times New Roman"/>
          <w:sz w:val="28"/>
          <w:szCs w:val="28"/>
        </w:rPr>
      </w:pPr>
      <w:r w:rsidRPr="00E93C74">
        <w:rPr>
          <w:rFonts w:ascii="Times New Roman" w:hAnsi="Times New Roman"/>
          <w:i/>
          <w:iCs/>
          <w:sz w:val="28"/>
          <w:szCs w:val="28"/>
        </w:rPr>
        <w:t>New Municipal-Region Signed Agreements</w:t>
      </w:r>
      <w:r w:rsidR="00D67282">
        <w:rPr>
          <w:rFonts w:ascii="Times New Roman" w:hAnsi="Times New Roman"/>
          <w:i/>
          <w:iCs/>
          <w:sz w:val="28"/>
          <w:szCs w:val="28"/>
        </w:rPr>
        <w:t xml:space="preserve">. </w:t>
      </w:r>
      <w:r w:rsidR="00D67282">
        <w:rPr>
          <w:rFonts w:ascii="Times New Roman" w:hAnsi="Times New Roman"/>
          <w:sz w:val="28"/>
          <w:szCs w:val="28"/>
        </w:rPr>
        <w:t>These formal agreements m</w:t>
      </w:r>
      <w:r w:rsidR="00A202F1">
        <w:rPr>
          <w:rFonts w:ascii="Times New Roman" w:hAnsi="Times New Roman"/>
          <w:sz w:val="28"/>
          <w:szCs w:val="28"/>
        </w:rPr>
        <w:t>ust</w:t>
      </w:r>
      <w:r w:rsidR="00D67282">
        <w:rPr>
          <w:rFonts w:ascii="Times New Roman" w:hAnsi="Times New Roman"/>
          <w:sz w:val="28"/>
          <w:szCs w:val="28"/>
        </w:rPr>
        <w:t xml:space="preserve"> </w:t>
      </w:r>
      <w:r w:rsidR="00E93C74" w:rsidRPr="00E93C74">
        <w:rPr>
          <w:rFonts w:ascii="Times New Roman" w:hAnsi="Times New Roman"/>
          <w:sz w:val="28"/>
          <w:szCs w:val="28"/>
        </w:rPr>
        <w:t xml:space="preserve">be approved by </w:t>
      </w:r>
      <w:r w:rsidR="00D67282">
        <w:rPr>
          <w:rFonts w:ascii="Times New Roman" w:hAnsi="Times New Roman"/>
          <w:sz w:val="28"/>
          <w:szCs w:val="28"/>
        </w:rPr>
        <w:t>the national g</w:t>
      </w:r>
      <w:r w:rsidR="00E93C74" w:rsidRPr="00E93C74">
        <w:rPr>
          <w:rFonts w:ascii="Times New Roman" w:hAnsi="Times New Roman"/>
          <w:sz w:val="28"/>
          <w:szCs w:val="28"/>
        </w:rPr>
        <w:t>overnment</w:t>
      </w:r>
      <w:r w:rsidR="00D67282">
        <w:rPr>
          <w:rFonts w:ascii="Times New Roman" w:hAnsi="Times New Roman"/>
          <w:sz w:val="28"/>
          <w:szCs w:val="28"/>
        </w:rPr>
        <w:t xml:space="preserve">’s ministry of health, </w:t>
      </w:r>
      <w:r w:rsidR="00E93C74" w:rsidRPr="00D67282">
        <w:rPr>
          <w:rFonts w:ascii="Times New Roman" w:hAnsi="Times New Roman"/>
          <w:sz w:val="28"/>
          <w:szCs w:val="28"/>
        </w:rPr>
        <w:t>using national guidelines, st</w:t>
      </w:r>
      <w:r w:rsidR="00D67282">
        <w:rPr>
          <w:rFonts w:ascii="Times New Roman" w:hAnsi="Times New Roman"/>
          <w:sz w:val="28"/>
          <w:szCs w:val="28"/>
        </w:rPr>
        <w:t>andards, and statistical indicators.</w:t>
      </w:r>
      <w:r w:rsidR="00A202F1">
        <w:rPr>
          <w:rFonts w:ascii="Times New Roman" w:hAnsi="Times New Roman"/>
          <w:sz w:val="28"/>
          <w:szCs w:val="28"/>
        </w:rPr>
        <w:t xml:space="preserve"> They</w:t>
      </w:r>
      <w:r w:rsidR="008A4D2E">
        <w:rPr>
          <w:rFonts w:ascii="Times New Roman" w:hAnsi="Times New Roman"/>
          <w:sz w:val="28"/>
          <w:szCs w:val="28"/>
        </w:rPr>
        <w:t xml:space="preserve"> cover</w:t>
      </w:r>
      <w:r w:rsidR="00E93C74" w:rsidRPr="008A4D2E">
        <w:rPr>
          <w:rFonts w:ascii="Times New Roman" w:hAnsi="Times New Roman"/>
          <w:sz w:val="28"/>
          <w:szCs w:val="28"/>
        </w:rPr>
        <w:t xml:space="preserve"> admission, discharge,</w:t>
      </w:r>
      <w:r w:rsidR="008A4D2E">
        <w:rPr>
          <w:rFonts w:ascii="Times New Roman" w:hAnsi="Times New Roman"/>
          <w:sz w:val="28"/>
          <w:szCs w:val="28"/>
        </w:rPr>
        <w:t xml:space="preserve"> and</w:t>
      </w:r>
      <w:r w:rsidR="00E93C74" w:rsidRPr="008A4D2E">
        <w:rPr>
          <w:rFonts w:ascii="Times New Roman" w:hAnsi="Times New Roman"/>
          <w:sz w:val="28"/>
          <w:szCs w:val="28"/>
        </w:rPr>
        <w:t xml:space="preserve"> rehabilitation</w:t>
      </w:r>
      <w:r w:rsidR="008A4D2E">
        <w:rPr>
          <w:rFonts w:ascii="Times New Roman" w:hAnsi="Times New Roman"/>
          <w:sz w:val="28"/>
          <w:szCs w:val="28"/>
        </w:rPr>
        <w:t xml:space="preserve"> procedures</w:t>
      </w:r>
      <w:r w:rsidR="00E93C74" w:rsidRPr="008A4D2E">
        <w:rPr>
          <w:rFonts w:ascii="Times New Roman" w:hAnsi="Times New Roman"/>
          <w:sz w:val="28"/>
          <w:szCs w:val="28"/>
        </w:rPr>
        <w:t xml:space="preserve">, </w:t>
      </w:r>
      <w:r w:rsidR="008A4D2E">
        <w:rPr>
          <w:rFonts w:ascii="Times New Roman" w:hAnsi="Times New Roman"/>
          <w:sz w:val="28"/>
          <w:szCs w:val="28"/>
        </w:rPr>
        <w:t xml:space="preserve">as well as </w:t>
      </w:r>
      <w:r w:rsidR="00E93C74" w:rsidRPr="008A4D2E">
        <w:rPr>
          <w:rFonts w:ascii="Times New Roman" w:hAnsi="Times New Roman"/>
          <w:sz w:val="28"/>
          <w:szCs w:val="28"/>
        </w:rPr>
        <w:t>patient communication</w:t>
      </w:r>
      <w:r w:rsidR="008A4D2E">
        <w:rPr>
          <w:rFonts w:ascii="Times New Roman" w:hAnsi="Times New Roman"/>
          <w:sz w:val="28"/>
          <w:szCs w:val="28"/>
        </w:rPr>
        <w:t>. Th</w:t>
      </w:r>
      <w:r w:rsidR="00A202F1">
        <w:rPr>
          <w:rFonts w:ascii="Times New Roman" w:hAnsi="Times New Roman"/>
          <w:sz w:val="28"/>
          <w:szCs w:val="28"/>
        </w:rPr>
        <w:t xml:space="preserve">ese agreements also must </w:t>
      </w:r>
      <w:r w:rsidR="008A4D2E">
        <w:rPr>
          <w:rFonts w:ascii="Times New Roman" w:hAnsi="Times New Roman"/>
          <w:sz w:val="28"/>
          <w:szCs w:val="28"/>
        </w:rPr>
        <w:t xml:space="preserve">incorporate state-approved </w:t>
      </w:r>
      <w:r w:rsidR="00E93C74" w:rsidRPr="008A4D2E">
        <w:rPr>
          <w:rFonts w:ascii="Times New Roman" w:hAnsi="Times New Roman"/>
          <w:sz w:val="28"/>
          <w:szCs w:val="28"/>
        </w:rPr>
        <w:t>follow-</w:t>
      </w:r>
      <w:r w:rsidR="008A4D2E" w:rsidRPr="008A4D2E">
        <w:rPr>
          <w:rFonts w:ascii="Times New Roman" w:hAnsi="Times New Roman"/>
          <w:sz w:val="28"/>
          <w:szCs w:val="28"/>
        </w:rPr>
        <w:t>up and accountability procedure</w:t>
      </w:r>
      <w:r w:rsidR="008A4D2E">
        <w:rPr>
          <w:rFonts w:ascii="Times New Roman" w:hAnsi="Times New Roman"/>
          <w:sz w:val="28"/>
          <w:szCs w:val="28"/>
        </w:rPr>
        <w:t>s.</w:t>
      </w:r>
    </w:p>
    <w:p w:rsidR="008A4D2E" w:rsidRDefault="008A4D2E" w:rsidP="008A4D2E">
      <w:pPr>
        <w:pStyle w:val="NoSpacing"/>
        <w:ind w:left="1440"/>
        <w:rPr>
          <w:rFonts w:ascii="Times New Roman" w:hAnsi="Times New Roman"/>
          <w:i/>
          <w:iCs/>
          <w:sz w:val="28"/>
          <w:szCs w:val="28"/>
        </w:rPr>
      </w:pPr>
    </w:p>
    <w:p w:rsidR="00E93C74" w:rsidRPr="00D43ED4" w:rsidRDefault="007B01AA" w:rsidP="00E93C74">
      <w:pPr>
        <w:pStyle w:val="NoSpacing"/>
        <w:numPr>
          <w:ilvl w:val="0"/>
          <w:numId w:val="13"/>
        </w:numPr>
        <w:rPr>
          <w:rFonts w:ascii="Times New Roman" w:hAnsi="Times New Roman"/>
          <w:sz w:val="28"/>
          <w:szCs w:val="28"/>
        </w:rPr>
      </w:pPr>
      <w:r w:rsidRPr="00E93C74">
        <w:rPr>
          <w:rFonts w:ascii="Times New Roman" w:hAnsi="Times New Roman"/>
          <w:i/>
          <w:iCs/>
          <w:sz w:val="28"/>
          <w:szCs w:val="28"/>
        </w:rPr>
        <w:t>New Muni</w:t>
      </w:r>
      <w:r w:rsidR="008A4D2E">
        <w:rPr>
          <w:rFonts w:ascii="Times New Roman" w:hAnsi="Times New Roman"/>
          <w:i/>
          <w:iCs/>
          <w:sz w:val="28"/>
          <w:szCs w:val="28"/>
        </w:rPr>
        <w:t>cipal Financial Responsibilities.</w:t>
      </w:r>
      <w:r w:rsidR="008A4D2E">
        <w:rPr>
          <w:rFonts w:ascii="Times New Roman" w:hAnsi="Times New Roman"/>
          <w:sz w:val="28"/>
          <w:szCs w:val="28"/>
        </w:rPr>
        <w:t xml:space="preserve"> The new framework requires </w:t>
      </w:r>
      <w:r w:rsidR="00E93C74" w:rsidRPr="008A4D2E">
        <w:rPr>
          <w:rFonts w:ascii="Times New Roman" w:hAnsi="Times New Roman"/>
          <w:sz w:val="28"/>
          <w:szCs w:val="28"/>
        </w:rPr>
        <w:t xml:space="preserve">20% municipal co-financing of all patient treatment in </w:t>
      </w:r>
      <w:r w:rsidR="00D43ED4">
        <w:rPr>
          <w:rFonts w:ascii="Times New Roman" w:hAnsi="Times New Roman"/>
          <w:sz w:val="28"/>
          <w:szCs w:val="28"/>
        </w:rPr>
        <w:t xml:space="preserve">hospital’s </w:t>
      </w:r>
      <w:r w:rsidR="00E93C74" w:rsidRPr="008A4D2E">
        <w:rPr>
          <w:rFonts w:ascii="Times New Roman" w:hAnsi="Times New Roman"/>
          <w:sz w:val="28"/>
          <w:szCs w:val="28"/>
        </w:rPr>
        <w:t>internal medicine</w:t>
      </w:r>
      <w:r w:rsidR="008A4D2E">
        <w:rPr>
          <w:rFonts w:ascii="Times New Roman" w:hAnsi="Times New Roman"/>
          <w:sz w:val="28"/>
          <w:szCs w:val="28"/>
        </w:rPr>
        <w:t xml:space="preserve"> </w:t>
      </w:r>
      <w:r w:rsidR="00E93C74" w:rsidRPr="008A4D2E">
        <w:rPr>
          <w:rFonts w:ascii="Times New Roman" w:hAnsi="Times New Roman"/>
          <w:sz w:val="28"/>
          <w:szCs w:val="28"/>
        </w:rPr>
        <w:t>and outpatient departments</w:t>
      </w:r>
      <w:r w:rsidR="008A4D2E">
        <w:rPr>
          <w:rFonts w:ascii="Times New Roman" w:hAnsi="Times New Roman"/>
          <w:sz w:val="28"/>
          <w:szCs w:val="28"/>
        </w:rPr>
        <w:t>, to encourage more effective (since 2003 private) primary care (which municipalities supervise).</w:t>
      </w:r>
      <w:r w:rsidR="00963E8D">
        <w:rPr>
          <w:rFonts w:ascii="Times New Roman" w:hAnsi="Times New Roman"/>
          <w:sz w:val="28"/>
          <w:szCs w:val="28"/>
        </w:rPr>
        <w:t xml:space="preserve"> Moreover, the reform establishes a </w:t>
      </w:r>
      <w:r w:rsidR="00E93C74" w:rsidRPr="00963E8D">
        <w:rPr>
          <w:rFonts w:ascii="Times New Roman" w:hAnsi="Times New Roman"/>
          <w:sz w:val="28"/>
          <w:szCs w:val="28"/>
        </w:rPr>
        <w:t xml:space="preserve">4000 NOK fee per day </w:t>
      </w:r>
      <w:r w:rsidR="00963E8D">
        <w:rPr>
          <w:rFonts w:ascii="Times New Roman" w:hAnsi="Times New Roman"/>
          <w:sz w:val="28"/>
          <w:szCs w:val="28"/>
        </w:rPr>
        <w:t xml:space="preserve">to be </w:t>
      </w:r>
      <w:r w:rsidR="00E93C74" w:rsidRPr="00963E8D">
        <w:rPr>
          <w:rFonts w:ascii="Times New Roman" w:hAnsi="Times New Roman"/>
          <w:sz w:val="28"/>
          <w:szCs w:val="28"/>
        </w:rPr>
        <w:t xml:space="preserve">paid to </w:t>
      </w:r>
      <w:r w:rsidR="00963E8D">
        <w:rPr>
          <w:rFonts w:ascii="Times New Roman" w:hAnsi="Times New Roman"/>
          <w:sz w:val="28"/>
          <w:szCs w:val="28"/>
        </w:rPr>
        <w:t xml:space="preserve">the </w:t>
      </w:r>
      <w:r w:rsidR="00E93C74" w:rsidRPr="00963E8D">
        <w:rPr>
          <w:rFonts w:ascii="Times New Roman" w:hAnsi="Times New Roman"/>
          <w:sz w:val="28"/>
          <w:szCs w:val="28"/>
        </w:rPr>
        <w:t xml:space="preserve">hospital by </w:t>
      </w:r>
      <w:r w:rsidR="00963E8D">
        <w:rPr>
          <w:rFonts w:ascii="Times New Roman" w:hAnsi="Times New Roman"/>
          <w:sz w:val="28"/>
          <w:szCs w:val="28"/>
        </w:rPr>
        <w:t xml:space="preserve">a </w:t>
      </w:r>
      <w:r w:rsidR="00D43ED4">
        <w:rPr>
          <w:rFonts w:ascii="Times New Roman" w:hAnsi="Times New Roman"/>
          <w:sz w:val="28"/>
          <w:szCs w:val="28"/>
        </w:rPr>
        <w:t>municipality if it isn’t ready to</w:t>
      </w:r>
      <w:r w:rsidR="00E93C74" w:rsidRPr="00963E8D">
        <w:rPr>
          <w:rFonts w:ascii="Times New Roman" w:hAnsi="Times New Roman"/>
          <w:sz w:val="28"/>
          <w:szCs w:val="28"/>
        </w:rPr>
        <w:t xml:space="preserve"> take back </w:t>
      </w:r>
      <w:r w:rsidR="00E93C74" w:rsidRPr="00D43ED4">
        <w:rPr>
          <w:rFonts w:ascii="Times New Roman" w:hAnsi="Times New Roman"/>
          <w:sz w:val="28"/>
          <w:szCs w:val="28"/>
        </w:rPr>
        <w:t>“finished patients”</w:t>
      </w:r>
      <w:r w:rsidR="00D43ED4">
        <w:rPr>
          <w:rFonts w:ascii="Times New Roman" w:hAnsi="Times New Roman"/>
          <w:sz w:val="28"/>
          <w:szCs w:val="28"/>
        </w:rPr>
        <w:t xml:space="preserve"> (e</w:t>
      </w:r>
      <w:r w:rsidR="005E4726">
        <w:rPr>
          <w:rFonts w:ascii="Times New Roman" w:hAnsi="Times New Roman"/>
          <w:sz w:val="28"/>
          <w:szCs w:val="28"/>
        </w:rPr>
        <w:t>.</w:t>
      </w:r>
      <w:r w:rsidR="00D43ED4">
        <w:rPr>
          <w:rFonts w:ascii="Times New Roman" w:hAnsi="Times New Roman"/>
          <w:sz w:val="28"/>
          <w:szCs w:val="28"/>
        </w:rPr>
        <w:t>g</w:t>
      </w:r>
      <w:r w:rsidR="005E4726">
        <w:rPr>
          <w:rFonts w:ascii="Times New Roman" w:hAnsi="Times New Roman"/>
          <w:sz w:val="28"/>
          <w:szCs w:val="28"/>
        </w:rPr>
        <w:t>.,</w:t>
      </w:r>
      <w:r w:rsidR="00D43ED4">
        <w:rPr>
          <w:rFonts w:ascii="Times New Roman" w:hAnsi="Times New Roman"/>
          <w:sz w:val="28"/>
          <w:szCs w:val="28"/>
        </w:rPr>
        <w:t xml:space="preserve"> bed blockers)</w:t>
      </w:r>
      <w:r w:rsidR="00E93C74" w:rsidRPr="00D43ED4">
        <w:rPr>
          <w:rFonts w:ascii="Times New Roman" w:hAnsi="Times New Roman"/>
          <w:sz w:val="28"/>
          <w:szCs w:val="28"/>
        </w:rPr>
        <w:t xml:space="preserve"> into </w:t>
      </w:r>
      <w:r w:rsidR="00963E8D" w:rsidRPr="00D43ED4">
        <w:rPr>
          <w:rFonts w:ascii="Times New Roman" w:hAnsi="Times New Roman"/>
          <w:sz w:val="28"/>
          <w:szCs w:val="28"/>
        </w:rPr>
        <w:t>municipally organized long</w:t>
      </w:r>
      <w:r w:rsidR="005E4726">
        <w:rPr>
          <w:rFonts w:ascii="Times New Roman" w:hAnsi="Times New Roman"/>
          <w:sz w:val="28"/>
          <w:szCs w:val="28"/>
        </w:rPr>
        <w:t>-</w:t>
      </w:r>
      <w:r w:rsidR="00963E8D" w:rsidRPr="00D43ED4">
        <w:rPr>
          <w:rFonts w:ascii="Times New Roman" w:hAnsi="Times New Roman"/>
          <w:sz w:val="28"/>
          <w:szCs w:val="28"/>
        </w:rPr>
        <w:t xml:space="preserve">term care/home care </w:t>
      </w:r>
      <w:r w:rsidR="00E93C74" w:rsidRPr="00D43ED4">
        <w:rPr>
          <w:rFonts w:ascii="Times New Roman" w:hAnsi="Times New Roman"/>
          <w:sz w:val="28"/>
          <w:szCs w:val="28"/>
        </w:rPr>
        <w:t>(</w:t>
      </w:r>
      <w:r w:rsidR="00963E8D" w:rsidRPr="00D43ED4">
        <w:rPr>
          <w:rFonts w:ascii="Times New Roman" w:hAnsi="Times New Roman"/>
          <w:sz w:val="28"/>
          <w:szCs w:val="28"/>
        </w:rPr>
        <w:t xml:space="preserve">this last requirement parallels </w:t>
      </w:r>
      <w:r w:rsidR="00E93C74" w:rsidRPr="00D43ED4">
        <w:rPr>
          <w:rFonts w:ascii="Times New Roman" w:hAnsi="Times New Roman"/>
          <w:sz w:val="28"/>
          <w:szCs w:val="28"/>
        </w:rPr>
        <w:t>similar</w:t>
      </w:r>
      <w:r w:rsidR="00D43ED4">
        <w:rPr>
          <w:rFonts w:ascii="Times New Roman" w:hAnsi="Times New Roman"/>
          <w:sz w:val="28"/>
          <w:szCs w:val="28"/>
        </w:rPr>
        <w:t xml:space="preserve"> regulations creating </w:t>
      </w:r>
      <w:r w:rsidR="004C747F" w:rsidRPr="00D43ED4">
        <w:rPr>
          <w:rFonts w:ascii="Times New Roman" w:hAnsi="Times New Roman"/>
          <w:sz w:val="28"/>
          <w:szCs w:val="28"/>
        </w:rPr>
        <w:t xml:space="preserve">market-style incentives put in place between parallel public sector budgets in </w:t>
      </w:r>
      <w:r w:rsidR="00E93C74" w:rsidRPr="00D43ED4">
        <w:rPr>
          <w:rFonts w:ascii="Times New Roman" w:hAnsi="Times New Roman"/>
          <w:sz w:val="28"/>
          <w:szCs w:val="28"/>
        </w:rPr>
        <w:t xml:space="preserve">Sweden </w:t>
      </w:r>
      <w:r w:rsidR="004C747F" w:rsidRPr="00D43ED4">
        <w:rPr>
          <w:rFonts w:ascii="Times New Roman" w:hAnsi="Times New Roman"/>
          <w:sz w:val="28"/>
          <w:szCs w:val="28"/>
        </w:rPr>
        <w:t xml:space="preserve">with its </w:t>
      </w:r>
      <w:r w:rsidR="00E93C74" w:rsidRPr="00D43ED4">
        <w:rPr>
          <w:rFonts w:ascii="Times New Roman" w:hAnsi="Times New Roman"/>
          <w:sz w:val="28"/>
          <w:szCs w:val="28"/>
        </w:rPr>
        <w:t>ADEL Reform</w:t>
      </w:r>
      <w:r w:rsidR="004C747F" w:rsidRPr="00D43ED4">
        <w:rPr>
          <w:rFonts w:ascii="Times New Roman" w:hAnsi="Times New Roman"/>
          <w:sz w:val="28"/>
          <w:szCs w:val="28"/>
        </w:rPr>
        <w:t xml:space="preserve"> in</w:t>
      </w:r>
      <w:r w:rsidR="00E93C74" w:rsidRPr="00D43ED4">
        <w:rPr>
          <w:rFonts w:ascii="Times New Roman" w:hAnsi="Times New Roman"/>
          <w:sz w:val="28"/>
          <w:szCs w:val="28"/>
        </w:rPr>
        <w:t xml:space="preserve"> 1992).</w:t>
      </w:r>
    </w:p>
    <w:p w:rsidR="008F471A" w:rsidRDefault="008F471A" w:rsidP="008F471A">
      <w:pPr>
        <w:pStyle w:val="NoSpacing"/>
        <w:rPr>
          <w:rFonts w:ascii="Times New Roman" w:hAnsi="Times New Roman"/>
          <w:sz w:val="28"/>
          <w:szCs w:val="28"/>
        </w:rPr>
      </w:pPr>
    </w:p>
    <w:p w:rsidR="00E93C74" w:rsidRDefault="007B01AA" w:rsidP="00691458">
      <w:pPr>
        <w:pStyle w:val="NoSpacing"/>
        <w:numPr>
          <w:ilvl w:val="0"/>
          <w:numId w:val="14"/>
        </w:numPr>
        <w:rPr>
          <w:rFonts w:ascii="Times New Roman" w:hAnsi="Times New Roman"/>
          <w:sz w:val="28"/>
          <w:szCs w:val="28"/>
        </w:rPr>
      </w:pPr>
      <w:r w:rsidRPr="00E93C74">
        <w:rPr>
          <w:rFonts w:ascii="Times New Roman" w:hAnsi="Times New Roman"/>
          <w:i/>
          <w:iCs/>
          <w:sz w:val="28"/>
          <w:szCs w:val="28"/>
        </w:rPr>
        <w:t>Municipal Patient Treatment Responsibilities</w:t>
      </w:r>
      <w:r w:rsidR="008F471A">
        <w:rPr>
          <w:rFonts w:ascii="Times New Roman" w:hAnsi="Times New Roman"/>
          <w:i/>
          <w:iCs/>
          <w:sz w:val="28"/>
          <w:szCs w:val="28"/>
        </w:rPr>
        <w:t>.</w:t>
      </w:r>
      <w:r w:rsidR="008F471A">
        <w:rPr>
          <w:rFonts w:ascii="Times New Roman" w:hAnsi="Times New Roman"/>
          <w:sz w:val="28"/>
          <w:szCs w:val="28"/>
        </w:rPr>
        <w:t xml:space="preserve"> </w:t>
      </w:r>
      <w:r w:rsidR="00E93C74" w:rsidRPr="008F471A">
        <w:rPr>
          <w:rFonts w:ascii="Times New Roman" w:hAnsi="Times New Roman"/>
          <w:sz w:val="28"/>
          <w:szCs w:val="28"/>
        </w:rPr>
        <w:t>Every municipality must set up a MAU/Municipal Acute Bed Unit</w:t>
      </w:r>
      <w:r w:rsidR="008F471A">
        <w:rPr>
          <w:rFonts w:ascii="Times New Roman" w:hAnsi="Times New Roman"/>
          <w:sz w:val="28"/>
          <w:szCs w:val="28"/>
        </w:rPr>
        <w:t xml:space="preserve">, capable of </w:t>
      </w:r>
      <w:r w:rsidR="00E93C74" w:rsidRPr="008F471A">
        <w:rPr>
          <w:rFonts w:ascii="Times New Roman" w:hAnsi="Times New Roman"/>
          <w:sz w:val="28"/>
          <w:szCs w:val="28"/>
        </w:rPr>
        <w:t>treat</w:t>
      </w:r>
      <w:r w:rsidR="008F471A">
        <w:rPr>
          <w:rFonts w:ascii="Times New Roman" w:hAnsi="Times New Roman"/>
          <w:sz w:val="28"/>
          <w:szCs w:val="28"/>
        </w:rPr>
        <w:t>ing</w:t>
      </w:r>
      <w:r w:rsidR="00E93C74" w:rsidRPr="008F471A">
        <w:rPr>
          <w:rFonts w:ascii="Times New Roman" w:hAnsi="Times New Roman"/>
          <w:sz w:val="28"/>
          <w:szCs w:val="28"/>
        </w:rPr>
        <w:t xml:space="preserve"> stable patients with </w:t>
      </w:r>
      <w:r w:rsidR="008F471A">
        <w:rPr>
          <w:rFonts w:ascii="Times New Roman" w:hAnsi="Times New Roman"/>
          <w:sz w:val="28"/>
          <w:szCs w:val="28"/>
        </w:rPr>
        <w:t xml:space="preserve">a </w:t>
      </w:r>
      <w:r w:rsidR="00E93C74" w:rsidRPr="008F471A">
        <w:rPr>
          <w:rFonts w:ascii="Times New Roman" w:hAnsi="Times New Roman"/>
          <w:sz w:val="28"/>
          <w:szCs w:val="28"/>
        </w:rPr>
        <w:t>known diagnosis</w:t>
      </w:r>
      <w:r w:rsidR="008F471A">
        <w:rPr>
          <w:rFonts w:ascii="Times New Roman" w:hAnsi="Times New Roman"/>
          <w:sz w:val="28"/>
          <w:szCs w:val="28"/>
        </w:rPr>
        <w:t>, and with o</w:t>
      </w:r>
      <w:r w:rsidR="00E93C74" w:rsidRPr="008F471A">
        <w:rPr>
          <w:rFonts w:ascii="Times New Roman" w:hAnsi="Times New Roman"/>
          <w:sz w:val="28"/>
          <w:szCs w:val="28"/>
        </w:rPr>
        <w:t>bservation beds for evaluation</w:t>
      </w:r>
      <w:r w:rsidR="008F471A">
        <w:rPr>
          <w:rFonts w:ascii="Times New Roman" w:hAnsi="Times New Roman"/>
          <w:sz w:val="28"/>
          <w:szCs w:val="28"/>
        </w:rPr>
        <w:t>.</w:t>
      </w:r>
      <w:r w:rsidR="00E93C74" w:rsidRPr="008F471A">
        <w:rPr>
          <w:rFonts w:ascii="Times New Roman" w:hAnsi="Times New Roman"/>
          <w:b/>
          <w:bCs/>
          <w:sz w:val="28"/>
          <w:szCs w:val="28"/>
        </w:rPr>
        <w:t xml:space="preserve"> </w:t>
      </w:r>
      <w:r w:rsidR="008F471A">
        <w:rPr>
          <w:rFonts w:ascii="Times New Roman" w:hAnsi="Times New Roman"/>
          <w:sz w:val="28"/>
          <w:szCs w:val="28"/>
        </w:rPr>
        <w:t>O</w:t>
      </w:r>
      <w:r w:rsidR="00E93C74" w:rsidRPr="008F471A">
        <w:rPr>
          <w:rFonts w:ascii="Times New Roman" w:hAnsi="Times New Roman"/>
          <w:sz w:val="28"/>
          <w:szCs w:val="28"/>
        </w:rPr>
        <w:t xml:space="preserve">perating costs </w:t>
      </w:r>
      <w:r w:rsidR="008F471A">
        <w:rPr>
          <w:rFonts w:ascii="Times New Roman" w:hAnsi="Times New Roman"/>
          <w:sz w:val="28"/>
          <w:szCs w:val="28"/>
        </w:rPr>
        <w:t xml:space="preserve">for these new step-down units are to be </w:t>
      </w:r>
      <w:r w:rsidR="00E93C74" w:rsidRPr="008F471A">
        <w:rPr>
          <w:rFonts w:ascii="Times New Roman" w:hAnsi="Times New Roman"/>
          <w:sz w:val="28"/>
          <w:szCs w:val="28"/>
        </w:rPr>
        <w:t>partly funded by regions</w:t>
      </w:r>
      <w:r w:rsidR="008F471A">
        <w:rPr>
          <w:rFonts w:ascii="Times New Roman" w:hAnsi="Times New Roman"/>
          <w:sz w:val="28"/>
          <w:szCs w:val="28"/>
        </w:rPr>
        <w:t>.</w:t>
      </w:r>
    </w:p>
    <w:p w:rsidR="00F7277E" w:rsidRDefault="00F7277E" w:rsidP="00FE129C">
      <w:pPr>
        <w:pStyle w:val="NoSpacing"/>
        <w:rPr>
          <w:rFonts w:ascii="Times New Roman" w:hAnsi="Times New Roman"/>
          <w:sz w:val="28"/>
          <w:szCs w:val="28"/>
        </w:rPr>
      </w:pPr>
    </w:p>
    <w:p w:rsidR="00FE129C" w:rsidRDefault="008F471A" w:rsidP="00FE129C">
      <w:pPr>
        <w:pStyle w:val="NoSpacing"/>
        <w:rPr>
          <w:rFonts w:ascii="Times New Roman" w:hAnsi="Times New Roman"/>
          <w:sz w:val="28"/>
          <w:szCs w:val="28"/>
        </w:rPr>
      </w:pPr>
      <w:r>
        <w:rPr>
          <w:rFonts w:ascii="Times New Roman" w:hAnsi="Times New Roman"/>
          <w:sz w:val="28"/>
          <w:szCs w:val="28"/>
        </w:rPr>
        <w:t>In addition to these MAU units, s</w:t>
      </w:r>
      <w:r w:rsidRPr="00E93C74">
        <w:rPr>
          <w:rFonts w:ascii="Times New Roman" w:hAnsi="Times New Roman"/>
          <w:sz w:val="28"/>
          <w:szCs w:val="28"/>
        </w:rPr>
        <w:t>ome municipalities</w:t>
      </w:r>
      <w:r>
        <w:rPr>
          <w:rFonts w:ascii="Times New Roman" w:hAnsi="Times New Roman"/>
          <w:sz w:val="28"/>
          <w:szCs w:val="28"/>
        </w:rPr>
        <w:t xml:space="preserve"> also</w:t>
      </w:r>
      <w:r w:rsidRPr="00E93C74">
        <w:rPr>
          <w:rFonts w:ascii="Times New Roman" w:hAnsi="Times New Roman"/>
          <w:sz w:val="28"/>
          <w:szCs w:val="28"/>
        </w:rPr>
        <w:t xml:space="preserve"> have embedded primary care units in</w:t>
      </w:r>
      <w:r w:rsidR="00FE129C">
        <w:rPr>
          <w:rFonts w:ascii="Times New Roman" w:hAnsi="Times New Roman"/>
          <w:sz w:val="28"/>
          <w:szCs w:val="28"/>
        </w:rPr>
        <w:t>to their</w:t>
      </w:r>
      <w:r w:rsidRPr="00E93C74">
        <w:rPr>
          <w:rFonts w:ascii="Times New Roman" w:hAnsi="Times New Roman"/>
          <w:sz w:val="28"/>
          <w:szCs w:val="28"/>
        </w:rPr>
        <w:t xml:space="preserve"> regional hospitals</w:t>
      </w:r>
      <w:r w:rsidR="00FE129C">
        <w:rPr>
          <w:rFonts w:ascii="Times New Roman" w:hAnsi="Times New Roman"/>
          <w:sz w:val="28"/>
          <w:szCs w:val="28"/>
        </w:rPr>
        <w:t>.</w:t>
      </w:r>
      <w:r>
        <w:rPr>
          <w:rFonts w:ascii="Times New Roman" w:hAnsi="Times New Roman"/>
          <w:sz w:val="28"/>
          <w:szCs w:val="28"/>
        </w:rPr>
        <w:t xml:space="preserve"> Other</w:t>
      </w:r>
      <w:r w:rsidR="00FE129C">
        <w:rPr>
          <w:rFonts w:ascii="Times New Roman" w:hAnsi="Times New Roman"/>
          <w:sz w:val="28"/>
          <w:szCs w:val="28"/>
        </w:rPr>
        <w:t xml:space="preserve"> nationally imposed</w:t>
      </w:r>
      <w:r>
        <w:rPr>
          <w:rFonts w:ascii="Times New Roman" w:hAnsi="Times New Roman"/>
          <w:sz w:val="28"/>
          <w:szCs w:val="28"/>
        </w:rPr>
        <w:t xml:space="preserve"> requirements of the 2012 reform are that</w:t>
      </w:r>
      <w:r w:rsidR="005E4726">
        <w:rPr>
          <w:rFonts w:ascii="Times New Roman" w:hAnsi="Times New Roman"/>
          <w:sz w:val="28"/>
          <w:szCs w:val="28"/>
        </w:rPr>
        <w:t>:</w:t>
      </w:r>
    </w:p>
    <w:p w:rsidR="00E93C74" w:rsidRPr="00E93C74" w:rsidRDefault="00E93C74" w:rsidP="00691458">
      <w:pPr>
        <w:pStyle w:val="NoSpacing"/>
        <w:numPr>
          <w:ilvl w:val="0"/>
          <w:numId w:val="14"/>
        </w:numPr>
        <w:rPr>
          <w:rFonts w:ascii="Times New Roman" w:hAnsi="Times New Roman"/>
          <w:sz w:val="28"/>
          <w:szCs w:val="28"/>
        </w:rPr>
      </w:pPr>
      <w:r w:rsidRPr="00E93C74">
        <w:rPr>
          <w:rFonts w:ascii="Times New Roman" w:hAnsi="Times New Roman"/>
          <w:sz w:val="28"/>
          <w:szCs w:val="28"/>
        </w:rPr>
        <w:t>Every municipality must have a home-focused rehabilitation program</w:t>
      </w:r>
      <w:r w:rsidR="005E4726">
        <w:rPr>
          <w:rFonts w:ascii="Times New Roman" w:hAnsi="Times New Roman"/>
          <w:sz w:val="28"/>
          <w:szCs w:val="28"/>
        </w:rPr>
        <w:t>;</w:t>
      </w:r>
    </w:p>
    <w:p w:rsidR="00E93C74" w:rsidRPr="00FE129C" w:rsidRDefault="00E93C74" w:rsidP="00691458">
      <w:pPr>
        <w:pStyle w:val="NoSpacing"/>
        <w:numPr>
          <w:ilvl w:val="0"/>
          <w:numId w:val="14"/>
        </w:numPr>
        <w:rPr>
          <w:rFonts w:ascii="Times New Roman" w:hAnsi="Times New Roman"/>
          <w:sz w:val="28"/>
          <w:szCs w:val="28"/>
        </w:rPr>
      </w:pPr>
      <w:r w:rsidRPr="00E93C74">
        <w:rPr>
          <w:rFonts w:ascii="Times New Roman" w:hAnsi="Times New Roman"/>
          <w:sz w:val="28"/>
          <w:szCs w:val="28"/>
        </w:rPr>
        <w:t>Every municipality/region must imp</w:t>
      </w:r>
      <w:r w:rsidR="00FE129C">
        <w:rPr>
          <w:rFonts w:ascii="Times New Roman" w:hAnsi="Times New Roman"/>
          <w:sz w:val="28"/>
          <w:szCs w:val="28"/>
        </w:rPr>
        <w:t>lement National Pathways Programs, with t</w:t>
      </w:r>
      <w:r w:rsidRPr="00FE129C">
        <w:rPr>
          <w:rFonts w:ascii="Times New Roman" w:hAnsi="Times New Roman"/>
          <w:sz w:val="28"/>
          <w:szCs w:val="28"/>
        </w:rPr>
        <w:t>reatment protocols for cross-sectoral conditions (diabetes, heart, etc</w:t>
      </w:r>
      <w:r w:rsidR="005E4726">
        <w:rPr>
          <w:rFonts w:ascii="Times New Roman" w:hAnsi="Times New Roman"/>
          <w:sz w:val="28"/>
          <w:szCs w:val="28"/>
        </w:rPr>
        <w:t>.</w:t>
      </w:r>
      <w:r w:rsidRPr="00FE129C">
        <w:rPr>
          <w:rFonts w:ascii="Times New Roman" w:hAnsi="Times New Roman"/>
          <w:sz w:val="28"/>
          <w:szCs w:val="28"/>
        </w:rPr>
        <w:t>)</w:t>
      </w:r>
      <w:r w:rsidR="005E4726">
        <w:rPr>
          <w:rFonts w:ascii="Times New Roman" w:hAnsi="Times New Roman"/>
          <w:sz w:val="28"/>
          <w:szCs w:val="28"/>
        </w:rPr>
        <w:t>.</w:t>
      </w:r>
    </w:p>
    <w:p w:rsidR="00E93C74" w:rsidRPr="00E93C74" w:rsidRDefault="00E93C74" w:rsidP="00E93C74">
      <w:pPr>
        <w:pStyle w:val="NoSpacing"/>
        <w:rPr>
          <w:rFonts w:ascii="Times New Roman" w:hAnsi="Times New Roman"/>
          <w:sz w:val="28"/>
          <w:szCs w:val="28"/>
        </w:rPr>
      </w:pPr>
    </w:p>
    <w:p w:rsidR="00D85E64" w:rsidRDefault="00D83AEF" w:rsidP="0004345A">
      <w:pPr>
        <w:pStyle w:val="NoSpacing"/>
        <w:rPr>
          <w:rFonts w:ascii="Times New Roman" w:hAnsi="Times New Roman" w:cs="Times New Roman"/>
          <w:b/>
          <w:sz w:val="28"/>
          <w:szCs w:val="28"/>
        </w:rPr>
      </w:pPr>
      <w:r w:rsidRPr="00857B24">
        <w:rPr>
          <w:rFonts w:ascii="Times New Roman" w:hAnsi="Times New Roman" w:cs="Times New Roman"/>
          <w:b/>
          <w:sz w:val="28"/>
          <w:szCs w:val="28"/>
        </w:rPr>
        <w:t>Denmark</w:t>
      </w:r>
    </w:p>
    <w:p w:rsidR="00C30FF4" w:rsidRDefault="00C30FF4" w:rsidP="0004345A">
      <w:pPr>
        <w:pStyle w:val="NoSpacing"/>
        <w:rPr>
          <w:rFonts w:ascii="Times New Roman" w:hAnsi="Times New Roman" w:cs="Times New Roman"/>
          <w:b/>
          <w:sz w:val="28"/>
          <w:szCs w:val="28"/>
        </w:rPr>
      </w:pPr>
    </w:p>
    <w:p w:rsidR="00C30FF4" w:rsidRDefault="00227726" w:rsidP="0004345A">
      <w:pPr>
        <w:pStyle w:val="NoSpacing"/>
        <w:rPr>
          <w:rFonts w:ascii="Times New Roman" w:hAnsi="Times New Roman" w:cs="Times New Roman"/>
          <w:sz w:val="28"/>
          <w:szCs w:val="28"/>
        </w:rPr>
      </w:pPr>
      <w:r>
        <w:rPr>
          <w:rFonts w:ascii="Times New Roman" w:hAnsi="Times New Roman" w:cs="Times New Roman"/>
          <w:sz w:val="28"/>
          <w:szCs w:val="28"/>
        </w:rPr>
        <w:t>During a similar</w:t>
      </w:r>
      <w:r w:rsidR="00D83AEF">
        <w:rPr>
          <w:rFonts w:ascii="Times New Roman" w:hAnsi="Times New Roman" w:cs="Times New Roman"/>
          <w:sz w:val="28"/>
          <w:szCs w:val="28"/>
        </w:rPr>
        <w:t xml:space="preserve"> time peri</w:t>
      </w:r>
      <w:r w:rsidR="005E60F5">
        <w:rPr>
          <w:rFonts w:ascii="Times New Roman" w:hAnsi="Times New Roman" w:cs="Times New Roman"/>
          <w:sz w:val="28"/>
          <w:szCs w:val="28"/>
        </w:rPr>
        <w:t>od to</w:t>
      </w:r>
      <w:r>
        <w:rPr>
          <w:rFonts w:ascii="Times New Roman" w:hAnsi="Times New Roman" w:cs="Times New Roman"/>
          <w:sz w:val="28"/>
          <w:szCs w:val="28"/>
        </w:rPr>
        <w:t xml:space="preserve"> Norway</w:t>
      </w:r>
      <w:r w:rsidR="00793755">
        <w:rPr>
          <w:rFonts w:ascii="Times New Roman" w:hAnsi="Times New Roman" w:cs="Times New Roman"/>
          <w:sz w:val="28"/>
          <w:szCs w:val="28"/>
        </w:rPr>
        <w:t>, Denmark</w:t>
      </w:r>
      <w:r>
        <w:rPr>
          <w:rFonts w:ascii="Times New Roman" w:hAnsi="Times New Roman" w:cs="Times New Roman"/>
          <w:sz w:val="28"/>
          <w:szCs w:val="28"/>
        </w:rPr>
        <w:t xml:space="preserve"> (2007-</w:t>
      </w:r>
      <w:r w:rsidR="00793755">
        <w:rPr>
          <w:rFonts w:ascii="Times New Roman" w:hAnsi="Times New Roman" w:cs="Times New Roman"/>
          <w:sz w:val="28"/>
          <w:szCs w:val="28"/>
        </w:rPr>
        <w:t>2012)</w:t>
      </w:r>
      <w:r w:rsidR="000926BF">
        <w:rPr>
          <w:rFonts w:ascii="Times New Roman" w:hAnsi="Times New Roman" w:cs="Times New Roman"/>
          <w:sz w:val="28"/>
          <w:szCs w:val="28"/>
        </w:rPr>
        <w:t xml:space="preserve"> </w:t>
      </w:r>
      <w:r w:rsidR="00D83AEF">
        <w:rPr>
          <w:rFonts w:ascii="Times New Roman" w:hAnsi="Times New Roman" w:cs="Times New Roman"/>
          <w:sz w:val="28"/>
          <w:szCs w:val="28"/>
        </w:rPr>
        <w:t>introdu</w:t>
      </w:r>
      <w:r w:rsidR="000926BF">
        <w:rPr>
          <w:rFonts w:ascii="Times New Roman" w:hAnsi="Times New Roman" w:cs="Times New Roman"/>
          <w:sz w:val="28"/>
          <w:szCs w:val="28"/>
        </w:rPr>
        <w:t>ced a roughly parallel</w:t>
      </w:r>
      <w:r w:rsidR="00D83AEF">
        <w:rPr>
          <w:rFonts w:ascii="Times New Roman" w:hAnsi="Times New Roman" w:cs="Times New Roman"/>
          <w:sz w:val="28"/>
          <w:szCs w:val="28"/>
        </w:rPr>
        <w:t xml:space="preserve"> set of new responsibilities for </w:t>
      </w:r>
      <w:r w:rsidR="00857B24">
        <w:rPr>
          <w:rFonts w:ascii="Times New Roman" w:hAnsi="Times New Roman" w:cs="Times New Roman"/>
          <w:sz w:val="28"/>
          <w:szCs w:val="28"/>
        </w:rPr>
        <w:t xml:space="preserve">its </w:t>
      </w:r>
      <w:r w:rsidR="00D83AEF">
        <w:rPr>
          <w:rFonts w:ascii="Times New Roman" w:hAnsi="Times New Roman" w:cs="Times New Roman"/>
          <w:sz w:val="28"/>
          <w:szCs w:val="28"/>
        </w:rPr>
        <w:t>municipal government</w:t>
      </w:r>
      <w:r w:rsidR="00857B24">
        <w:rPr>
          <w:rFonts w:ascii="Times New Roman" w:hAnsi="Times New Roman" w:cs="Times New Roman"/>
          <w:sz w:val="28"/>
          <w:szCs w:val="28"/>
        </w:rPr>
        <w:t>s</w:t>
      </w:r>
      <w:r w:rsidR="00BD7E31">
        <w:rPr>
          <w:rFonts w:ascii="Times New Roman" w:hAnsi="Times New Roman" w:cs="Times New Roman"/>
          <w:sz w:val="28"/>
          <w:szCs w:val="28"/>
        </w:rPr>
        <w:t xml:space="preserve">. </w:t>
      </w:r>
      <w:r w:rsidR="000926BF">
        <w:rPr>
          <w:rFonts w:ascii="Times New Roman" w:hAnsi="Times New Roman" w:cs="Times New Roman"/>
          <w:sz w:val="28"/>
          <w:szCs w:val="28"/>
        </w:rPr>
        <w:t>Also like Norway, the introduction of this strengthened municipal role followed an initial structural reform</w:t>
      </w:r>
      <w:r w:rsidR="00A158C2">
        <w:rPr>
          <w:rFonts w:ascii="Times New Roman" w:hAnsi="Times New Roman" w:cs="Times New Roman"/>
          <w:sz w:val="28"/>
          <w:szCs w:val="28"/>
        </w:rPr>
        <w:t>, in Denmark’s case</w:t>
      </w:r>
      <w:r w:rsidR="000926BF">
        <w:rPr>
          <w:rFonts w:ascii="Times New Roman" w:hAnsi="Times New Roman" w:cs="Times New Roman"/>
          <w:sz w:val="28"/>
          <w:szCs w:val="28"/>
        </w:rPr>
        <w:t xml:space="preserve"> in 2007</w:t>
      </w:r>
      <w:r w:rsidR="005E4726">
        <w:rPr>
          <w:rFonts w:ascii="Times New Roman" w:hAnsi="Times New Roman" w:cs="Times New Roman"/>
          <w:sz w:val="28"/>
          <w:szCs w:val="28"/>
        </w:rPr>
        <w:t>,</w:t>
      </w:r>
      <w:r w:rsidR="000926BF">
        <w:rPr>
          <w:rFonts w:ascii="Times New Roman" w:hAnsi="Times New Roman" w:cs="Times New Roman"/>
          <w:sz w:val="28"/>
          <w:szCs w:val="28"/>
        </w:rPr>
        <w:t xml:space="preserve"> in which the number of both municipal and also reg</w:t>
      </w:r>
      <w:r w:rsidR="00A158C2">
        <w:rPr>
          <w:rFonts w:ascii="Times New Roman" w:hAnsi="Times New Roman" w:cs="Times New Roman"/>
          <w:sz w:val="28"/>
          <w:szCs w:val="28"/>
        </w:rPr>
        <w:t>ional level governments were</w:t>
      </w:r>
      <w:r w:rsidR="000926BF">
        <w:rPr>
          <w:rFonts w:ascii="Times New Roman" w:hAnsi="Times New Roman" w:cs="Times New Roman"/>
          <w:sz w:val="28"/>
          <w:szCs w:val="28"/>
        </w:rPr>
        <w:t xml:space="preserve"> substantially consolidated: from over 300 to 98 municipalities, and from 14 counties to 5 regional councils (Olejaz et al, 2012).</w:t>
      </w:r>
    </w:p>
    <w:p w:rsidR="00C30FF4" w:rsidRDefault="00C30FF4" w:rsidP="0004345A">
      <w:pPr>
        <w:pStyle w:val="NoSpacing"/>
        <w:rPr>
          <w:rFonts w:ascii="Times New Roman" w:hAnsi="Times New Roman" w:cs="Times New Roman"/>
          <w:sz w:val="28"/>
          <w:szCs w:val="28"/>
        </w:rPr>
      </w:pPr>
    </w:p>
    <w:p w:rsidR="00D83AEF" w:rsidRDefault="000926BF" w:rsidP="0004345A">
      <w:pPr>
        <w:pStyle w:val="NoSpacing"/>
        <w:rPr>
          <w:rFonts w:ascii="Times New Roman" w:hAnsi="Times New Roman" w:cs="Times New Roman"/>
          <w:sz w:val="28"/>
          <w:szCs w:val="28"/>
        </w:rPr>
      </w:pPr>
      <w:r>
        <w:rPr>
          <w:rFonts w:ascii="Times New Roman" w:hAnsi="Times New Roman" w:cs="Times New Roman"/>
          <w:sz w:val="28"/>
          <w:szCs w:val="28"/>
        </w:rPr>
        <w:t>Subsequent to this administrative consolidation, the</w:t>
      </w:r>
      <w:r w:rsidR="00857B24">
        <w:rPr>
          <w:rFonts w:ascii="Times New Roman" w:hAnsi="Times New Roman" w:cs="Times New Roman"/>
          <w:sz w:val="28"/>
          <w:szCs w:val="28"/>
        </w:rPr>
        <w:t xml:space="preserve"> health-care related obligations</w:t>
      </w:r>
      <w:r w:rsidR="00C30FF4">
        <w:rPr>
          <w:rFonts w:ascii="Times New Roman" w:hAnsi="Times New Roman" w:cs="Times New Roman"/>
          <w:sz w:val="28"/>
          <w:szCs w:val="28"/>
        </w:rPr>
        <w:t xml:space="preserve"> for municipalities</w:t>
      </w:r>
      <w:r w:rsidR="00857B24">
        <w:rPr>
          <w:rFonts w:ascii="Times New Roman" w:hAnsi="Times New Roman" w:cs="Times New Roman"/>
          <w:sz w:val="28"/>
          <w:szCs w:val="28"/>
        </w:rPr>
        <w:t xml:space="preserve"> </w:t>
      </w:r>
      <w:r w:rsidR="00D83AEF">
        <w:rPr>
          <w:rFonts w:ascii="Times New Roman" w:hAnsi="Times New Roman" w:cs="Times New Roman"/>
          <w:sz w:val="28"/>
          <w:szCs w:val="28"/>
        </w:rPr>
        <w:t xml:space="preserve">included </w:t>
      </w:r>
      <w:r w:rsidR="00E11108">
        <w:rPr>
          <w:rFonts w:ascii="Times New Roman" w:hAnsi="Times New Roman" w:cs="Times New Roman"/>
          <w:sz w:val="28"/>
          <w:szCs w:val="28"/>
        </w:rPr>
        <w:t xml:space="preserve">20% funding of specified hospital services by municipalities, accompanied by </w:t>
      </w:r>
      <w:r w:rsidR="00D83AEF">
        <w:rPr>
          <w:rFonts w:ascii="Times New Roman" w:hAnsi="Times New Roman" w:cs="Times New Roman"/>
          <w:sz w:val="28"/>
          <w:szCs w:val="28"/>
        </w:rPr>
        <w:t xml:space="preserve">state-approved contracts between each municipality and its regional hospital administration for </w:t>
      </w:r>
      <w:r w:rsidR="00BD7E31">
        <w:rPr>
          <w:rFonts w:ascii="Times New Roman" w:hAnsi="Times New Roman" w:cs="Times New Roman"/>
          <w:sz w:val="28"/>
          <w:szCs w:val="28"/>
        </w:rPr>
        <w:t xml:space="preserve">the local supply of </w:t>
      </w:r>
      <w:r w:rsidR="00D83AEF">
        <w:rPr>
          <w:rFonts w:ascii="Times New Roman" w:hAnsi="Times New Roman" w:cs="Times New Roman"/>
          <w:sz w:val="28"/>
          <w:szCs w:val="28"/>
        </w:rPr>
        <w:t>a specified set of elderly-tied servic</w:t>
      </w:r>
      <w:r w:rsidR="00E11108">
        <w:rPr>
          <w:rFonts w:ascii="Times New Roman" w:hAnsi="Times New Roman" w:cs="Times New Roman"/>
          <w:sz w:val="28"/>
          <w:szCs w:val="28"/>
        </w:rPr>
        <w:t>es. Both changes are</w:t>
      </w:r>
      <w:r w:rsidR="00CB3925">
        <w:rPr>
          <w:rFonts w:ascii="Times New Roman" w:hAnsi="Times New Roman" w:cs="Times New Roman"/>
          <w:sz w:val="28"/>
          <w:szCs w:val="28"/>
        </w:rPr>
        <w:t xml:space="preserve"> </w:t>
      </w:r>
      <w:r w:rsidR="000F4A12">
        <w:rPr>
          <w:rFonts w:ascii="Times New Roman" w:hAnsi="Times New Roman" w:cs="Times New Roman"/>
          <w:sz w:val="28"/>
          <w:szCs w:val="28"/>
        </w:rPr>
        <w:t>designed to facilitate</w:t>
      </w:r>
      <w:r w:rsidR="00BD7E31">
        <w:rPr>
          <w:rFonts w:ascii="Times New Roman" w:hAnsi="Times New Roman" w:cs="Times New Roman"/>
          <w:sz w:val="28"/>
          <w:szCs w:val="28"/>
        </w:rPr>
        <w:t xml:space="preserve"> prompt </w:t>
      </w:r>
      <w:r w:rsidR="000F4A12">
        <w:rPr>
          <w:rFonts w:ascii="Times New Roman" w:hAnsi="Times New Roman" w:cs="Times New Roman"/>
          <w:sz w:val="28"/>
          <w:szCs w:val="28"/>
        </w:rPr>
        <w:t>hospital discharge</w:t>
      </w:r>
      <w:r w:rsidR="00E11108">
        <w:rPr>
          <w:rFonts w:ascii="Times New Roman" w:hAnsi="Times New Roman" w:cs="Times New Roman"/>
          <w:sz w:val="28"/>
          <w:szCs w:val="28"/>
        </w:rPr>
        <w:t xml:space="preserve"> of chronically ill elderly</w:t>
      </w:r>
      <w:r w:rsidR="000F4A12">
        <w:rPr>
          <w:rFonts w:ascii="Times New Roman" w:hAnsi="Times New Roman" w:cs="Times New Roman"/>
          <w:sz w:val="28"/>
          <w:szCs w:val="28"/>
        </w:rPr>
        <w:t xml:space="preserve"> and </w:t>
      </w:r>
      <w:r w:rsidR="00E11108">
        <w:rPr>
          <w:rFonts w:ascii="Times New Roman" w:hAnsi="Times New Roman" w:cs="Times New Roman"/>
          <w:sz w:val="28"/>
          <w:szCs w:val="28"/>
        </w:rPr>
        <w:t xml:space="preserve">to </w:t>
      </w:r>
      <w:r w:rsidR="00A8267C">
        <w:rPr>
          <w:rFonts w:ascii="Times New Roman" w:hAnsi="Times New Roman" w:cs="Times New Roman"/>
          <w:sz w:val="28"/>
          <w:szCs w:val="28"/>
        </w:rPr>
        <w:t>ensure</w:t>
      </w:r>
      <w:r w:rsidR="000F4A12">
        <w:rPr>
          <w:rFonts w:ascii="Times New Roman" w:hAnsi="Times New Roman" w:cs="Times New Roman"/>
          <w:sz w:val="28"/>
          <w:szCs w:val="28"/>
        </w:rPr>
        <w:t xml:space="preserve"> suitable</w:t>
      </w:r>
      <w:r w:rsidR="00BD7E31">
        <w:rPr>
          <w:rFonts w:ascii="Times New Roman" w:hAnsi="Times New Roman" w:cs="Times New Roman"/>
          <w:sz w:val="28"/>
          <w:szCs w:val="28"/>
        </w:rPr>
        <w:t xml:space="preserve"> residential follow-up</w:t>
      </w:r>
      <w:r w:rsidR="0037759E">
        <w:rPr>
          <w:rFonts w:ascii="Times New Roman" w:hAnsi="Times New Roman" w:cs="Times New Roman"/>
          <w:sz w:val="28"/>
          <w:szCs w:val="28"/>
        </w:rPr>
        <w:t>. The national government also introduced</w:t>
      </w:r>
      <w:r w:rsidR="004E0C9C">
        <w:rPr>
          <w:rFonts w:ascii="Times New Roman" w:hAnsi="Times New Roman" w:cs="Times New Roman"/>
          <w:sz w:val="28"/>
          <w:szCs w:val="28"/>
        </w:rPr>
        <w:t xml:space="preserve"> </w:t>
      </w:r>
      <w:r w:rsidR="00D83AEF">
        <w:rPr>
          <w:rFonts w:ascii="Times New Roman" w:hAnsi="Times New Roman" w:cs="Times New Roman"/>
          <w:sz w:val="28"/>
          <w:szCs w:val="28"/>
        </w:rPr>
        <w:t>a municipal co-funding requirement</w:t>
      </w:r>
      <w:r w:rsidR="00BD7E31">
        <w:rPr>
          <w:rFonts w:ascii="Times New Roman" w:hAnsi="Times New Roman" w:cs="Times New Roman"/>
          <w:sz w:val="28"/>
          <w:szCs w:val="28"/>
        </w:rPr>
        <w:t xml:space="preserve"> for </w:t>
      </w:r>
      <w:r w:rsidR="0037759E">
        <w:rPr>
          <w:rFonts w:ascii="Times New Roman" w:hAnsi="Times New Roman" w:cs="Times New Roman"/>
          <w:sz w:val="28"/>
          <w:szCs w:val="28"/>
        </w:rPr>
        <w:t xml:space="preserve">certain ‘reduceable’ categories of </w:t>
      </w:r>
      <w:r w:rsidR="00D83AEF">
        <w:rPr>
          <w:rFonts w:ascii="Times New Roman" w:hAnsi="Times New Roman" w:cs="Times New Roman"/>
          <w:sz w:val="28"/>
          <w:szCs w:val="28"/>
        </w:rPr>
        <w:t>hospital-pr</w:t>
      </w:r>
      <w:r w:rsidR="004E0C9C">
        <w:rPr>
          <w:rFonts w:ascii="Times New Roman" w:hAnsi="Times New Roman" w:cs="Times New Roman"/>
          <w:sz w:val="28"/>
          <w:szCs w:val="28"/>
        </w:rPr>
        <w:t>ovided</w:t>
      </w:r>
      <w:r w:rsidR="0037759E">
        <w:rPr>
          <w:rFonts w:ascii="Times New Roman" w:hAnsi="Times New Roman" w:cs="Times New Roman"/>
          <w:sz w:val="28"/>
          <w:szCs w:val="28"/>
        </w:rPr>
        <w:t xml:space="preserve"> elderly treatments</w:t>
      </w:r>
      <w:r w:rsidR="00295A64">
        <w:rPr>
          <w:rFonts w:ascii="Times New Roman" w:hAnsi="Times New Roman" w:cs="Times New Roman"/>
          <w:sz w:val="28"/>
          <w:szCs w:val="28"/>
        </w:rPr>
        <w:t xml:space="preserve"> (</w:t>
      </w:r>
      <w:r w:rsidR="00227726">
        <w:rPr>
          <w:rFonts w:ascii="Times New Roman" w:hAnsi="Times New Roman" w:cs="Times New Roman"/>
          <w:sz w:val="28"/>
          <w:szCs w:val="28"/>
        </w:rPr>
        <w:t xml:space="preserve">Oljaz et al., 2012; </w:t>
      </w:r>
      <w:r w:rsidR="00295A64">
        <w:rPr>
          <w:rFonts w:ascii="Times New Roman" w:hAnsi="Times New Roman" w:cs="Times New Roman"/>
          <w:sz w:val="28"/>
          <w:szCs w:val="28"/>
        </w:rPr>
        <w:t>Hagen et al</w:t>
      </w:r>
      <w:r w:rsidR="00227726">
        <w:rPr>
          <w:rFonts w:ascii="Times New Roman" w:hAnsi="Times New Roman" w:cs="Times New Roman"/>
          <w:sz w:val="28"/>
          <w:szCs w:val="28"/>
        </w:rPr>
        <w:t>.</w:t>
      </w:r>
      <w:r w:rsidR="00295A64">
        <w:rPr>
          <w:rFonts w:ascii="Times New Roman" w:hAnsi="Times New Roman" w:cs="Times New Roman"/>
          <w:sz w:val="28"/>
          <w:szCs w:val="28"/>
        </w:rPr>
        <w:t>, 2015).</w:t>
      </w:r>
      <w:r w:rsidR="000F4A12">
        <w:rPr>
          <w:rFonts w:ascii="Times New Roman" w:hAnsi="Times New Roman" w:cs="Times New Roman"/>
          <w:sz w:val="28"/>
          <w:szCs w:val="28"/>
        </w:rPr>
        <w:t xml:space="preserve"> Again</w:t>
      </w:r>
      <w:r w:rsidR="00A940B7">
        <w:rPr>
          <w:rFonts w:ascii="Times New Roman" w:hAnsi="Times New Roman" w:cs="Times New Roman"/>
          <w:sz w:val="28"/>
          <w:szCs w:val="28"/>
        </w:rPr>
        <w:t>,</w:t>
      </w:r>
      <w:r w:rsidR="000F4A12">
        <w:rPr>
          <w:rFonts w:ascii="Times New Roman" w:hAnsi="Times New Roman" w:cs="Times New Roman"/>
          <w:sz w:val="28"/>
          <w:szCs w:val="28"/>
        </w:rPr>
        <w:t xml:space="preserve"> like Norway, these contracts are </w:t>
      </w:r>
      <w:r w:rsidR="00DF011E">
        <w:rPr>
          <w:rFonts w:ascii="Times New Roman" w:hAnsi="Times New Roman" w:cs="Times New Roman"/>
          <w:sz w:val="28"/>
          <w:szCs w:val="28"/>
        </w:rPr>
        <w:t>closely monitored on</w:t>
      </w:r>
      <w:r w:rsidR="000F4A12">
        <w:rPr>
          <w:rFonts w:ascii="Times New Roman" w:hAnsi="Times New Roman" w:cs="Times New Roman"/>
          <w:sz w:val="28"/>
          <w:szCs w:val="28"/>
        </w:rPr>
        <w:t xml:space="preserve"> a tigh</w:t>
      </w:r>
      <w:r w:rsidR="00DF011E">
        <w:rPr>
          <w:rFonts w:ascii="Times New Roman" w:hAnsi="Times New Roman" w:cs="Times New Roman"/>
          <w:sz w:val="28"/>
          <w:szCs w:val="28"/>
        </w:rPr>
        <w:t>tly specified set of activity</w:t>
      </w:r>
      <w:r w:rsidR="000F4A12">
        <w:rPr>
          <w:rFonts w:ascii="Times New Roman" w:hAnsi="Times New Roman" w:cs="Times New Roman"/>
          <w:sz w:val="28"/>
          <w:szCs w:val="28"/>
        </w:rPr>
        <w:t xml:space="preserve"> variables: in the Danish case, </w:t>
      </w:r>
      <w:r w:rsidR="004C1D82">
        <w:rPr>
          <w:rFonts w:ascii="Times New Roman" w:hAnsi="Times New Roman" w:cs="Times New Roman"/>
          <w:sz w:val="28"/>
          <w:szCs w:val="28"/>
        </w:rPr>
        <w:t>statistics on acute hospital admissions, hospital re-admissions, length of time to hospital discharge after clinical treatment i</w:t>
      </w:r>
      <w:r w:rsidR="00895B99">
        <w:rPr>
          <w:rFonts w:ascii="Times New Roman" w:hAnsi="Times New Roman" w:cs="Times New Roman"/>
          <w:sz w:val="28"/>
          <w:szCs w:val="28"/>
        </w:rPr>
        <w:t>s complete</w:t>
      </w:r>
      <w:r w:rsidR="004C1D82">
        <w:rPr>
          <w:rFonts w:ascii="Times New Roman" w:hAnsi="Times New Roman" w:cs="Times New Roman"/>
          <w:sz w:val="28"/>
          <w:szCs w:val="28"/>
        </w:rPr>
        <w:t xml:space="preserve">, and waiting time for outpatient rehabilitation to begin (Hagen et al., 2015). </w:t>
      </w:r>
    </w:p>
    <w:p w:rsidR="00972454" w:rsidRDefault="00972454" w:rsidP="0004345A">
      <w:pPr>
        <w:pStyle w:val="NoSpacing"/>
        <w:rPr>
          <w:rFonts w:ascii="Times New Roman" w:hAnsi="Times New Roman" w:cs="Times New Roman"/>
          <w:sz w:val="28"/>
          <w:szCs w:val="28"/>
        </w:rPr>
      </w:pPr>
    </w:p>
    <w:p w:rsidR="00972454" w:rsidRDefault="00C825EE" w:rsidP="0004345A">
      <w:pPr>
        <w:pStyle w:val="NoSpacing"/>
        <w:rPr>
          <w:rFonts w:ascii="Times New Roman" w:hAnsi="Times New Roman" w:cs="Times New Roman"/>
          <w:sz w:val="28"/>
          <w:szCs w:val="28"/>
        </w:rPr>
      </w:pPr>
      <w:r>
        <w:rPr>
          <w:rFonts w:ascii="Times New Roman" w:hAnsi="Times New Roman" w:cs="Times New Roman"/>
          <w:sz w:val="28"/>
          <w:szCs w:val="28"/>
        </w:rPr>
        <w:t>One interesting</w:t>
      </w:r>
      <w:r w:rsidR="00972454">
        <w:rPr>
          <w:rFonts w:ascii="Times New Roman" w:hAnsi="Times New Roman" w:cs="Times New Roman"/>
          <w:sz w:val="28"/>
          <w:szCs w:val="28"/>
        </w:rPr>
        <w:t xml:space="preserve"> pilot project from 2014-2017 in Central Denmark Region </w:t>
      </w:r>
      <w:r>
        <w:rPr>
          <w:rFonts w:ascii="Times New Roman" w:hAnsi="Times New Roman" w:cs="Times New Roman"/>
          <w:sz w:val="28"/>
          <w:szCs w:val="28"/>
        </w:rPr>
        <w:t xml:space="preserve">has </w:t>
      </w:r>
      <w:r w:rsidR="00972454">
        <w:rPr>
          <w:rFonts w:ascii="Times New Roman" w:hAnsi="Times New Roman" w:cs="Times New Roman"/>
          <w:sz w:val="28"/>
          <w:szCs w:val="28"/>
        </w:rPr>
        <w:t>sought to better coordinate hospital and outpatient elderly care by eliminating</w:t>
      </w:r>
      <w:r w:rsidR="00F75723">
        <w:rPr>
          <w:rFonts w:ascii="Times New Roman" w:hAnsi="Times New Roman" w:cs="Times New Roman"/>
          <w:sz w:val="28"/>
          <w:szCs w:val="28"/>
        </w:rPr>
        <w:t xml:space="preserve"> activity-based payment (</w:t>
      </w:r>
      <w:r w:rsidR="00972454">
        <w:rPr>
          <w:rFonts w:ascii="Times New Roman" w:hAnsi="Times New Roman" w:cs="Times New Roman"/>
          <w:sz w:val="28"/>
          <w:szCs w:val="28"/>
        </w:rPr>
        <w:t>DRGs</w:t>
      </w:r>
      <w:r w:rsidR="00F75723">
        <w:rPr>
          <w:rFonts w:ascii="Times New Roman" w:hAnsi="Times New Roman" w:cs="Times New Roman"/>
          <w:sz w:val="28"/>
          <w:szCs w:val="28"/>
        </w:rPr>
        <w:t>)</w:t>
      </w:r>
      <w:r w:rsidR="00972454">
        <w:rPr>
          <w:rFonts w:ascii="Times New Roman" w:hAnsi="Times New Roman" w:cs="Times New Roman"/>
          <w:sz w:val="28"/>
          <w:szCs w:val="28"/>
        </w:rPr>
        <w:t xml:space="preserve"> as the basis for hospital payment</w:t>
      </w:r>
      <w:r w:rsidR="00F75723">
        <w:rPr>
          <w:rFonts w:ascii="Times New Roman" w:hAnsi="Times New Roman" w:cs="Times New Roman"/>
          <w:sz w:val="28"/>
          <w:szCs w:val="28"/>
        </w:rPr>
        <w:t>. I</w:t>
      </w:r>
      <w:r>
        <w:rPr>
          <w:rFonts w:ascii="Times New Roman" w:hAnsi="Times New Roman" w:cs="Times New Roman"/>
          <w:sz w:val="28"/>
          <w:szCs w:val="28"/>
        </w:rPr>
        <w:t>n place of case-based reimbursement,</w:t>
      </w:r>
      <w:r w:rsidR="00972454">
        <w:rPr>
          <w:rFonts w:ascii="Times New Roman" w:hAnsi="Times New Roman" w:cs="Times New Roman"/>
          <w:sz w:val="28"/>
          <w:szCs w:val="28"/>
        </w:rPr>
        <w:t xml:space="preserve"> </w:t>
      </w:r>
      <w:r w:rsidR="00E87535">
        <w:rPr>
          <w:rFonts w:ascii="Times New Roman" w:hAnsi="Times New Roman" w:cs="Times New Roman"/>
          <w:sz w:val="28"/>
          <w:szCs w:val="28"/>
        </w:rPr>
        <w:t>t</w:t>
      </w:r>
      <w:r w:rsidR="00F75723">
        <w:rPr>
          <w:rFonts w:ascii="Times New Roman" w:hAnsi="Times New Roman" w:cs="Times New Roman"/>
          <w:sz w:val="28"/>
          <w:szCs w:val="28"/>
        </w:rPr>
        <w:t>he pilot re-instituted</w:t>
      </w:r>
      <w:r w:rsidR="00972454">
        <w:rPr>
          <w:rFonts w:ascii="Times New Roman" w:hAnsi="Times New Roman" w:cs="Times New Roman"/>
          <w:sz w:val="28"/>
          <w:szCs w:val="28"/>
        </w:rPr>
        <w:t xml:space="preserve"> </w:t>
      </w:r>
      <w:r w:rsidR="00F75723">
        <w:rPr>
          <w:rFonts w:ascii="Times New Roman" w:hAnsi="Times New Roman" w:cs="Times New Roman"/>
          <w:sz w:val="28"/>
          <w:szCs w:val="28"/>
        </w:rPr>
        <w:t xml:space="preserve">bilaterally negotiated global </w:t>
      </w:r>
      <w:r w:rsidR="00972454">
        <w:rPr>
          <w:rFonts w:ascii="Times New Roman" w:hAnsi="Times New Roman" w:cs="Times New Roman"/>
          <w:sz w:val="28"/>
          <w:szCs w:val="28"/>
        </w:rPr>
        <w:t>budget</w:t>
      </w:r>
      <w:r w:rsidR="00F75723">
        <w:rPr>
          <w:rFonts w:ascii="Times New Roman" w:hAnsi="Times New Roman" w:cs="Times New Roman"/>
          <w:sz w:val="28"/>
          <w:szCs w:val="28"/>
        </w:rPr>
        <w:t xml:space="preserve">s </w:t>
      </w:r>
      <w:r w:rsidR="006F731F">
        <w:rPr>
          <w:rFonts w:ascii="Times New Roman" w:hAnsi="Times New Roman" w:cs="Times New Roman"/>
          <w:sz w:val="28"/>
          <w:szCs w:val="28"/>
        </w:rPr>
        <w:t>tied to quality of outcome</w:t>
      </w:r>
      <w:r w:rsidR="007D6898">
        <w:rPr>
          <w:rFonts w:ascii="Times New Roman" w:hAnsi="Times New Roman" w:cs="Times New Roman"/>
          <w:sz w:val="28"/>
          <w:szCs w:val="28"/>
        </w:rPr>
        <w:t xml:space="preserve"> measures from a patient’s perspective</w:t>
      </w:r>
      <w:r w:rsidR="006F731F">
        <w:rPr>
          <w:rFonts w:ascii="Times New Roman" w:hAnsi="Times New Roman" w:cs="Times New Roman"/>
          <w:sz w:val="28"/>
          <w:szCs w:val="28"/>
        </w:rPr>
        <w:t xml:space="preserve"> </w:t>
      </w:r>
      <w:r w:rsidR="00F75723">
        <w:rPr>
          <w:rFonts w:ascii="Times New Roman" w:hAnsi="Times New Roman" w:cs="Times New Roman"/>
          <w:sz w:val="28"/>
          <w:szCs w:val="28"/>
        </w:rPr>
        <w:t>in nine hospital departments</w:t>
      </w:r>
      <w:r w:rsidR="00972454">
        <w:rPr>
          <w:rFonts w:ascii="Times New Roman" w:hAnsi="Times New Roman" w:cs="Times New Roman"/>
          <w:sz w:val="28"/>
          <w:szCs w:val="28"/>
        </w:rPr>
        <w:t xml:space="preserve"> (Burau</w:t>
      </w:r>
      <w:r w:rsidR="004F0DE0">
        <w:rPr>
          <w:rFonts w:ascii="Times New Roman" w:hAnsi="Times New Roman" w:cs="Times New Roman"/>
          <w:sz w:val="28"/>
          <w:szCs w:val="28"/>
        </w:rPr>
        <w:t xml:space="preserve"> et al.</w:t>
      </w:r>
      <w:r w:rsidR="00972454">
        <w:rPr>
          <w:rFonts w:ascii="Times New Roman" w:hAnsi="Times New Roman" w:cs="Times New Roman"/>
          <w:sz w:val="28"/>
          <w:szCs w:val="28"/>
        </w:rPr>
        <w:t xml:space="preserve">, 2017). </w:t>
      </w:r>
    </w:p>
    <w:p w:rsidR="00857B24" w:rsidRDefault="00857B24" w:rsidP="0004345A">
      <w:pPr>
        <w:pStyle w:val="NoSpacing"/>
        <w:rPr>
          <w:rFonts w:ascii="Times New Roman" w:hAnsi="Times New Roman" w:cs="Times New Roman"/>
          <w:sz w:val="28"/>
          <w:szCs w:val="28"/>
        </w:rPr>
      </w:pPr>
    </w:p>
    <w:p w:rsidR="00857B24" w:rsidRDefault="00F31863" w:rsidP="0004345A">
      <w:pPr>
        <w:pStyle w:val="NoSpacing"/>
        <w:rPr>
          <w:rFonts w:ascii="Times New Roman" w:hAnsi="Times New Roman" w:cs="Times New Roman"/>
          <w:sz w:val="28"/>
          <w:szCs w:val="28"/>
        </w:rPr>
      </w:pPr>
      <w:r>
        <w:rPr>
          <w:rFonts w:ascii="Times New Roman" w:hAnsi="Times New Roman" w:cs="Times New Roman"/>
          <w:sz w:val="28"/>
          <w:szCs w:val="28"/>
        </w:rPr>
        <w:t xml:space="preserve">The intention </w:t>
      </w:r>
      <w:r w:rsidR="0056468B">
        <w:rPr>
          <w:rFonts w:ascii="Times New Roman" w:hAnsi="Times New Roman" w:cs="Times New Roman"/>
          <w:sz w:val="28"/>
          <w:szCs w:val="28"/>
        </w:rPr>
        <w:t>of this pilot is to better link</w:t>
      </w:r>
      <w:r w:rsidR="00E87535">
        <w:rPr>
          <w:rFonts w:ascii="Times New Roman" w:hAnsi="Times New Roman" w:cs="Times New Roman"/>
          <w:sz w:val="28"/>
          <w:szCs w:val="28"/>
        </w:rPr>
        <w:t xml:space="preserve"> hospital performance incentives to good outcomes for</w:t>
      </w:r>
      <w:r>
        <w:rPr>
          <w:rFonts w:ascii="Times New Roman" w:hAnsi="Times New Roman" w:cs="Times New Roman"/>
          <w:sz w:val="28"/>
          <w:szCs w:val="28"/>
        </w:rPr>
        <w:t xml:space="preserve"> elderly </w:t>
      </w:r>
      <w:r w:rsidR="00E87535">
        <w:rPr>
          <w:rFonts w:ascii="Times New Roman" w:hAnsi="Times New Roman" w:cs="Times New Roman"/>
          <w:sz w:val="28"/>
          <w:szCs w:val="28"/>
        </w:rPr>
        <w:t>municipality-based</w:t>
      </w:r>
      <w:r>
        <w:rPr>
          <w:rFonts w:ascii="Times New Roman" w:hAnsi="Times New Roman" w:cs="Times New Roman"/>
          <w:sz w:val="28"/>
          <w:szCs w:val="28"/>
        </w:rPr>
        <w:t xml:space="preserve"> and municipality-funded</w:t>
      </w:r>
      <w:r w:rsidR="00E87535">
        <w:rPr>
          <w:rFonts w:ascii="Times New Roman" w:hAnsi="Times New Roman" w:cs="Times New Roman"/>
          <w:sz w:val="28"/>
          <w:szCs w:val="28"/>
        </w:rPr>
        <w:t xml:space="preserve"> patients (Sogaard et al., 2015).</w:t>
      </w:r>
      <w:r w:rsidR="0056468B">
        <w:rPr>
          <w:rFonts w:ascii="Times New Roman" w:hAnsi="Times New Roman" w:cs="Times New Roman"/>
          <w:sz w:val="28"/>
          <w:szCs w:val="28"/>
        </w:rPr>
        <w:t xml:space="preserve"> The thinking is that if the hospital department is no longer driven </w:t>
      </w:r>
      <w:r w:rsidR="00027028">
        <w:rPr>
          <w:rFonts w:ascii="Times New Roman" w:hAnsi="Times New Roman" w:cs="Times New Roman"/>
          <w:sz w:val="28"/>
          <w:szCs w:val="28"/>
        </w:rPr>
        <w:t xml:space="preserve">exclusively </w:t>
      </w:r>
      <w:r w:rsidR="0056468B">
        <w:rPr>
          <w:rFonts w:ascii="Times New Roman" w:hAnsi="Times New Roman" w:cs="Times New Roman"/>
          <w:sz w:val="28"/>
          <w:szCs w:val="28"/>
        </w:rPr>
        <w:t xml:space="preserve">by </w:t>
      </w:r>
      <w:r w:rsidR="00CD2F19">
        <w:rPr>
          <w:rFonts w:ascii="Times New Roman" w:hAnsi="Times New Roman" w:cs="Times New Roman"/>
          <w:sz w:val="28"/>
          <w:szCs w:val="28"/>
        </w:rPr>
        <w:t>short-term</w:t>
      </w:r>
      <w:r w:rsidR="0056468B">
        <w:rPr>
          <w:rFonts w:ascii="Times New Roman" w:hAnsi="Times New Roman" w:cs="Times New Roman"/>
          <w:sz w:val="28"/>
          <w:szCs w:val="28"/>
        </w:rPr>
        <w:t xml:space="preserve"> financial incentives, the </w:t>
      </w:r>
      <w:r w:rsidR="00CD2F19">
        <w:rPr>
          <w:rFonts w:ascii="Times New Roman" w:hAnsi="Times New Roman" w:cs="Times New Roman"/>
          <w:sz w:val="28"/>
          <w:szCs w:val="28"/>
        </w:rPr>
        <w:t xml:space="preserve">long-term </w:t>
      </w:r>
      <w:r w:rsidR="0056468B">
        <w:rPr>
          <w:rFonts w:ascii="Times New Roman" w:hAnsi="Times New Roman" w:cs="Times New Roman"/>
          <w:sz w:val="28"/>
          <w:szCs w:val="28"/>
        </w:rPr>
        <w:t xml:space="preserve">outcomes will be better for both patients and municipal budgets. </w:t>
      </w:r>
      <w:r w:rsidR="00E87535">
        <w:rPr>
          <w:rFonts w:ascii="Times New Roman" w:hAnsi="Times New Roman" w:cs="Times New Roman"/>
          <w:sz w:val="28"/>
          <w:szCs w:val="28"/>
        </w:rPr>
        <w:t xml:space="preserve"> If this pilot is deemed successful, its approach will likely be mainstreamed to all Danish hospital regions. </w:t>
      </w:r>
    </w:p>
    <w:p w:rsidR="00857B24" w:rsidRDefault="00857B24" w:rsidP="0004345A">
      <w:pPr>
        <w:pStyle w:val="NoSpacing"/>
        <w:rPr>
          <w:rFonts w:ascii="Times New Roman" w:hAnsi="Times New Roman" w:cs="Times New Roman"/>
          <w:sz w:val="28"/>
          <w:szCs w:val="28"/>
        </w:rPr>
      </w:pPr>
    </w:p>
    <w:p w:rsidR="000648BC" w:rsidRDefault="000648BC" w:rsidP="0004345A">
      <w:pPr>
        <w:pStyle w:val="NoSpacing"/>
        <w:rPr>
          <w:rFonts w:ascii="Times New Roman" w:hAnsi="Times New Roman" w:cs="Times New Roman"/>
          <w:b/>
          <w:sz w:val="28"/>
          <w:szCs w:val="28"/>
        </w:rPr>
      </w:pPr>
    </w:p>
    <w:p w:rsidR="00D85E64" w:rsidRDefault="00D85E64" w:rsidP="0004345A">
      <w:pPr>
        <w:pStyle w:val="NoSpacing"/>
        <w:rPr>
          <w:rFonts w:ascii="Times New Roman" w:hAnsi="Times New Roman" w:cs="Times New Roman"/>
          <w:b/>
          <w:sz w:val="28"/>
          <w:szCs w:val="28"/>
        </w:rPr>
      </w:pPr>
      <w:r w:rsidRPr="00A544AA">
        <w:rPr>
          <w:rFonts w:ascii="Times New Roman" w:hAnsi="Times New Roman" w:cs="Times New Roman"/>
          <w:b/>
          <w:sz w:val="28"/>
          <w:szCs w:val="28"/>
        </w:rPr>
        <w:lastRenderedPageBreak/>
        <w:t>Finland</w:t>
      </w:r>
    </w:p>
    <w:p w:rsidR="001B41A4" w:rsidRPr="007B592C" w:rsidRDefault="001B41A4" w:rsidP="0004345A">
      <w:pPr>
        <w:pStyle w:val="NoSpacing"/>
        <w:rPr>
          <w:rFonts w:ascii="Times New Roman" w:hAnsi="Times New Roman" w:cs="Times New Roman"/>
          <w:sz w:val="28"/>
          <w:szCs w:val="28"/>
        </w:rPr>
      </w:pPr>
    </w:p>
    <w:p w:rsidR="006F355C" w:rsidRDefault="006B27A2" w:rsidP="0004345A">
      <w:pPr>
        <w:pStyle w:val="NoSpacing"/>
        <w:rPr>
          <w:rFonts w:ascii="Times New Roman" w:hAnsi="Times New Roman" w:cs="Times New Roman"/>
          <w:sz w:val="28"/>
          <w:szCs w:val="28"/>
        </w:rPr>
      </w:pPr>
      <w:r>
        <w:rPr>
          <w:rFonts w:ascii="Times New Roman" w:hAnsi="Times New Roman" w:cs="Times New Roman"/>
          <w:sz w:val="28"/>
          <w:szCs w:val="28"/>
        </w:rPr>
        <w:t>Finl</w:t>
      </w:r>
      <w:r w:rsidR="00286B08">
        <w:rPr>
          <w:rFonts w:ascii="Times New Roman" w:hAnsi="Times New Roman" w:cs="Times New Roman"/>
          <w:sz w:val="28"/>
          <w:szCs w:val="28"/>
        </w:rPr>
        <w:t>and’s economy has hardly</w:t>
      </w:r>
      <w:r>
        <w:rPr>
          <w:rFonts w:ascii="Times New Roman" w:hAnsi="Times New Roman" w:cs="Times New Roman"/>
          <w:sz w:val="28"/>
          <w:szCs w:val="28"/>
        </w:rPr>
        <w:t xml:space="preserve"> grow</w:t>
      </w:r>
      <w:r w:rsidR="00987387">
        <w:rPr>
          <w:rFonts w:ascii="Times New Roman" w:hAnsi="Times New Roman" w:cs="Times New Roman"/>
          <w:sz w:val="28"/>
          <w:szCs w:val="28"/>
        </w:rPr>
        <w:t>n</w:t>
      </w:r>
      <w:r>
        <w:rPr>
          <w:rFonts w:ascii="Times New Roman" w:hAnsi="Times New Roman" w:cs="Times New Roman"/>
          <w:sz w:val="28"/>
          <w:szCs w:val="28"/>
        </w:rPr>
        <w:t xml:space="preserve"> since the onset of</w:t>
      </w:r>
      <w:r w:rsidR="00E9042F">
        <w:rPr>
          <w:rFonts w:ascii="Times New Roman" w:hAnsi="Times New Roman" w:cs="Times New Roman"/>
          <w:sz w:val="28"/>
          <w:szCs w:val="28"/>
        </w:rPr>
        <w:t xml:space="preserve"> the 2008 financial crisis, and its </w:t>
      </w:r>
      <w:r w:rsidR="00987387">
        <w:rPr>
          <w:rFonts w:ascii="Times New Roman" w:hAnsi="Times New Roman" w:cs="Times New Roman"/>
          <w:sz w:val="28"/>
          <w:szCs w:val="28"/>
        </w:rPr>
        <w:t xml:space="preserve">current </w:t>
      </w:r>
      <w:r w:rsidR="00935363">
        <w:rPr>
          <w:rFonts w:ascii="Times New Roman" w:hAnsi="Times New Roman" w:cs="Times New Roman"/>
          <w:sz w:val="28"/>
          <w:szCs w:val="28"/>
        </w:rPr>
        <w:t xml:space="preserve">coalition </w:t>
      </w:r>
      <w:r w:rsidR="00E9042F">
        <w:rPr>
          <w:rFonts w:ascii="Times New Roman" w:hAnsi="Times New Roman" w:cs="Times New Roman"/>
          <w:sz w:val="28"/>
          <w:szCs w:val="28"/>
        </w:rPr>
        <w:t xml:space="preserve">government </w:t>
      </w:r>
      <w:r w:rsidR="00935363">
        <w:rPr>
          <w:rFonts w:ascii="Times New Roman" w:hAnsi="Times New Roman" w:cs="Times New Roman"/>
          <w:sz w:val="28"/>
          <w:szCs w:val="28"/>
        </w:rPr>
        <w:t xml:space="preserve">has </w:t>
      </w:r>
      <w:r w:rsidR="00E9042F">
        <w:rPr>
          <w:rFonts w:ascii="Times New Roman" w:hAnsi="Times New Roman" w:cs="Times New Roman"/>
          <w:sz w:val="28"/>
          <w:szCs w:val="28"/>
        </w:rPr>
        <w:t xml:space="preserve">sought for several years to develop a </w:t>
      </w:r>
      <w:r w:rsidR="00987387">
        <w:rPr>
          <w:rFonts w:ascii="Times New Roman" w:hAnsi="Times New Roman" w:cs="Times New Roman"/>
          <w:sz w:val="28"/>
          <w:szCs w:val="28"/>
        </w:rPr>
        <w:t>new health delivery model that c</w:t>
      </w:r>
      <w:r w:rsidR="00E9042F">
        <w:rPr>
          <w:rFonts w:ascii="Times New Roman" w:hAnsi="Times New Roman" w:cs="Times New Roman"/>
          <w:sz w:val="28"/>
          <w:szCs w:val="28"/>
        </w:rPr>
        <w:t xml:space="preserve">ould simultaneously improve regional and employment-based equity as well as </w:t>
      </w:r>
      <w:r>
        <w:rPr>
          <w:rFonts w:ascii="Times New Roman" w:hAnsi="Times New Roman" w:cs="Times New Roman"/>
          <w:sz w:val="28"/>
          <w:szCs w:val="28"/>
        </w:rPr>
        <w:t>save public money by reducing</w:t>
      </w:r>
      <w:r w:rsidR="00E9042F">
        <w:rPr>
          <w:rFonts w:ascii="Times New Roman" w:hAnsi="Times New Roman" w:cs="Times New Roman"/>
          <w:sz w:val="28"/>
          <w:szCs w:val="28"/>
        </w:rPr>
        <w:t xml:space="preserve"> unnecessary intensive hospital-</w:t>
      </w:r>
      <w:r w:rsidR="00AA3A12">
        <w:rPr>
          <w:rFonts w:ascii="Times New Roman" w:hAnsi="Times New Roman" w:cs="Times New Roman"/>
          <w:sz w:val="28"/>
          <w:szCs w:val="28"/>
        </w:rPr>
        <w:t>based care for the chronically ill elderly.</w:t>
      </w:r>
      <w:r w:rsidR="00935363">
        <w:rPr>
          <w:rFonts w:ascii="Times New Roman" w:hAnsi="Times New Roman" w:cs="Times New Roman"/>
          <w:sz w:val="28"/>
          <w:szCs w:val="28"/>
        </w:rPr>
        <w:t xml:space="preserve"> A</w:t>
      </w:r>
      <w:r w:rsidR="00987387">
        <w:rPr>
          <w:rFonts w:ascii="Times New Roman" w:hAnsi="Times New Roman" w:cs="Times New Roman"/>
          <w:sz w:val="28"/>
          <w:szCs w:val="28"/>
        </w:rPr>
        <w:t>s noted above</w:t>
      </w:r>
      <w:r w:rsidR="00935363">
        <w:rPr>
          <w:rFonts w:ascii="Times New Roman" w:hAnsi="Times New Roman" w:cs="Times New Roman"/>
          <w:sz w:val="28"/>
          <w:szCs w:val="28"/>
        </w:rPr>
        <w:t>, after complex negotiations, the national government</w:t>
      </w:r>
      <w:r w:rsidR="00A74F71">
        <w:rPr>
          <w:rFonts w:ascii="Times New Roman" w:hAnsi="Times New Roman" w:cs="Times New Roman"/>
          <w:sz w:val="28"/>
          <w:szCs w:val="28"/>
        </w:rPr>
        <w:t>’</w:t>
      </w:r>
      <w:r w:rsidR="007B7942">
        <w:rPr>
          <w:rFonts w:ascii="Times New Roman" w:hAnsi="Times New Roman" w:cs="Times New Roman"/>
          <w:sz w:val="28"/>
          <w:szCs w:val="28"/>
        </w:rPr>
        <w:t>s constituent coalition</w:t>
      </w:r>
      <w:r w:rsidR="00935363">
        <w:rPr>
          <w:rFonts w:ascii="Times New Roman" w:hAnsi="Times New Roman" w:cs="Times New Roman"/>
          <w:sz w:val="28"/>
          <w:szCs w:val="28"/>
        </w:rPr>
        <w:t xml:space="preserve"> </w:t>
      </w:r>
      <w:r w:rsidR="00A74F71">
        <w:rPr>
          <w:rFonts w:ascii="Times New Roman" w:hAnsi="Times New Roman" w:cs="Times New Roman"/>
          <w:sz w:val="28"/>
          <w:szCs w:val="28"/>
        </w:rPr>
        <w:t xml:space="preserve">parties </w:t>
      </w:r>
      <w:r w:rsidR="00935363">
        <w:rPr>
          <w:rFonts w:ascii="Times New Roman" w:hAnsi="Times New Roman" w:cs="Times New Roman"/>
          <w:sz w:val="28"/>
          <w:szCs w:val="28"/>
        </w:rPr>
        <w:t>agreed in June 2016 to put in place a radical re-structuring of both the service delivery structure and</w:t>
      </w:r>
      <w:r w:rsidR="00987387">
        <w:rPr>
          <w:rFonts w:ascii="Times New Roman" w:hAnsi="Times New Roman" w:cs="Times New Roman"/>
          <w:sz w:val="28"/>
          <w:szCs w:val="28"/>
        </w:rPr>
        <w:t xml:space="preserve"> of the governmental </w:t>
      </w:r>
      <w:r w:rsidR="00935363">
        <w:rPr>
          <w:rFonts w:ascii="Times New Roman" w:hAnsi="Times New Roman" w:cs="Times New Roman"/>
          <w:sz w:val="28"/>
          <w:szCs w:val="28"/>
        </w:rPr>
        <w:t>arrangements to operate that new structure.</w:t>
      </w:r>
      <w:r w:rsidR="002857A9">
        <w:rPr>
          <w:rFonts w:ascii="Times New Roman" w:hAnsi="Times New Roman" w:cs="Times New Roman"/>
          <w:sz w:val="28"/>
          <w:szCs w:val="28"/>
        </w:rPr>
        <w:t xml:space="preserve"> Legislation for these changes is scheduled to be presented to Parliament in June 2017.</w:t>
      </w:r>
      <w:r w:rsidR="00935363">
        <w:rPr>
          <w:rFonts w:ascii="Times New Roman" w:hAnsi="Times New Roman" w:cs="Times New Roman"/>
          <w:sz w:val="28"/>
          <w:szCs w:val="28"/>
        </w:rPr>
        <w:t xml:space="preserve"> </w:t>
      </w:r>
    </w:p>
    <w:p w:rsidR="006F355C" w:rsidRDefault="006F355C" w:rsidP="0004345A">
      <w:pPr>
        <w:pStyle w:val="NoSpacing"/>
        <w:rPr>
          <w:rFonts w:ascii="Times New Roman" w:hAnsi="Times New Roman" w:cs="Times New Roman"/>
          <w:sz w:val="28"/>
          <w:szCs w:val="28"/>
        </w:rPr>
      </w:pPr>
    </w:p>
    <w:p w:rsidR="001B41A4" w:rsidRPr="007B592C" w:rsidRDefault="00935363" w:rsidP="0004345A">
      <w:pPr>
        <w:pStyle w:val="NoSpacing"/>
        <w:rPr>
          <w:rFonts w:ascii="Times New Roman" w:hAnsi="Times New Roman" w:cs="Times New Roman"/>
          <w:sz w:val="28"/>
          <w:szCs w:val="28"/>
        </w:rPr>
      </w:pPr>
      <w:r>
        <w:rPr>
          <w:rFonts w:ascii="Times New Roman" w:hAnsi="Times New Roman" w:cs="Times New Roman"/>
          <w:sz w:val="28"/>
          <w:szCs w:val="28"/>
        </w:rPr>
        <w:t>The two</w:t>
      </w:r>
      <w:r w:rsidR="00140F8C">
        <w:rPr>
          <w:rFonts w:ascii="Times New Roman" w:hAnsi="Times New Roman" w:cs="Times New Roman"/>
          <w:sz w:val="28"/>
          <w:szCs w:val="28"/>
        </w:rPr>
        <w:t xml:space="preserve"> fundamental changes are</w:t>
      </w:r>
      <w:r>
        <w:rPr>
          <w:rFonts w:ascii="Times New Roman" w:hAnsi="Times New Roman" w:cs="Times New Roman"/>
          <w:sz w:val="28"/>
          <w:szCs w:val="28"/>
        </w:rPr>
        <w:t xml:space="preserve"> that, first, separate health and </w:t>
      </w:r>
      <w:r w:rsidR="00140F8C">
        <w:rPr>
          <w:rFonts w:ascii="Times New Roman" w:hAnsi="Times New Roman" w:cs="Times New Roman"/>
          <w:sz w:val="28"/>
          <w:szCs w:val="28"/>
        </w:rPr>
        <w:t>social care administrations are</w:t>
      </w:r>
      <w:r>
        <w:rPr>
          <w:rFonts w:ascii="Times New Roman" w:hAnsi="Times New Roman" w:cs="Times New Roman"/>
          <w:sz w:val="28"/>
          <w:szCs w:val="28"/>
        </w:rPr>
        <w:t xml:space="preserve"> </w:t>
      </w:r>
      <w:r w:rsidR="00140F8C">
        <w:rPr>
          <w:rFonts w:ascii="Times New Roman" w:hAnsi="Times New Roman" w:cs="Times New Roman"/>
          <w:sz w:val="28"/>
          <w:szCs w:val="28"/>
        </w:rPr>
        <w:t xml:space="preserve">now </w:t>
      </w:r>
      <w:r>
        <w:rPr>
          <w:rFonts w:ascii="Times New Roman" w:hAnsi="Times New Roman" w:cs="Times New Roman"/>
          <w:sz w:val="28"/>
          <w:szCs w:val="28"/>
        </w:rPr>
        <w:t>to be fused together int</w:t>
      </w:r>
      <w:r w:rsidR="00450084">
        <w:rPr>
          <w:rFonts w:ascii="Times New Roman" w:hAnsi="Times New Roman" w:cs="Times New Roman"/>
          <w:sz w:val="28"/>
          <w:szCs w:val="28"/>
        </w:rPr>
        <w:t xml:space="preserve">o a single entity, and, second, </w:t>
      </w:r>
      <w:r w:rsidR="002C0B86">
        <w:rPr>
          <w:rFonts w:ascii="Times New Roman" w:hAnsi="Times New Roman" w:cs="Times New Roman"/>
          <w:sz w:val="28"/>
          <w:szCs w:val="28"/>
        </w:rPr>
        <w:t>that</w:t>
      </w:r>
      <w:r>
        <w:rPr>
          <w:rFonts w:ascii="Times New Roman" w:hAnsi="Times New Roman" w:cs="Times New Roman"/>
          <w:sz w:val="28"/>
          <w:szCs w:val="28"/>
        </w:rPr>
        <w:t xml:space="preserve"> the longstanding, highly decentralized structure</w:t>
      </w:r>
      <w:r w:rsidR="00140F8C">
        <w:rPr>
          <w:rFonts w:ascii="Times New Roman" w:hAnsi="Times New Roman" w:cs="Times New Roman"/>
          <w:sz w:val="28"/>
          <w:szCs w:val="28"/>
        </w:rPr>
        <w:t xml:space="preserve"> of </w:t>
      </w:r>
      <w:r w:rsidR="000F19C8">
        <w:rPr>
          <w:rFonts w:ascii="Times New Roman" w:hAnsi="Times New Roman" w:cs="Times New Roman"/>
          <w:sz w:val="28"/>
          <w:szCs w:val="28"/>
        </w:rPr>
        <w:t xml:space="preserve">municipally operated </w:t>
      </w:r>
      <w:r w:rsidR="00140F8C">
        <w:rPr>
          <w:rFonts w:ascii="Times New Roman" w:hAnsi="Times New Roman" w:cs="Times New Roman"/>
          <w:sz w:val="28"/>
          <w:szCs w:val="28"/>
        </w:rPr>
        <w:t>health service providers is</w:t>
      </w:r>
      <w:r>
        <w:rPr>
          <w:rFonts w:ascii="Times New Roman" w:hAnsi="Times New Roman" w:cs="Times New Roman"/>
          <w:sz w:val="28"/>
          <w:szCs w:val="28"/>
        </w:rPr>
        <w:t xml:space="preserve"> to be abolished, replaced instead with</w:t>
      </w:r>
      <w:r w:rsidR="002408F3">
        <w:rPr>
          <w:rFonts w:ascii="Times New Roman" w:hAnsi="Times New Roman" w:cs="Times New Roman"/>
          <w:sz w:val="28"/>
          <w:szCs w:val="28"/>
        </w:rPr>
        <w:t xml:space="preserve"> a new</w:t>
      </w:r>
      <w:r w:rsidR="00E72115">
        <w:rPr>
          <w:rFonts w:ascii="Times New Roman" w:hAnsi="Times New Roman" w:cs="Times New Roman"/>
          <w:sz w:val="28"/>
          <w:szCs w:val="28"/>
        </w:rPr>
        <w:t xml:space="preserve"> configuration made up of</w:t>
      </w:r>
      <w:r w:rsidR="000D38B5">
        <w:rPr>
          <w:rFonts w:ascii="Times New Roman" w:hAnsi="Times New Roman" w:cs="Times New Roman"/>
          <w:sz w:val="28"/>
          <w:szCs w:val="28"/>
        </w:rPr>
        <w:t xml:space="preserve"> 18</w:t>
      </w:r>
      <w:r>
        <w:rPr>
          <w:rFonts w:ascii="Times New Roman" w:hAnsi="Times New Roman" w:cs="Times New Roman"/>
          <w:sz w:val="28"/>
          <w:szCs w:val="28"/>
        </w:rPr>
        <w:t xml:space="preserve"> </w:t>
      </w:r>
      <w:r w:rsidR="00E72115">
        <w:rPr>
          <w:rFonts w:ascii="Times New Roman" w:hAnsi="Times New Roman" w:cs="Times New Roman"/>
          <w:sz w:val="28"/>
          <w:szCs w:val="28"/>
        </w:rPr>
        <w:t xml:space="preserve">new </w:t>
      </w:r>
      <w:r>
        <w:rPr>
          <w:rFonts w:ascii="Times New Roman" w:hAnsi="Times New Roman" w:cs="Times New Roman"/>
          <w:sz w:val="28"/>
          <w:szCs w:val="28"/>
        </w:rPr>
        <w:t xml:space="preserve">regional entities </w:t>
      </w:r>
      <w:r w:rsidR="000D38B5">
        <w:rPr>
          <w:rFonts w:ascii="Times New Roman" w:hAnsi="Times New Roman" w:cs="Times New Roman"/>
          <w:sz w:val="28"/>
          <w:szCs w:val="28"/>
        </w:rPr>
        <w:t xml:space="preserve">(Saltman and Teperi, 2016). </w:t>
      </w:r>
    </w:p>
    <w:p w:rsidR="001B2EFC" w:rsidRDefault="001B2EFC" w:rsidP="00207DA7">
      <w:pPr>
        <w:pStyle w:val="NoSpacing"/>
        <w:rPr>
          <w:rFonts w:ascii="Times New Roman" w:hAnsi="Times New Roman" w:cs="Times New Roman"/>
          <w:sz w:val="28"/>
          <w:szCs w:val="28"/>
        </w:rPr>
      </w:pPr>
    </w:p>
    <w:p w:rsidR="001B2EFC" w:rsidRPr="001B2EFC" w:rsidRDefault="001B2EFC" w:rsidP="00207DA7">
      <w:pPr>
        <w:pStyle w:val="NoSpacing"/>
        <w:rPr>
          <w:rFonts w:ascii="Times New Roman" w:hAnsi="Times New Roman"/>
          <w:iCs/>
          <w:sz w:val="28"/>
          <w:szCs w:val="28"/>
        </w:rPr>
      </w:pPr>
      <w:r>
        <w:rPr>
          <w:rFonts w:ascii="Times New Roman" w:hAnsi="Times New Roman" w:cs="Times New Roman"/>
          <w:sz w:val="28"/>
          <w:szCs w:val="28"/>
        </w:rPr>
        <w:t>Finland’s adopted but as yet not implemented reform will incorporate the following organizational strategies:</w:t>
      </w:r>
    </w:p>
    <w:p w:rsidR="001B2EFC" w:rsidRDefault="001B2EFC" w:rsidP="00207DA7">
      <w:pPr>
        <w:pStyle w:val="NoSpacing"/>
        <w:rPr>
          <w:rFonts w:ascii="Times New Roman" w:hAnsi="Times New Roman"/>
          <w:i/>
          <w:iCs/>
          <w:sz w:val="28"/>
          <w:szCs w:val="28"/>
        </w:rPr>
      </w:pPr>
    </w:p>
    <w:p w:rsidR="00207DA7" w:rsidRPr="007F0684" w:rsidRDefault="00E44291" w:rsidP="00691458">
      <w:pPr>
        <w:pStyle w:val="NoSpacing"/>
        <w:numPr>
          <w:ilvl w:val="0"/>
          <w:numId w:val="15"/>
        </w:numPr>
        <w:rPr>
          <w:rFonts w:ascii="Times New Roman" w:hAnsi="Times New Roman"/>
          <w:sz w:val="28"/>
          <w:szCs w:val="28"/>
        </w:rPr>
      </w:pPr>
      <w:r>
        <w:rPr>
          <w:rFonts w:ascii="Times New Roman" w:hAnsi="Times New Roman"/>
          <w:i/>
          <w:iCs/>
          <w:sz w:val="28"/>
          <w:szCs w:val="28"/>
        </w:rPr>
        <w:t xml:space="preserve">Consolidating and Centralizing the Administrative Structure </w:t>
      </w:r>
      <w:r w:rsidR="00207DA7" w:rsidRPr="00207DA7">
        <w:rPr>
          <w:rFonts w:ascii="Times New Roman" w:hAnsi="Times New Roman"/>
          <w:i/>
          <w:iCs/>
          <w:sz w:val="28"/>
          <w:szCs w:val="28"/>
        </w:rPr>
        <w:t>of Public Health Providers</w:t>
      </w:r>
      <w:r>
        <w:rPr>
          <w:rFonts w:ascii="Times New Roman" w:hAnsi="Times New Roman"/>
          <w:i/>
          <w:iCs/>
          <w:sz w:val="28"/>
          <w:szCs w:val="28"/>
        </w:rPr>
        <w:t>.</w:t>
      </w:r>
      <w:r w:rsidR="00EF74F4">
        <w:rPr>
          <w:rFonts w:ascii="Times New Roman" w:hAnsi="Times New Roman"/>
          <w:sz w:val="28"/>
          <w:szCs w:val="28"/>
        </w:rPr>
        <w:t xml:space="preserve"> The adopted reform proposal will c</w:t>
      </w:r>
      <w:r w:rsidR="00207DA7" w:rsidRPr="00EF74F4">
        <w:rPr>
          <w:rFonts w:ascii="Times New Roman" w:hAnsi="Times New Roman"/>
          <w:sz w:val="28"/>
          <w:szCs w:val="28"/>
        </w:rPr>
        <w:t>ombine hospital, primary care,</w:t>
      </w:r>
      <w:r w:rsidR="00EF74F4">
        <w:rPr>
          <w:rFonts w:ascii="Times New Roman" w:hAnsi="Times New Roman"/>
          <w:sz w:val="28"/>
          <w:szCs w:val="28"/>
        </w:rPr>
        <w:t xml:space="preserve"> and </w:t>
      </w:r>
      <w:r w:rsidR="003155DE">
        <w:rPr>
          <w:rFonts w:ascii="Times New Roman" w:hAnsi="Times New Roman"/>
          <w:sz w:val="28"/>
          <w:szCs w:val="28"/>
        </w:rPr>
        <w:t>long-term</w:t>
      </w:r>
      <w:r w:rsidR="00EF74F4">
        <w:rPr>
          <w:rFonts w:ascii="Times New Roman" w:hAnsi="Times New Roman"/>
          <w:sz w:val="28"/>
          <w:szCs w:val="28"/>
        </w:rPr>
        <w:t xml:space="preserve"> care service providers within </w:t>
      </w:r>
      <w:r w:rsidR="00207DA7" w:rsidRPr="00EF74F4">
        <w:rPr>
          <w:rFonts w:ascii="Times New Roman" w:hAnsi="Times New Roman"/>
          <w:i/>
          <w:iCs/>
          <w:sz w:val="28"/>
          <w:szCs w:val="28"/>
        </w:rPr>
        <w:t>regional integrated bodies</w:t>
      </w:r>
      <w:r w:rsidR="00EF74F4">
        <w:rPr>
          <w:rFonts w:ascii="Times New Roman" w:hAnsi="Times New Roman"/>
          <w:i/>
          <w:iCs/>
          <w:sz w:val="28"/>
          <w:szCs w:val="28"/>
        </w:rPr>
        <w:t xml:space="preserve">. </w:t>
      </w:r>
      <w:r w:rsidR="00D47761">
        <w:rPr>
          <w:rFonts w:ascii="Times New Roman" w:hAnsi="Times New Roman"/>
          <w:iCs/>
          <w:sz w:val="28"/>
          <w:szCs w:val="28"/>
        </w:rPr>
        <w:t>To</w:t>
      </w:r>
      <w:r w:rsidR="00EF74F4" w:rsidRPr="00EF74F4">
        <w:rPr>
          <w:rFonts w:ascii="Times New Roman" w:hAnsi="Times New Roman"/>
          <w:iCs/>
          <w:sz w:val="28"/>
          <w:szCs w:val="28"/>
        </w:rPr>
        <w:t xml:space="preserve"> accomplish this objective, it will</w:t>
      </w:r>
      <w:r w:rsidR="00207DA7" w:rsidRPr="00EF74F4">
        <w:rPr>
          <w:rFonts w:ascii="Times New Roman" w:hAnsi="Times New Roman"/>
          <w:sz w:val="28"/>
          <w:szCs w:val="28"/>
        </w:rPr>
        <w:t xml:space="preserve"> </w:t>
      </w:r>
      <w:r w:rsidR="006F745A">
        <w:rPr>
          <w:rFonts w:ascii="Times New Roman" w:hAnsi="Times New Roman"/>
          <w:sz w:val="28"/>
          <w:szCs w:val="28"/>
        </w:rPr>
        <w:t>shift the main responsibility for operating this newly</w:t>
      </w:r>
      <w:r w:rsidR="00027028">
        <w:rPr>
          <w:rFonts w:ascii="Times New Roman" w:hAnsi="Times New Roman"/>
          <w:sz w:val="28"/>
          <w:szCs w:val="28"/>
        </w:rPr>
        <w:t>-</w:t>
      </w:r>
      <w:r w:rsidR="006F745A">
        <w:rPr>
          <w:rFonts w:ascii="Times New Roman" w:hAnsi="Times New Roman"/>
          <w:sz w:val="28"/>
          <w:szCs w:val="28"/>
        </w:rPr>
        <w:t>combined</w:t>
      </w:r>
      <w:r w:rsidR="00027028">
        <w:rPr>
          <w:rFonts w:ascii="Times New Roman" w:hAnsi="Times New Roman"/>
          <w:sz w:val="28"/>
          <w:szCs w:val="28"/>
        </w:rPr>
        <w:t xml:space="preserve"> </w:t>
      </w:r>
      <w:r w:rsidR="006F745A">
        <w:rPr>
          <w:rFonts w:ascii="Times New Roman" w:hAnsi="Times New Roman"/>
          <w:sz w:val="28"/>
          <w:szCs w:val="28"/>
        </w:rPr>
        <w:t>primary/long</w:t>
      </w:r>
      <w:r w:rsidR="00D57183">
        <w:rPr>
          <w:rFonts w:ascii="Times New Roman" w:hAnsi="Times New Roman"/>
          <w:sz w:val="28"/>
          <w:szCs w:val="28"/>
        </w:rPr>
        <w:t>-</w:t>
      </w:r>
      <w:r w:rsidR="006F745A">
        <w:rPr>
          <w:rFonts w:ascii="Times New Roman" w:hAnsi="Times New Roman"/>
          <w:sz w:val="28"/>
          <w:szCs w:val="28"/>
        </w:rPr>
        <w:t xml:space="preserve">term care </w:t>
      </w:r>
      <w:r w:rsidR="00027028">
        <w:rPr>
          <w:rFonts w:ascii="Times New Roman" w:hAnsi="Times New Roman"/>
          <w:sz w:val="28"/>
          <w:szCs w:val="28"/>
        </w:rPr>
        <w:t>administrative structure</w:t>
      </w:r>
      <w:r w:rsidR="007F0684">
        <w:rPr>
          <w:rFonts w:ascii="Times New Roman" w:hAnsi="Times New Roman"/>
          <w:sz w:val="28"/>
          <w:szCs w:val="28"/>
        </w:rPr>
        <w:t xml:space="preserve"> from </w:t>
      </w:r>
      <w:r w:rsidR="00207DA7" w:rsidRPr="007F0684">
        <w:rPr>
          <w:rFonts w:ascii="Times New Roman" w:hAnsi="Times New Roman"/>
          <w:sz w:val="28"/>
          <w:szCs w:val="28"/>
        </w:rPr>
        <w:t xml:space="preserve">319 </w:t>
      </w:r>
      <w:r w:rsidR="000F19C8">
        <w:rPr>
          <w:rFonts w:ascii="Times New Roman" w:hAnsi="Times New Roman"/>
          <w:iCs/>
          <w:sz w:val="28"/>
          <w:szCs w:val="28"/>
        </w:rPr>
        <w:t>m</w:t>
      </w:r>
      <w:r w:rsidR="00207DA7" w:rsidRPr="000F19C8">
        <w:rPr>
          <w:rFonts w:ascii="Times New Roman" w:hAnsi="Times New Roman"/>
          <w:iCs/>
          <w:sz w:val="28"/>
          <w:szCs w:val="28"/>
        </w:rPr>
        <w:t>unicipal</w:t>
      </w:r>
      <w:r w:rsidR="000F19C8">
        <w:rPr>
          <w:rFonts w:ascii="Times New Roman" w:hAnsi="Times New Roman"/>
          <w:sz w:val="28"/>
          <w:szCs w:val="28"/>
        </w:rPr>
        <w:t xml:space="preserve"> g</w:t>
      </w:r>
      <w:r w:rsidR="00207DA7" w:rsidRPr="007F0684">
        <w:rPr>
          <w:rFonts w:ascii="Times New Roman" w:hAnsi="Times New Roman"/>
          <w:sz w:val="28"/>
          <w:szCs w:val="28"/>
        </w:rPr>
        <w:t>overnments</w:t>
      </w:r>
      <w:r w:rsidR="007F0684">
        <w:rPr>
          <w:rFonts w:ascii="Times New Roman" w:hAnsi="Times New Roman"/>
          <w:sz w:val="28"/>
          <w:szCs w:val="28"/>
        </w:rPr>
        <w:t xml:space="preserve"> (reduced from 450 until just recently) to a (somewhat formulaic) </w:t>
      </w:r>
      <w:r w:rsidR="00207DA7" w:rsidRPr="007F0684">
        <w:rPr>
          <w:rFonts w:ascii="Times New Roman" w:hAnsi="Times New Roman"/>
          <w:sz w:val="28"/>
          <w:szCs w:val="28"/>
        </w:rPr>
        <w:t xml:space="preserve"> 12 +3+3 </w:t>
      </w:r>
      <w:r w:rsidR="007F0684">
        <w:rPr>
          <w:rFonts w:ascii="Times New Roman" w:hAnsi="Times New Roman"/>
          <w:sz w:val="28"/>
          <w:szCs w:val="28"/>
        </w:rPr>
        <w:t xml:space="preserve">set of </w:t>
      </w:r>
      <w:r w:rsidR="00207DA7" w:rsidRPr="007F0684">
        <w:rPr>
          <w:rFonts w:ascii="Times New Roman" w:hAnsi="Times New Roman"/>
          <w:i/>
          <w:iCs/>
          <w:sz w:val="28"/>
          <w:szCs w:val="28"/>
        </w:rPr>
        <w:t>Regional</w:t>
      </w:r>
      <w:r w:rsidR="00207DA7" w:rsidRPr="007F0684">
        <w:rPr>
          <w:rFonts w:ascii="Times New Roman" w:hAnsi="Times New Roman"/>
          <w:sz w:val="28"/>
          <w:szCs w:val="28"/>
        </w:rPr>
        <w:t xml:space="preserve"> Health and Social Organizations (</w:t>
      </w:r>
      <w:r w:rsidR="007F0684">
        <w:rPr>
          <w:rFonts w:ascii="Times New Roman" w:hAnsi="Times New Roman"/>
          <w:sz w:val="28"/>
          <w:szCs w:val="28"/>
        </w:rPr>
        <w:t xml:space="preserve">termed </w:t>
      </w:r>
      <w:r w:rsidR="00207DA7" w:rsidRPr="007F0684">
        <w:rPr>
          <w:rFonts w:ascii="Times New Roman" w:hAnsi="Times New Roman"/>
          <w:sz w:val="28"/>
          <w:szCs w:val="28"/>
        </w:rPr>
        <w:t>SOTE)</w:t>
      </w:r>
      <w:r w:rsidR="007F0684">
        <w:rPr>
          <w:rFonts w:ascii="Times New Roman" w:hAnsi="Times New Roman"/>
          <w:sz w:val="28"/>
          <w:szCs w:val="28"/>
        </w:rPr>
        <w:t>. These new SOTE administrative structures, in turn, will have v</w:t>
      </w:r>
      <w:r w:rsidR="00207DA7" w:rsidRPr="007F0684">
        <w:rPr>
          <w:rFonts w:ascii="Times New Roman" w:hAnsi="Times New Roman"/>
          <w:sz w:val="28"/>
          <w:szCs w:val="28"/>
        </w:rPr>
        <w:t xml:space="preserve">aried </w:t>
      </w:r>
      <w:r w:rsidR="001B2EFC" w:rsidRPr="007F0684">
        <w:rPr>
          <w:rFonts w:ascii="Times New Roman" w:hAnsi="Times New Roman"/>
          <w:sz w:val="28"/>
          <w:szCs w:val="28"/>
        </w:rPr>
        <w:t xml:space="preserve">service </w:t>
      </w:r>
      <w:r w:rsidR="00207DA7" w:rsidRPr="007F0684">
        <w:rPr>
          <w:rFonts w:ascii="Times New Roman" w:hAnsi="Times New Roman"/>
          <w:sz w:val="28"/>
          <w:szCs w:val="28"/>
        </w:rPr>
        <w:t xml:space="preserve">production rights: 12 SOTE </w:t>
      </w:r>
      <w:r w:rsidR="007F0684">
        <w:rPr>
          <w:rFonts w:ascii="Times New Roman" w:hAnsi="Times New Roman"/>
          <w:sz w:val="28"/>
          <w:szCs w:val="28"/>
        </w:rPr>
        <w:t xml:space="preserve">will be entitled to </w:t>
      </w:r>
      <w:r w:rsidR="00207DA7" w:rsidRPr="007F0684">
        <w:rPr>
          <w:rFonts w:ascii="Times New Roman" w:hAnsi="Times New Roman"/>
          <w:sz w:val="28"/>
          <w:szCs w:val="28"/>
        </w:rPr>
        <w:t>produce their own services</w:t>
      </w:r>
      <w:r w:rsidR="007F0684">
        <w:rPr>
          <w:rFonts w:ascii="Times New Roman" w:hAnsi="Times New Roman"/>
          <w:sz w:val="28"/>
          <w:szCs w:val="28"/>
        </w:rPr>
        <w:t>;</w:t>
      </w:r>
      <w:r w:rsidR="00207DA7" w:rsidRPr="007F0684">
        <w:rPr>
          <w:rFonts w:ascii="Times New Roman" w:hAnsi="Times New Roman"/>
          <w:sz w:val="28"/>
          <w:szCs w:val="28"/>
        </w:rPr>
        <w:t xml:space="preserve"> 3 SOTE </w:t>
      </w:r>
      <w:r w:rsidR="007F0684">
        <w:rPr>
          <w:rFonts w:ascii="Times New Roman" w:hAnsi="Times New Roman"/>
          <w:sz w:val="28"/>
          <w:szCs w:val="28"/>
        </w:rPr>
        <w:t xml:space="preserve">will be required to share service production with those </w:t>
      </w:r>
      <w:r w:rsidR="00207DA7" w:rsidRPr="007F0684">
        <w:rPr>
          <w:rFonts w:ascii="Times New Roman" w:hAnsi="Times New Roman"/>
          <w:sz w:val="28"/>
          <w:szCs w:val="28"/>
        </w:rPr>
        <w:t>12</w:t>
      </w:r>
      <w:r w:rsidR="007F0684">
        <w:rPr>
          <w:rFonts w:ascii="Times New Roman" w:hAnsi="Times New Roman"/>
          <w:sz w:val="28"/>
          <w:szCs w:val="28"/>
        </w:rPr>
        <w:t xml:space="preserve"> SOTE; while 3 small/rural SOTE will not be allowed to</w:t>
      </w:r>
      <w:r w:rsidR="00207DA7" w:rsidRPr="007F0684">
        <w:rPr>
          <w:rFonts w:ascii="Times New Roman" w:hAnsi="Times New Roman"/>
          <w:sz w:val="28"/>
          <w:szCs w:val="28"/>
        </w:rPr>
        <w:t xml:space="preserve"> produce</w:t>
      </w:r>
      <w:r w:rsidR="007F0684">
        <w:rPr>
          <w:rFonts w:ascii="Times New Roman" w:hAnsi="Times New Roman"/>
          <w:sz w:val="28"/>
          <w:szCs w:val="28"/>
        </w:rPr>
        <w:t xml:space="preserve"> their own services at all, but </w:t>
      </w:r>
      <w:r w:rsidR="00885DA0">
        <w:rPr>
          <w:rFonts w:ascii="Times New Roman" w:hAnsi="Times New Roman"/>
          <w:sz w:val="28"/>
          <w:szCs w:val="28"/>
        </w:rPr>
        <w:t xml:space="preserve">will be </w:t>
      </w:r>
      <w:r w:rsidR="007F0684">
        <w:rPr>
          <w:rFonts w:ascii="Times New Roman" w:hAnsi="Times New Roman"/>
          <w:sz w:val="28"/>
          <w:szCs w:val="28"/>
        </w:rPr>
        <w:t xml:space="preserve">required to </w:t>
      </w:r>
      <w:r w:rsidR="00207DA7" w:rsidRPr="007F0684">
        <w:rPr>
          <w:rFonts w:ascii="Times New Roman" w:hAnsi="Times New Roman"/>
          <w:sz w:val="28"/>
          <w:szCs w:val="28"/>
        </w:rPr>
        <w:t xml:space="preserve">contract </w:t>
      </w:r>
      <w:r w:rsidR="007F0684">
        <w:rPr>
          <w:rFonts w:ascii="Times New Roman" w:hAnsi="Times New Roman"/>
          <w:sz w:val="28"/>
          <w:szCs w:val="28"/>
        </w:rPr>
        <w:t xml:space="preserve">all </w:t>
      </w:r>
      <w:r w:rsidR="00207DA7" w:rsidRPr="007F0684">
        <w:rPr>
          <w:rFonts w:ascii="Times New Roman" w:hAnsi="Times New Roman"/>
          <w:sz w:val="28"/>
          <w:szCs w:val="28"/>
        </w:rPr>
        <w:t>services</w:t>
      </w:r>
      <w:r w:rsidR="007F0684">
        <w:rPr>
          <w:rFonts w:ascii="Times New Roman" w:hAnsi="Times New Roman"/>
          <w:sz w:val="28"/>
          <w:szCs w:val="28"/>
        </w:rPr>
        <w:t xml:space="preserve"> from the other 15 SOTE (Saltman and Teperi, 2016). </w:t>
      </w:r>
    </w:p>
    <w:p w:rsidR="002E0EC5" w:rsidRDefault="002E0EC5" w:rsidP="0004345A">
      <w:pPr>
        <w:pStyle w:val="NoSpacing"/>
        <w:rPr>
          <w:rFonts w:ascii="Times New Roman" w:hAnsi="Times New Roman" w:cs="Times New Roman"/>
          <w:sz w:val="28"/>
          <w:szCs w:val="28"/>
        </w:rPr>
      </w:pPr>
    </w:p>
    <w:p w:rsidR="00207DA7" w:rsidRDefault="006404C6" w:rsidP="00691458">
      <w:pPr>
        <w:pStyle w:val="NoSpacing"/>
        <w:numPr>
          <w:ilvl w:val="0"/>
          <w:numId w:val="15"/>
        </w:numPr>
        <w:rPr>
          <w:rFonts w:ascii="Times New Roman" w:hAnsi="Times New Roman"/>
          <w:sz w:val="28"/>
          <w:szCs w:val="28"/>
        </w:rPr>
      </w:pPr>
      <w:r>
        <w:rPr>
          <w:rFonts w:ascii="Times New Roman" w:hAnsi="Times New Roman"/>
          <w:i/>
          <w:iCs/>
          <w:sz w:val="28"/>
          <w:szCs w:val="28"/>
        </w:rPr>
        <w:t xml:space="preserve">Centralizing </w:t>
      </w:r>
      <w:r w:rsidR="00207DA7" w:rsidRPr="00207DA7">
        <w:rPr>
          <w:rFonts w:ascii="Times New Roman" w:hAnsi="Times New Roman"/>
          <w:i/>
          <w:iCs/>
          <w:sz w:val="28"/>
          <w:szCs w:val="28"/>
        </w:rPr>
        <w:t>Financial/Operational Mea</w:t>
      </w:r>
      <w:r w:rsidR="00037E66">
        <w:rPr>
          <w:rFonts w:ascii="Times New Roman" w:hAnsi="Times New Roman"/>
          <w:i/>
          <w:iCs/>
          <w:sz w:val="28"/>
          <w:szCs w:val="28"/>
        </w:rPr>
        <w:t>sures; Introducing some competition for Public Hospital Services.</w:t>
      </w:r>
      <w:r w:rsidR="006436C9">
        <w:rPr>
          <w:rFonts w:ascii="Times New Roman" w:hAnsi="Times New Roman"/>
          <w:i/>
          <w:iCs/>
          <w:sz w:val="28"/>
          <w:szCs w:val="28"/>
        </w:rPr>
        <w:t xml:space="preserve"> </w:t>
      </w:r>
      <w:r w:rsidR="00F82E00" w:rsidRPr="00F82E00">
        <w:rPr>
          <w:rFonts w:ascii="Times New Roman" w:hAnsi="Times New Roman"/>
          <w:iCs/>
          <w:sz w:val="28"/>
          <w:szCs w:val="28"/>
        </w:rPr>
        <w:t>U</w:t>
      </w:r>
      <w:r w:rsidR="00F82E00">
        <w:rPr>
          <w:rFonts w:ascii="Times New Roman" w:hAnsi="Times New Roman"/>
          <w:sz w:val="28"/>
          <w:szCs w:val="28"/>
        </w:rPr>
        <w:t xml:space="preserve">nder the new framework, </w:t>
      </w:r>
      <w:r w:rsidR="00207DA7" w:rsidRPr="006436C9">
        <w:rPr>
          <w:rFonts w:ascii="Times New Roman" w:hAnsi="Times New Roman"/>
          <w:sz w:val="28"/>
          <w:szCs w:val="28"/>
        </w:rPr>
        <w:t xml:space="preserve">100% </w:t>
      </w:r>
      <w:r w:rsidR="00F82E00">
        <w:rPr>
          <w:rFonts w:ascii="Times New Roman" w:hAnsi="Times New Roman"/>
          <w:sz w:val="28"/>
          <w:szCs w:val="28"/>
        </w:rPr>
        <w:t xml:space="preserve">of health care funding will come directly </w:t>
      </w:r>
      <w:r w:rsidR="00207DA7" w:rsidRPr="006436C9">
        <w:rPr>
          <w:rFonts w:ascii="Times New Roman" w:hAnsi="Times New Roman"/>
          <w:sz w:val="28"/>
          <w:szCs w:val="28"/>
        </w:rPr>
        <w:t>from</w:t>
      </w:r>
      <w:r w:rsidR="00F82E00">
        <w:rPr>
          <w:rFonts w:ascii="Times New Roman" w:hAnsi="Times New Roman"/>
          <w:sz w:val="28"/>
          <w:szCs w:val="28"/>
        </w:rPr>
        <w:t xml:space="preserve"> the</w:t>
      </w:r>
      <w:r w:rsidR="00207DA7" w:rsidRPr="006436C9">
        <w:rPr>
          <w:rFonts w:ascii="Times New Roman" w:hAnsi="Times New Roman"/>
          <w:sz w:val="28"/>
          <w:szCs w:val="28"/>
        </w:rPr>
        <w:t xml:space="preserve"> national government</w:t>
      </w:r>
      <w:r w:rsidR="00F82E00">
        <w:rPr>
          <w:rFonts w:ascii="Times New Roman" w:hAnsi="Times New Roman"/>
          <w:sz w:val="28"/>
          <w:szCs w:val="28"/>
        </w:rPr>
        <w:t xml:space="preserve">. This </w:t>
      </w:r>
      <w:r w:rsidR="00F82E00">
        <w:rPr>
          <w:rFonts w:ascii="Times New Roman" w:hAnsi="Times New Roman"/>
          <w:sz w:val="28"/>
          <w:szCs w:val="28"/>
        </w:rPr>
        <w:lastRenderedPageBreak/>
        <w:t>represents a major centralization of control, in that municipal governments will no longer share in financing health and part</w:t>
      </w:r>
      <w:r>
        <w:rPr>
          <w:rFonts w:ascii="Times New Roman" w:hAnsi="Times New Roman"/>
          <w:sz w:val="28"/>
          <w:szCs w:val="28"/>
        </w:rPr>
        <w:t>icularly social care services</w:t>
      </w:r>
      <w:r w:rsidR="00C16E9D">
        <w:rPr>
          <w:rFonts w:ascii="Times New Roman" w:hAnsi="Times New Roman"/>
          <w:sz w:val="28"/>
          <w:szCs w:val="28"/>
        </w:rPr>
        <w:t>. This centralization of funding, in conjunction with the consolidation of administrative control just noted, is seen by Finnish authorities as increasing accountability and performance by dramatically reducing the number of governmental actors supervising</w:t>
      </w:r>
      <w:r w:rsidR="009B6CCC">
        <w:rPr>
          <w:rFonts w:ascii="Times New Roman" w:hAnsi="Times New Roman"/>
          <w:sz w:val="28"/>
          <w:szCs w:val="28"/>
        </w:rPr>
        <w:t xml:space="preserve"> health system decision-making</w:t>
      </w:r>
      <w:r w:rsidR="00C16E9D">
        <w:rPr>
          <w:rFonts w:ascii="Times New Roman" w:hAnsi="Times New Roman"/>
          <w:sz w:val="28"/>
          <w:szCs w:val="28"/>
        </w:rPr>
        <w:t xml:space="preserve">. </w:t>
      </w:r>
      <w:r w:rsidR="009B6CCC">
        <w:rPr>
          <w:rFonts w:ascii="Times New Roman" w:hAnsi="Times New Roman"/>
          <w:sz w:val="28"/>
          <w:szCs w:val="28"/>
        </w:rPr>
        <w:t xml:space="preserve"> A related strategic element in this new governance structure is the expectation that competition between public hospitals to obtain SOTE contracts will introduce a dimension of competition – and thus better performance – into the heretofore fixed-catchment-area-based public system of hospital services. </w:t>
      </w:r>
    </w:p>
    <w:p w:rsidR="00DD3ABE" w:rsidRDefault="00DD3ABE" w:rsidP="00DD3ABE">
      <w:pPr>
        <w:pStyle w:val="ListParagraph"/>
        <w:rPr>
          <w:rFonts w:ascii="Times New Roman" w:hAnsi="Times New Roman"/>
          <w:sz w:val="28"/>
          <w:szCs w:val="28"/>
        </w:rPr>
      </w:pPr>
    </w:p>
    <w:p w:rsidR="00DD3ABE" w:rsidRPr="00DD3ABE" w:rsidRDefault="00DD3ABE" w:rsidP="002A33DD">
      <w:pPr>
        <w:pStyle w:val="NoSpacing"/>
        <w:rPr>
          <w:rFonts w:ascii="Times New Roman" w:hAnsi="Times New Roman"/>
          <w:sz w:val="28"/>
          <w:szCs w:val="28"/>
        </w:rPr>
      </w:pPr>
      <w:r>
        <w:rPr>
          <w:rFonts w:ascii="Times New Roman" w:hAnsi="Times New Roman"/>
          <w:sz w:val="28"/>
          <w:szCs w:val="28"/>
        </w:rPr>
        <w:t xml:space="preserve">One important strategic issue that as of </w:t>
      </w:r>
      <w:r w:rsidR="004A5A4C">
        <w:rPr>
          <w:rFonts w:ascii="Times New Roman" w:hAnsi="Times New Roman"/>
          <w:sz w:val="28"/>
          <w:szCs w:val="28"/>
        </w:rPr>
        <w:t xml:space="preserve">the </w:t>
      </w:r>
      <w:r>
        <w:rPr>
          <w:rFonts w:ascii="Times New Roman" w:hAnsi="Times New Roman"/>
          <w:sz w:val="28"/>
          <w:szCs w:val="28"/>
        </w:rPr>
        <w:t xml:space="preserve">June 2016 </w:t>
      </w:r>
      <w:r w:rsidR="004A5A4C">
        <w:rPr>
          <w:rFonts w:ascii="Times New Roman" w:hAnsi="Times New Roman"/>
          <w:sz w:val="28"/>
          <w:szCs w:val="28"/>
        </w:rPr>
        <w:t>official announcement</w:t>
      </w:r>
      <w:r w:rsidR="00417401">
        <w:rPr>
          <w:rFonts w:ascii="Times New Roman" w:hAnsi="Times New Roman"/>
          <w:sz w:val="28"/>
          <w:szCs w:val="28"/>
        </w:rPr>
        <w:t xml:space="preserve"> </w:t>
      </w:r>
      <w:r>
        <w:rPr>
          <w:rFonts w:ascii="Times New Roman" w:hAnsi="Times New Roman"/>
          <w:sz w:val="28"/>
          <w:szCs w:val="28"/>
        </w:rPr>
        <w:t>had not been</w:t>
      </w:r>
      <w:r w:rsidR="00B2589E">
        <w:rPr>
          <w:rFonts w:ascii="Times New Roman" w:hAnsi="Times New Roman"/>
          <w:sz w:val="28"/>
          <w:szCs w:val="28"/>
        </w:rPr>
        <w:t xml:space="preserve"> resolved was whether to consolidate</w:t>
      </w:r>
      <w:r>
        <w:rPr>
          <w:rFonts w:ascii="Times New Roman" w:hAnsi="Times New Roman"/>
          <w:sz w:val="28"/>
          <w:szCs w:val="28"/>
        </w:rPr>
        <w:t xml:space="preserve"> the separate public revenue stream that the National Health Insurance System (KELA) deploys as subsidies to private health services (typically a 23% subsidy) and especially for employer-provided occupational health services (a 60% subsidy). These two separate public funding streams, while they provide alternative routes to services</w:t>
      </w:r>
      <w:r w:rsidR="00FB4307">
        <w:rPr>
          <w:rFonts w:ascii="Times New Roman" w:hAnsi="Times New Roman"/>
          <w:sz w:val="28"/>
          <w:szCs w:val="28"/>
        </w:rPr>
        <w:t xml:space="preserve"> for citizens who otherwise face</w:t>
      </w:r>
      <w:r>
        <w:rPr>
          <w:rFonts w:ascii="Times New Roman" w:hAnsi="Times New Roman"/>
          <w:sz w:val="28"/>
          <w:szCs w:val="28"/>
        </w:rPr>
        <w:t xml:space="preserve"> long waiting times</w:t>
      </w:r>
      <w:r w:rsidR="00250369">
        <w:rPr>
          <w:rFonts w:ascii="Times New Roman" w:hAnsi="Times New Roman"/>
          <w:sz w:val="28"/>
          <w:szCs w:val="28"/>
        </w:rPr>
        <w:t>,</w:t>
      </w:r>
      <w:r>
        <w:rPr>
          <w:rFonts w:ascii="Times New Roman" w:hAnsi="Times New Roman"/>
          <w:sz w:val="28"/>
          <w:szCs w:val="28"/>
        </w:rPr>
        <w:t xml:space="preserve"> especially to see a public primary care physician, are however seen </w:t>
      </w:r>
      <w:r w:rsidR="00FB4307">
        <w:rPr>
          <w:rFonts w:ascii="Times New Roman" w:hAnsi="Times New Roman"/>
          <w:sz w:val="28"/>
          <w:szCs w:val="28"/>
        </w:rPr>
        <w:t>by public health advocates as providing</w:t>
      </w:r>
      <w:r w:rsidR="001B3EA6">
        <w:rPr>
          <w:rFonts w:ascii="Times New Roman" w:hAnsi="Times New Roman"/>
          <w:sz w:val="28"/>
          <w:szCs w:val="28"/>
        </w:rPr>
        <w:t xml:space="preserve"> </w:t>
      </w:r>
      <w:r>
        <w:rPr>
          <w:rFonts w:ascii="Times New Roman" w:hAnsi="Times New Roman"/>
          <w:sz w:val="28"/>
          <w:szCs w:val="28"/>
        </w:rPr>
        <w:t xml:space="preserve">unequal access to health services overall, benefiting, respectively, the middle classes and the employed. </w:t>
      </w:r>
      <w:r w:rsidR="001B3EA6">
        <w:rPr>
          <w:rFonts w:ascii="Times New Roman" w:hAnsi="Times New Roman"/>
          <w:sz w:val="28"/>
          <w:szCs w:val="28"/>
        </w:rPr>
        <w:t xml:space="preserve">Whether the ongoing reform strategies of consolidation and centralization will be applied to KELA is, however, a highly political topic. There is also the practical dimension that KELA-subsidized services reduce the pressure on already over-stressed public sector primary care providers, and adding those additional patients into the public system could negate any benefit achieved by re-purposing KELA’s existing public revenue streams. </w:t>
      </w:r>
    </w:p>
    <w:p w:rsidR="00D85E64" w:rsidRDefault="00207DA7" w:rsidP="001B3EA6">
      <w:pPr>
        <w:pStyle w:val="NoSpacing"/>
        <w:rPr>
          <w:rFonts w:ascii="Times New Roman" w:hAnsi="Times New Roman" w:cs="Times New Roman"/>
          <w:sz w:val="28"/>
          <w:szCs w:val="28"/>
        </w:rPr>
      </w:pPr>
      <w:r w:rsidRPr="00207DA7">
        <w:rPr>
          <w:rFonts w:ascii="Times New Roman" w:hAnsi="Times New Roman"/>
          <w:sz w:val="28"/>
          <w:szCs w:val="28"/>
        </w:rPr>
        <w:t xml:space="preserve">     </w:t>
      </w:r>
    </w:p>
    <w:p w:rsidR="002E0EC5" w:rsidRDefault="002E0EC5" w:rsidP="0004345A">
      <w:pPr>
        <w:pStyle w:val="NoSpacing"/>
        <w:rPr>
          <w:rFonts w:ascii="Times New Roman" w:hAnsi="Times New Roman" w:cs="Times New Roman"/>
          <w:sz w:val="28"/>
          <w:szCs w:val="28"/>
        </w:rPr>
      </w:pPr>
    </w:p>
    <w:p w:rsidR="00D85E64" w:rsidRPr="00FE0C56" w:rsidRDefault="00D85E64" w:rsidP="0004345A">
      <w:pPr>
        <w:pStyle w:val="NoSpacing"/>
        <w:rPr>
          <w:rFonts w:ascii="Times New Roman" w:hAnsi="Times New Roman" w:cs="Times New Roman"/>
          <w:b/>
          <w:sz w:val="28"/>
          <w:szCs w:val="28"/>
        </w:rPr>
      </w:pPr>
      <w:r w:rsidRPr="00FE0C56">
        <w:rPr>
          <w:rFonts w:ascii="Times New Roman" w:hAnsi="Times New Roman" w:cs="Times New Roman"/>
          <w:b/>
          <w:sz w:val="28"/>
          <w:szCs w:val="28"/>
        </w:rPr>
        <w:t>England</w:t>
      </w:r>
    </w:p>
    <w:p w:rsidR="00D85E64" w:rsidRDefault="00D85E64" w:rsidP="0004345A">
      <w:pPr>
        <w:pStyle w:val="NoSpacing"/>
        <w:rPr>
          <w:rFonts w:ascii="Times New Roman" w:hAnsi="Times New Roman" w:cs="Times New Roman"/>
          <w:sz w:val="28"/>
          <w:szCs w:val="28"/>
        </w:rPr>
      </w:pPr>
    </w:p>
    <w:p w:rsidR="0097148C" w:rsidRDefault="00D67E3E" w:rsidP="0004345A">
      <w:pPr>
        <w:pStyle w:val="NoSpacing"/>
        <w:rPr>
          <w:rFonts w:ascii="Times New Roman" w:hAnsi="Times New Roman" w:cs="Times New Roman"/>
          <w:sz w:val="28"/>
          <w:szCs w:val="28"/>
        </w:rPr>
      </w:pPr>
      <w:r>
        <w:rPr>
          <w:rFonts w:ascii="Times New Roman" w:hAnsi="Times New Roman" w:cs="Times New Roman"/>
          <w:sz w:val="28"/>
          <w:szCs w:val="28"/>
        </w:rPr>
        <w:t xml:space="preserve">Faced with </w:t>
      </w:r>
      <w:r w:rsidR="00C01C7F">
        <w:rPr>
          <w:rFonts w:ascii="Times New Roman" w:hAnsi="Times New Roman" w:cs="Times New Roman"/>
          <w:sz w:val="28"/>
          <w:szCs w:val="28"/>
        </w:rPr>
        <w:t>serious financing</w:t>
      </w:r>
      <w:r w:rsidR="00BC3057">
        <w:rPr>
          <w:rFonts w:ascii="Times New Roman" w:hAnsi="Times New Roman" w:cs="Times New Roman"/>
          <w:sz w:val="28"/>
          <w:szCs w:val="28"/>
        </w:rPr>
        <w:t xml:space="preserve"> problems as </w:t>
      </w:r>
      <w:r>
        <w:rPr>
          <w:rFonts w:ascii="Times New Roman" w:hAnsi="Times New Roman" w:cs="Times New Roman"/>
          <w:sz w:val="28"/>
          <w:szCs w:val="28"/>
        </w:rPr>
        <w:t>noted in Section I above</w:t>
      </w:r>
      <w:r w:rsidR="00C01C7F">
        <w:rPr>
          <w:rFonts w:ascii="Times New Roman" w:hAnsi="Times New Roman" w:cs="Times New Roman"/>
          <w:sz w:val="28"/>
          <w:szCs w:val="28"/>
        </w:rPr>
        <w:t>, the English National Health Service (NHS) has developed a wide range of different (sometimes internally contradictory) strategies to generate services less expensively. Over the last two decades, these have included</w:t>
      </w:r>
      <w:r w:rsidR="009129D2">
        <w:rPr>
          <w:rFonts w:ascii="Times New Roman" w:hAnsi="Times New Roman" w:cs="Times New Roman"/>
          <w:sz w:val="28"/>
          <w:szCs w:val="28"/>
        </w:rPr>
        <w:t>:</w:t>
      </w:r>
      <w:r w:rsidR="00C01C7F">
        <w:rPr>
          <w:rFonts w:ascii="Times New Roman" w:hAnsi="Times New Roman" w:cs="Times New Roman"/>
          <w:sz w:val="28"/>
          <w:szCs w:val="28"/>
        </w:rPr>
        <w:t xml:space="preserve"> different strategies to encourage NHS hospitals to be managed more efficiently (Edwards, 2011); the development of the Private Finance Initiative which has enabled the NHS to commission over 1</w:t>
      </w:r>
      <w:r w:rsidR="0034735B">
        <w:rPr>
          <w:rFonts w:ascii="Times New Roman" w:hAnsi="Times New Roman" w:cs="Times New Roman"/>
          <w:sz w:val="28"/>
          <w:szCs w:val="28"/>
        </w:rPr>
        <w:t xml:space="preserve">00 hospitals </w:t>
      </w:r>
      <w:r w:rsidR="00C01C7F">
        <w:rPr>
          <w:rFonts w:ascii="Times New Roman" w:hAnsi="Times New Roman" w:cs="Times New Roman"/>
          <w:sz w:val="28"/>
          <w:szCs w:val="28"/>
        </w:rPr>
        <w:t xml:space="preserve">built and owned by privately capitalized </w:t>
      </w:r>
      <w:r w:rsidR="0034735B">
        <w:rPr>
          <w:rFonts w:ascii="Times New Roman" w:hAnsi="Times New Roman" w:cs="Times New Roman"/>
          <w:sz w:val="28"/>
          <w:szCs w:val="28"/>
        </w:rPr>
        <w:t>companies from whom the NHS</w:t>
      </w:r>
      <w:r w:rsidR="00C01C7F">
        <w:rPr>
          <w:rFonts w:ascii="Times New Roman" w:hAnsi="Times New Roman" w:cs="Times New Roman"/>
          <w:sz w:val="28"/>
          <w:szCs w:val="28"/>
        </w:rPr>
        <w:t xml:space="preserve"> rents the inst</w:t>
      </w:r>
      <w:r w:rsidR="00722D24">
        <w:rPr>
          <w:rFonts w:ascii="Times New Roman" w:hAnsi="Times New Roman" w:cs="Times New Roman"/>
          <w:sz w:val="28"/>
          <w:szCs w:val="28"/>
        </w:rPr>
        <w:t>itution (Boyle, 2011)</w:t>
      </w:r>
      <w:r w:rsidR="00C01C7F">
        <w:rPr>
          <w:rFonts w:ascii="Times New Roman" w:hAnsi="Times New Roman" w:cs="Times New Roman"/>
          <w:sz w:val="28"/>
          <w:szCs w:val="28"/>
        </w:rPr>
        <w:t xml:space="preserve">; </w:t>
      </w:r>
      <w:r w:rsidR="00027028">
        <w:rPr>
          <w:rFonts w:ascii="Times New Roman" w:hAnsi="Times New Roman" w:cs="Times New Roman"/>
          <w:sz w:val="28"/>
          <w:szCs w:val="28"/>
        </w:rPr>
        <w:t xml:space="preserve">strategies </w:t>
      </w:r>
      <w:r w:rsidR="00C01C7F">
        <w:rPr>
          <w:rFonts w:ascii="Times New Roman" w:hAnsi="Times New Roman" w:cs="Times New Roman"/>
          <w:sz w:val="28"/>
          <w:szCs w:val="28"/>
        </w:rPr>
        <w:t xml:space="preserve">to improve the performance and speed of patient throughput in hospital accident and emergency </w:t>
      </w:r>
      <w:r w:rsidR="00C01C7F">
        <w:rPr>
          <w:rFonts w:ascii="Times New Roman" w:hAnsi="Times New Roman" w:cs="Times New Roman"/>
          <w:sz w:val="28"/>
          <w:szCs w:val="28"/>
        </w:rPr>
        <w:lastRenderedPageBreak/>
        <w:t>facilities; and to better coordinate/integrate hospital and socia</w:t>
      </w:r>
      <w:r w:rsidR="00B507AB">
        <w:rPr>
          <w:rFonts w:ascii="Times New Roman" w:hAnsi="Times New Roman" w:cs="Times New Roman"/>
          <w:sz w:val="28"/>
          <w:szCs w:val="28"/>
        </w:rPr>
        <w:t>l care services (Stubbs, 2016</w:t>
      </w:r>
      <w:r w:rsidR="0097148C">
        <w:rPr>
          <w:rFonts w:ascii="Times New Roman" w:hAnsi="Times New Roman" w:cs="Times New Roman"/>
          <w:sz w:val="28"/>
          <w:szCs w:val="28"/>
        </w:rPr>
        <w:t xml:space="preserve">). </w:t>
      </w:r>
      <w:r w:rsidR="0034735B">
        <w:rPr>
          <w:rFonts w:ascii="Times New Roman" w:hAnsi="Times New Roman" w:cs="Times New Roman"/>
          <w:sz w:val="28"/>
          <w:szCs w:val="28"/>
        </w:rPr>
        <w:t xml:space="preserve"> Despite </w:t>
      </w:r>
      <w:r w:rsidR="00C01C7F">
        <w:rPr>
          <w:rFonts w:ascii="Times New Roman" w:hAnsi="Times New Roman" w:cs="Times New Roman"/>
          <w:sz w:val="28"/>
          <w:szCs w:val="28"/>
        </w:rPr>
        <w:t>these efforts,</w:t>
      </w:r>
      <w:r w:rsidR="0097148C">
        <w:rPr>
          <w:rFonts w:ascii="Times New Roman" w:hAnsi="Times New Roman" w:cs="Times New Roman"/>
          <w:sz w:val="28"/>
          <w:szCs w:val="28"/>
        </w:rPr>
        <w:t xml:space="preserve"> however, the general perspective is that the NHS has conti</w:t>
      </w:r>
      <w:r w:rsidR="003D784C">
        <w:rPr>
          <w:rFonts w:ascii="Times New Roman" w:hAnsi="Times New Roman" w:cs="Times New Roman"/>
          <w:sz w:val="28"/>
          <w:szCs w:val="28"/>
        </w:rPr>
        <w:t>nued</w:t>
      </w:r>
      <w:r w:rsidR="0097148C">
        <w:rPr>
          <w:rFonts w:ascii="Times New Roman" w:hAnsi="Times New Roman" w:cs="Times New Roman"/>
          <w:sz w:val="28"/>
          <w:szCs w:val="28"/>
        </w:rPr>
        <w:t xml:space="preserve"> to sink into </w:t>
      </w:r>
      <w:r w:rsidR="009129D2">
        <w:rPr>
          <w:rFonts w:ascii="Times New Roman" w:hAnsi="Times New Roman" w:cs="Times New Roman"/>
          <w:sz w:val="28"/>
          <w:szCs w:val="28"/>
        </w:rPr>
        <w:t xml:space="preserve">an </w:t>
      </w:r>
      <w:r w:rsidR="0097148C">
        <w:rPr>
          <w:rFonts w:ascii="Times New Roman" w:hAnsi="Times New Roman" w:cs="Times New Roman"/>
          <w:sz w:val="28"/>
          <w:szCs w:val="28"/>
        </w:rPr>
        <w:t>increasingly serious financial and operational crisis (</w:t>
      </w:r>
      <w:r w:rsidR="001B5851">
        <w:rPr>
          <w:rFonts w:ascii="Times New Roman" w:hAnsi="Times New Roman" w:cs="Times New Roman"/>
          <w:sz w:val="28"/>
          <w:szCs w:val="28"/>
        </w:rPr>
        <w:t>Stubbs</w:t>
      </w:r>
      <w:r w:rsidR="003D784C">
        <w:rPr>
          <w:rFonts w:ascii="Times New Roman" w:hAnsi="Times New Roman" w:cs="Times New Roman"/>
          <w:sz w:val="28"/>
          <w:szCs w:val="28"/>
        </w:rPr>
        <w:t>, 2016;</w:t>
      </w:r>
      <w:r w:rsidR="00E13224">
        <w:rPr>
          <w:rFonts w:ascii="Times New Roman" w:hAnsi="Times New Roman" w:cs="Times New Roman"/>
          <w:sz w:val="28"/>
          <w:szCs w:val="28"/>
        </w:rPr>
        <w:t xml:space="preserve"> Neville,</w:t>
      </w:r>
      <w:r w:rsidR="0097148C">
        <w:rPr>
          <w:rFonts w:ascii="Times New Roman" w:hAnsi="Times New Roman" w:cs="Times New Roman"/>
          <w:sz w:val="28"/>
          <w:szCs w:val="28"/>
        </w:rPr>
        <w:t xml:space="preserve"> 2017</w:t>
      </w:r>
      <w:r w:rsidR="0034735B">
        <w:rPr>
          <w:rFonts w:ascii="Times New Roman" w:hAnsi="Times New Roman" w:cs="Times New Roman"/>
          <w:sz w:val="28"/>
          <w:szCs w:val="28"/>
        </w:rPr>
        <w:t>; Gainsboro and Appelby, 2017</w:t>
      </w:r>
      <w:r w:rsidR="0097148C">
        <w:rPr>
          <w:rFonts w:ascii="Times New Roman" w:hAnsi="Times New Roman" w:cs="Times New Roman"/>
          <w:sz w:val="28"/>
          <w:szCs w:val="28"/>
        </w:rPr>
        <w:t>).</w:t>
      </w:r>
      <w:r w:rsidR="00C01C7F">
        <w:rPr>
          <w:rFonts w:ascii="Times New Roman" w:hAnsi="Times New Roman" w:cs="Times New Roman"/>
          <w:sz w:val="28"/>
          <w:szCs w:val="28"/>
        </w:rPr>
        <w:t xml:space="preserve"> </w:t>
      </w:r>
    </w:p>
    <w:p w:rsidR="00873818" w:rsidRDefault="00873818" w:rsidP="0004345A">
      <w:pPr>
        <w:pStyle w:val="NoSpacing"/>
        <w:rPr>
          <w:rFonts w:ascii="Times New Roman" w:hAnsi="Times New Roman" w:cs="Times New Roman"/>
          <w:sz w:val="28"/>
          <w:szCs w:val="28"/>
        </w:rPr>
      </w:pPr>
    </w:p>
    <w:p w:rsidR="00FE0C56" w:rsidRDefault="00882EB8" w:rsidP="0004345A">
      <w:pPr>
        <w:pStyle w:val="NoSpacing"/>
        <w:rPr>
          <w:rFonts w:ascii="Times New Roman" w:hAnsi="Times New Roman" w:cs="Times New Roman"/>
          <w:sz w:val="28"/>
          <w:szCs w:val="28"/>
        </w:rPr>
      </w:pPr>
      <w:r>
        <w:rPr>
          <w:rFonts w:ascii="Times New Roman" w:hAnsi="Times New Roman" w:cs="Times New Roman"/>
          <w:sz w:val="28"/>
          <w:szCs w:val="28"/>
        </w:rPr>
        <w:t>One innovative strategy</w:t>
      </w:r>
      <w:r w:rsidR="00873818">
        <w:rPr>
          <w:rFonts w:ascii="Times New Roman" w:hAnsi="Times New Roman" w:cs="Times New Roman"/>
          <w:sz w:val="28"/>
          <w:szCs w:val="28"/>
        </w:rPr>
        <w:t xml:space="preserve"> to tackle these NHS dilemmas has been to</w:t>
      </w:r>
      <w:r w:rsidR="003D4A2E">
        <w:rPr>
          <w:rFonts w:ascii="Times New Roman" w:hAnsi="Times New Roman" w:cs="Times New Roman"/>
          <w:sz w:val="28"/>
          <w:szCs w:val="28"/>
        </w:rPr>
        <w:t xml:space="preserve"> – simultaneously -</w:t>
      </w:r>
      <w:r w:rsidR="00873818">
        <w:rPr>
          <w:rFonts w:ascii="Times New Roman" w:hAnsi="Times New Roman" w:cs="Times New Roman"/>
          <w:sz w:val="28"/>
          <w:szCs w:val="28"/>
        </w:rPr>
        <w:t xml:space="preserve"> introduce new forms of </w:t>
      </w:r>
      <w:r w:rsidR="00873818" w:rsidRPr="00873818">
        <w:rPr>
          <w:rFonts w:ascii="Times New Roman" w:hAnsi="Times New Roman" w:cs="Times New Roman"/>
          <w:i/>
          <w:sz w:val="28"/>
          <w:szCs w:val="28"/>
        </w:rPr>
        <w:t>consolidation</w:t>
      </w:r>
      <w:r w:rsidR="00873818">
        <w:rPr>
          <w:rFonts w:ascii="Times New Roman" w:hAnsi="Times New Roman" w:cs="Times New Roman"/>
          <w:sz w:val="28"/>
          <w:szCs w:val="28"/>
        </w:rPr>
        <w:t xml:space="preserve"> of service providers with </w:t>
      </w:r>
      <w:r w:rsidR="00873818" w:rsidRPr="00873818">
        <w:rPr>
          <w:rFonts w:ascii="Times New Roman" w:hAnsi="Times New Roman" w:cs="Times New Roman"/>
          <w:i/>
          <w:sz w:val="28"/>
          <w:szCs w:val="28"/>
        </w:rPr>
        <w:t>decentralization</w:t>
      </w:r>
      <w:r w:rsidR="00873818">
        <w:rPr>
          <w:rFonts w:ascii="Times New Roman" w:hAnsi="Times New Roman" w:cs="Times New Roman"/>
          <w:i/>
          <w:sz w:val="28"/>
          <w:szCs w:val="28"/>
        </w:rPr>
        <w:t xml:space="preserve"> </w:t>
      </w:r>
      <w:r w:rsidR="00873818" w:rsidRPr="00873818">
        <w:rPr>
          <w:rFonts w:ascii="Times New Roman" w:hAnsi="Times New Roman" w:cs="Times New Roman"/>
          <w:sz w:val="28"/>
          <w:szCs w:val="28"/>
        </w:rPr>
        <w:t>of managerial responsibility</w:t>
      </w:r>
      <w:r w:rsidR="00873818">
        <w:rPr>
          <w:rFonts w:ascii="Times New Roman" w:hAnsi="Times New Roman" w:cs="Times New Roman"/>
          <w:i/>
          <w:sz w:val="28"/>
          <w:szCs w:val="28"/>
        </w:rPr>
        <w:t xml:space="preserve">. </w:t>
      </w:r>
      <w:r>
        <w:rPr>
          <w:rFonts w:ascii="Times New Roman" w:hAnsi="Times New Roman" w:cs="Times New Roman"/>
          <w:sz w:val="28"/>
          <w:szCs w:val="28"/>
        </w:rPr>
        <w:t>In April 2016, a pilot project was begun in Greater Manchester</w:t>
      </w:r>
      <w:r w:rsidR="00AF4EF7">
        <w:rPr>
          <w:rFonts w:ascii="Times New Roman" w:hAnsi="Times New Roman" w:cs="Times New Roman"/>
          <w:sz w:val="28"/>
          <w:szCs w:val="28"/>
        </w:rPr>
        <w:t>, for its population of 2.8 million. Under the new arrangement, overall political supervision has been delegated to</w:t>
      </w:r>
      <w:r>
        <w:rPr>
          <w:rFonts w:ascii="Times New Roman" w:hAnsi="Times New Roman" w:cs="Times New Roman"/>
          <w:sz w:val="28"/>
          <w:szCs w:val="28"/>
        </w:rPr>
        <w:t xml:space="preserve"> a new regional council</w:t>
      </w:r>
      <w:r w:rsidR="00065B4E">
        <w:rPr>
          <w:rFonts w:ascii="Times New Roman" w:hAnsi="Times New Roman" w:cs="Times New Roman"/>
          <w:sz w:val="28"/>
          <w:szCs w:val="28"/>
        </w:rPr>
        <w:t xml:space="preserve"> made up of</w:t>
      </w:r>
      <w:r w:rsidR="00AF4EF7">
        <w:rPr>
          <w:rFonts w:ascii="Times New Roman" w:hAnsi="Times New Roman" w:cs="Times New Roman"/>
          <w:sz w:val="28"/>
          <w:szCs w:val="28"/>
        </w:rPr>
        <w:t xml:space="preserve"> 37</w:t>
      </w:r>
      <w:r>
        <w:rPr>
          <w:rFonts w:ascii="Times New Roman" w:hAnsi="Times New Roman" w:cs="Times New Roman"/>
          <w:sz w:val="28"/>
          <w:szCs w:val="28"/>
        </w:rPr>
        <w:t xml:space="preserve"> public health and social care organizations,</w:t>
      </w:r>
      <w:r w:rsidR="00AF4EF7">
        <w:rPr>
          <w:rFonts w:ascii="Times New Roman" w:hAnsi="Times New Roman" w:cs="Times New Roman"/>
          <w:sz w:val="28"/>
          <w:szCs w:val="28"/>
        </w:rPr>
        <w:t xml:space="preserve"> including </w:t>
      </w:r>
      <w:r w:rsidR="00AF4EF7" w:rsidRPr="00FE0C56">
        <w:rPr>
          <w:rFonts w:ascii="Times New Roman" w:hAnsi="Times New Roman"/>
          <w:sz w:val="28"/>
          <w:szCs w:val="28"/>
        </w:rPr>
        <w:t xml:space="preserve">10 Local Authorities, 12 Clinical Commissioning Groups, </w:t>
      </w:r>
      <w:r w:rsidR="00AF4EF7">
        <w:rPr>
          <w:rFonts w:ascii="Times New Roman" w:hAnsi="Times New Roman"/>
          <w:sz w:val="28"/>
          <w:szCs w:val="28"/>
        </w:rPr>
        <w:t xml:space="preserve">and </w:t>
      </w:r>
      <w:r w:rsidR="00AF4EF7" w:rsidRPr="00FE0C56">
        <w:rPr>
          <w:rFonts w:ascii="Times New Roman" w:hAnsi="Times New Roman"/>
          <w:sz w:val="28"/>
          <w:szCs w:val="28"/>
        </w:rPr>
        <w:t>15 NHS Provider</w:t>
      </w:r>
      <w:r w:rsidR="00AF4EF7">
        <w:rPr>
          <w:rFonts w:ascii="Times New Roman" w:hAnsi="Times New Roman"/>
          <w:sz w:val="28"/>
          <w:szCs w:val="28"/>
        </w:rPr>
        <w:t xml:space="preserve">s (hospital groups). </w:t>
      </w:r>
      <w:r w:rsidR="00C162F7">
        <w:rPr>
          <w:rFonts w:ascii="Times New Roman" w:hAnsi="Times New Roman"/>
          <w:sz w:val="28"/>
          <w:szCs w:val="28"/>
        </w:rPr>
        <w:t xml:space="preserve">The total NHS budget being devolved is 6 billion pounds per year (Walshe et al, 2016). </w:t>
      </w:r>
      <w:r w:rsidR="00AF4EF7">
        <w:rPr>
          <w:rFonts w:ascii="Times New Roman" w:hAnsi="Times New Roman"/>
          <w:sz w:val="28"/>
          <w:szCs w:val="28"/>
        </w:rPr>
        <w:t xml:space="preserve">This new structure is </w:t>
      </w:r>
      <w:r w:rsidR="00196CF3">
        <w:rPr>
          <w:rFonts w:ascii="Times New Roman" w:hAnsi="Times New Roman" w:cs="Times New Roman"/>
          <w:sz w:val="28"/>
          <w:szCs w:val="28"/>
        </w:rPr>
        <w:t>chaired by the Mayor of the Greater Manchester Council</w:t>
      </w:r>
      <w:r w:rsidR="00AF4EF7">
        <w:rPr>
          <w:rFonts w:ascii="Times New Roman" w:hAnsi="Times New Roman" w:cs="Times New Roman"/>
          <w:sz w:val="28"/>
          <w:szCs w:val="28"/>
        </w:rPr>
        <w:t>, who is himself elected by the constituent local authority councils</w:t>
      </w:r>
      <w:r w:rsidR="00196CF3">
        <w:rPr>
          <w:rFonts w:ascii="Times New Roman" w:hAnsi="Times New Roman" w:cs="Times New Roman"/>
          <w:sz w:val="28"/>
          <w:szCs w:val="28"/>
        </w:rPr>
        <w:t>.</w:t>
      </w:r>
      <w:r>
        <w:rPr>
          <w:rFonts w:ascii="Times New Roman" w:hAnsi="Times New Roman" w:cs="Times New Roman"/>
          <w:sz w:val="28"/>
          <w:szCs w:val="28"/>
        </w:rPr>
        <w:t xml:space="preserve"> </w:t>
      </w:r>
      <w:r w:rsidR="00196CF3">
        <w:rPr>
          <w:rFonts w:ascii="Times New Roman" w:hAnsi="Times New Roman" w:cs="Times New Roman"/>
          <w:sz w:val="28"/>
          <w:szCs w:val="28"/>
        </w:rPr>
        <w:t xml:space="preserve">The concept is </w:t>
      </w:r>
      <w:r w:rsidR="00AF4EF7">
        <w:rPr>
          <w:rFonts w:ascii="Times New Roman" w:hAnsi="Times New Roman" w:cs="Times New Roman"/>
          <w:sz w:val="28"/>
          <w:szCs w:val="28"/>
        </w:rPr>
        <w:t>that this new regional body will</w:t>
      </w:r>
      <w:r w:rsidR="00065B4E">
        <w:rPr>
          <w:rFonts w:ascii="Times New Roman" w:hAnsi="Times New Roman" w:cs="Times New Roman"/>
          <w:sz w:val="28"/>
          <w:szCs w:val="28"/>
        </w:rPr>
        <w:t xml:space="preserve"> coordinate </w:t>
      </w:r>
      <w:r w:rsidR="00AF4EF7">
        <w:rPr>
          <w:rFonts w:ascii="Times New Roman" w:hAnsi="Times New Roman" w:cs="Times New Roman"/>
          <w:sz w:val="28"/>
          <w:szCs w:val="28"/>
        </w:rPr>
        <w:t>the health-related a</w:t>
      </w:r>
      <w:r w:rsidR="00065B4E">
        <w:rPr>
          <w:rFonts w:ascii="Times New Roman" w:hAnsi="Times New Roman" w:cs="Times New Roman"/>
          <w:sz w:val="28"/>
          <w:szCs w:val="28"/>
        </w:rPr>
        <w:t xml:space="preserve">ctivities </w:t>
      </w:r>
      <w:r w:rsidR="00AF4EF7">
        <w:rPr>
          <w:rFonts w:ascii="Times New Roman" w:hAnsi="Times New Roman" w:cs="Times New Roman"/>
          <w:sz w:val="28"/>
          <w:szCs w:val="28"/>
        </w:rPr>
        <w:t xml:space="preserve">of its member organizations so as </w:t>
      </w:r>
      <w:r w:rsidR="002F0612">
        <w:rPr>
          <w:rFonts w:ascii="Times New Roman" w:hAnsi="Times New Roman" w:cs="Times New Roman"/>
          <w:sz w:val="28"/>
          <w:szCs w:val="28"/>
        </w:rPr>
        <w:t>to better fit</w:t>
      </w:r>
      <w:r w:rsidR="00065B4E">
        <w:rPr>
          <w:rFonts w:ascii="Times New Roman" w:hAnsi="Times New Roman" w:cs="Times New Roman"/>
          <w:sz w:val="28"/>
          <w:szCs w:val="28"/>
        </w:rPr>
        <w:t xml:space="preserve"> the service needs of </w:t>
      </w:r>
      <w:r w:rsidR="002F0612">
        <w:rPr>
          <w:rFonts w:ascii="Times New Roman" w:hAnsi="Times New Roman" w:cs="Times New Roman"/>
          <w:sz w:val="28"/>
          <w:szCs w:val="28"/>
        </w:rPr>
        <w:t xml:space="preserve">local </w:t>
      </w:r>
      <w:r w:rsidR="00065B4E">
        <w:rPr>
          <w:rFonts w:ascii="Times New Roman" w:hAnsi="Times New Roman" w:cs="Times New Roman"/>
          <w:sz w:val="28"/>
          <w:szCs w:val="28"/>
        </w:rPr>
        <w:t>inhabitant</w:t>
      </w:r>
      <w:r w:rsidR="002F0612">
        <w:rPr>
          <w:rFonts w:ascii="Times New Roman" w:hAnsi="Times New Roman" w:cs="Times New Roman"/>
          <w:sz w:val="28"/>
          <w:szCs w:val="28"/>
        </w:rPr>
        <w:t>s, and less</w:t>
      </w:r>
      <w:r w:rsidR="003D4A2E">
        <w:rPr>
          <w:rFonts w:ascii="Times New Roman" w:hAnsi="Times New Roman" w:cs="Times New Roman"/>
          <w:sz w:val="28"/>
          <w:szCs w:val="28"/>
        </w:rPr>
        <w:t>en</w:t>
      </w:r>
      <w:r w:rsidR="00065B4E">
        <w:rPr>
          <w:rFonts w:ascii="Times New Roman" w:hAnsi="Times New Roman" w:cs="Times New Roman"/>
          <w:sz w:val="28"/>
          <w:szCs w:val="28"/>
        </w:rPr>
        <w:t xml:space="preserve"> spend</w:t>
      </w:r>
      <w:r w:rsidR="00AF4EF7">
        <w:rPr>
          <w:rFonts w:ascii="Times New Roman" w:hAnsi="Times New Roman" w:cs="Times New Roman"/>
          <w:sz w:val="28"/>
          <w:szCs w:val="28"/>
        </w:rPr>
        <w:t>ing</w:t>
      </w:r>
      <w:r w:rsidR="002F0612">
        <w:rPr>
          <w:rFonts w:ascii="Times New Roman" w:hAnsi="Times New Roman" w:cs="Times New Roman"/>
          <w:sz w:val="28"/>
          <w:szCs w:val="28"/>
        </w:rPr>
        <w:t xml:space="preserve"> on unnecessarily</w:t>
      </w:r>
      <w:r w:rsidR="00065B4E">
        <w:rPr>
          <w:rFonts w:ascii="Times New Roman" w:hAnsi="Times New Roman" w:cs="Times New Roman"/>
          <w:sz w:val="28"/>
          <w:szCs w:val="28"/>
        </w:rPr>
        <w:t xml:space="preserve"> intensive hospital services.</w:t>
      </w:r>
    </w:p>
    <w:p w:rsidR="005B6EC9" w:rsidRDefault="005B6EC9" w:rsidP="0004345A">
      <w:pPr>
        <w:pStyle w:val="NoSpacing"/>
        <w:rPr>
          <w:rFonts w:ascii="Times New Roman" w:hAnsi="Times New Roman" w:cs="Times New Roman"/>
          <w:sz w:val="28"/>
          <w:szCs w:val="28"/>
        </w:rPr>
      </w:pPr>
    </w:p>
    <w:p w:rsidR="00065B4E" w:rsidRDefault="00D0422F" w:rsidP="0004345A">
      <w:pPr>
        <w:pStyle w:val="NoSpacing"/>
        <w:rPr>
          <w:rFonts w:ascii="Times New Roman" w:hAnsi="Times New Roman" w:cs="Times New Roman"/>
          <w:sz w:val="28"/>
          <w:szCs w:val="28"/>
        </w:rPr>
      </w:pPr>
      <w:r>
        <w:rPr>
          <w:rFonts w:ascii="Times New Roman" w:hAnsi="Times New Roman" w:cs="Times New Roman"/>
          <w:sz w:val="28"/>
          <w:szCs w:val="28"/>
        </w:rPr>
        <w:t xml:space="preserve">Critics </w:t>
      </w:r>
      <w:r w:rsidR="005B6EC9">
        <w:rPr>
          <w:rFonts w:ascii="Times New Roman" w:hAnsi="Times New Roman" w:cs="Times New Roman"/>
          <w:sz w:val="28"/>
          <w:szCs w:val="28"/>
        </w:rPr>
        <w:t>have noted that the coordination powers of the new regional body are voluntary, since each of the existing 37 organizations retains its own separate budget. However</w:t>
      </w:r>
      <w:r w:rsidR="003D4A2E">
        <w:rPr>
          <w:rFonts w:ascii="Times New Roman" w:hAnsi="Times New Roman" w:cs="Times New Roman"/>
          <w:sz w:val="28"/>
          <w:szCs w:val="28"/>
        </w:rPr>
        <w:t>,</w:t>
      </w:r>
      <w:r w:rsidR="005B6EC9">
        <w:rPr>
          <w:rFonts w:ascii="Times New Roman" w:hAnsi="Times New Roman" w:cs="Times New Roman"/>
          <w:sz w:val="28"/>
          <w:szCs w:val="28"/>
        </w:rPr>
        <w:t xml:space="preserve"> the national NH</w:t>
      </w:r>
      <w:r w:rsidR="00DF3D48">
        <w:rPr>
          <w:rFonts w:ascii="Times New Roman" w:hAnsi="Times New Roman" w:cs="Times New Roman"/>
          <w:sz w:val="28"/>
          <w:szCs w:val="28"/>
        </w:rPr>
        <w:t>S has given the new council 45</w:t>
      </w:r>
      <w:r w:rsidR="005B6EC9">
        <w:rPr>
          <w:rFonts w:ascii="Times New Roman" w:hAnsi="Times New Roman" w:cs="Times New Roman"/>
          <w:sz w:val="28"/>
          <w:szCs w:val="28"/>
        </w:rPr>
        <w:t>0 million pounds for “</w:t>
      </w:r>
      <w:r w:rsidR="00DF3D48">
        <w:rPr>
          <w:rFonts w:ascii="Times New Roman" w:hAnsi="Times New Roman" w:cs="Times New Roman"/>
          <w:sz w:val="28"/>
          <w:szCs w:val="28"/>
        </w:rPr>
        <w:t xml:space="preserve">start-up </w:t>
      </w:r>
      <w:r w:rsidR="005B6EC9">
        <w:rPr>
          <w:rFonts w:ascii="Times New Roman" w:hAnsi="Times New Roman" w:cs="Times New Roman"/>
          <w:sz w:val="28"/>
          <w:szCs w:val="28"/>
        </w:rPr>
        <w:t>innovative projects” that work across existing organizational boundaries, and an inducement to</w:t>
      </w:r>
      <w:r w:rsidR="0078204F">
        <w:rPr>
          <w:rFonts w:ascii="Times New Roman" w:hAnsi="Times New Roman" w:cs="Times New Roman"/>
          <w:sz w:val="28"/>
          <w:szCs w:val="28"/>
        </w:rPr>
        <w:t xml:space="preserve"> develop new arrangements (Walshe et al, 2016). </w:t>
      </w:r>
      <w:r w:rsidR="00FC0D79">
        <w:rPr>
          <w:rFonts w:ascii="Times New Roman" w:hAnsi="Times New Roman" w:cs="Times New Roman"/>
          <w:sz w:val="28"/>
          <w:szCs w:val="28"/>
        </w:rPr>
        <w:t>In turn, whether these funds will be used effectively to improve care delivery, or whether they will be siphoned off by Manchester’s heavily politicized local authorities for preferred client groups, remains to be seen.</w:t>
      </w:r>
    </w:p>
    <w:p w:rsidR="00065B4E" w:rsidRDefault="00065B4E" w:rsidP="0004345A">
      <w:pPr>
        <w:pStyle w:val="NoSpacing"/>
        <w:rPr>
          <w:rFonts w:ascii="Times New Roman" w:hAnsi="Times New Roman" w:cs="Times New Roman"/>
          <w:sz w:val="28"/>
          <w:szCs w:val="28"/>
        </w:rPr>
      </w:pPr>
    </w:p>
    <w:p w:rsidR="00FE0C56" w:rsidRDefault="00FE0C56" w:rsidP="000A54BE">
      <w:pPr>
        <w:pStyle w:val="NoSpacing"/>
        <w:rPr>
          <w:rFonts w:ascii="Times New Roman" w:hAnsi="Times New Roman" w:cs="Times New Roman"/>
          <w:sz w:val="28"/>
          <w:szCs w:val="28"/>
        </w:rPr>
      </w:pPr>
    </w:p>
    <w:p w:rsidR="00D85E64" w:rsidRPr="00AF1D45" w:rsidRDefault="00D85E64" w:rsidP="0004345A">
      <w:pPr>
        <w:pStyle w:val="NoSpacing"/>
        <w:rPr>
          <w:rFonts w:ascii="Times New Roman" w:hAnsi="Times New Roman" w:cs="Times New Roman"/>
          <w:b/>
          <w:sz w:val="28"/>
          <w:szCs w:val="28"/>
        </w:rPr>
      </w:pPr>
      <w:r w:rsidRPr="00AF1D45">
        <w:rPr>
          <w:rFonts w:ascii="Times New Roman" w:hAnsi="Times New Roman" w:cs="Times New Roman"/>
          <w:b/>
          <w:sz w:val="28"/>
          <w:szCs w:val="28"/>
        </w:rPr>
        <w:t>Ireland</w:t>
      </w:r>
    </w:p>
    <w:p w:rsidR="00E32381" w:rsidRDefault="00E32381" w:rsidP="0004345A">
      <w:pPr>
        <w:pStyle w:val="NoSpacing"/>
        <w:rPr>
          <w:rFonts w:ascii="Times New Roman" w:hAnsi="Times New Roman" w:cs="Times New Roman"/>
          <w:sz w:val="28"/>
          <w:szCs w:val="28"/>
        </w:rPr>
      </w:pPr>
    </w:p>
    <w:p w:rsidR="002B2DB5" w:rsidRDefault="00B452A6" w:rsidP="0004345A">
      <w:pPr>
        <w:pStyle w:val="NoSpacing"/>
        <w:rPr>
          <w:rFonts w:ascii="Times New Roman" w:hAnsi="Times New Roman" w:cs="Times New Roman"/>
          <w:sz w:val="28"/>
          <w:szCs w:val="28"/>
        </w:rPr>
      </w:pPr>
      <w:r>
        <w:rPr>
          <w:rFonts w:ascii="Times New Roman" w:hAnsi="Times New Roman" w:cs="Times New Roman"/>
          <w:sz w:val="28"/>
          <w:szCs w:val="28"/>
        </w:rPr>
        <w:t>Ireland’s economy was severely affected by the 2008 fiscal crisis, and its</w:t>
      </w:r>
      <w:r w:rsidR="002B2DB5">
        <w:rPr>
          <w:rFonts w:ascii="Times New Roman" w:hAnsi="Times New Roman" w:cs="Times New Roman"/>
          <w:sz w:val="28"/>
          <w:szCs w:val="28"/>
        </w:rPr>
        <w:t xml:space="preserve"> health care system’s reform strategies have followed much the same pattern of administrative consolidation that has occurred in several Nordic countries. Like these other countries with relatively small populations (3 to 5 millions), Ireland in 2005 – much like Norway in 2002 and Denmark in 2007 – </w:t>
      </w:r>
      <w:r>
        <w:rPr>
          <w:rFonts w:ascii="Times New Roman" w:hAnsi="Times New Roman" w:cs="Times New Roman"/>
          <w:sz w:val="28"/>
          <w:szCs w:val="28"/>
        </w:rPr>
        <w:t xml:space="preserve">had already </w:t>
      </w:r>
      <w:r w:rsidR="002B2DB5">
        <w:rPr>
          <w:rFonts w:ascii="Times New Roman" w:hAnsi="Times New Roman" w:cs="Times New Roman"/>
          <w:sz w:val="28"/>
          <w:szCs w:val="28"/>
        </w:rPr>
        <w:t>shifted away from the previous decentralized structure toward a more centralized ar</w:t>
      </w:r>
      <w:r w:rsidR="008A4F5A">
        <w:rPr>
          <w:rFonts w:ascii="Times New Roman" w:hAnsi="Times New Roman" w:cs="Times New Roman"/>
          <w:sz w:val="28"/>
          <w:szCs w:val="28"/>
        </w:rPr>
        <w:t>rangement. L</w:t>
      </w:r>
      <w:r w:rsidR="002B2DB5">
        <w:rPr>
          <w:rFonts w:ascii="Times New Roman" w:hAnsi="Times New Roman" w:cs="Times New Roman"/>
          <w:sz w:val="28"/>
          <w:szCs w:val="28"/>
        </w:rPr>
        <w:t>ike Norway, that new arrangement in Ireland pulled back the governance of health providers directly into the hands o</w:t>
      </w:r>
      <w:r w:rsidR="008A4F5A">
        <w:rPr>
          <w:rFonts w:ascii="Times New Roman" w:hAnsi="Times New Roman" w:cs="Times New Roman"/>
          <w:sz w:val="28"/>
          <w:szCs w:val="28"/>
        </w:rPr>
        <w:t>f the national gover</w:t>
      </w:r>
      <w:r w:rsidR="003B5724">
        <w:rPr>
          <w:rFonts w:ascii="Times New Roman" w:hAnsi="Times New Roman" w:cs="Times New Roman"/>
          <w:sz w:val="28"/>
          <w:szCs w:val="28"/>
        </w:rPr>
        <w:t xml:space="preserve">nment.  </w:t>
      </w:r>
      <w:r w:rsidR="003B5724">
        <w:rPr>
          <w:rFonts w:ascii="Times New Roman" w:hAnsi="Times New Roman" w:cs="Times New Roman"/>
          <w:sz w:val="28"/>
          <w:szCs w:val="28"/>
        </w:rPr>
        <w:lastRenderedPageBreak/>
        <w:t>Unlike these two Nordic countries</w:t>
      </w:r>
      <w:r w:rsidR="008A4F5A">
        <w:rPr>
          <w:rFonts w:ascii="Times New Roman" w:hAnsi="Times New Roman" w:cs="Times New Roman"/>
          <w:sz w:val="28"/>
          <w:szCs w:val="28"/>
        </w:rPr>
        <w:t xml:space="preserve">, however, the last conclusive stage in Ireland’s process of provider-side consolidation occurred after the onset of the 2008 financial crisis. Moreover, the Irish approach incorporated strong references back to English provider-side measures. </w:t>
      </w:r>
    </w:p>
    <w:p w:rsidR="002B2DB5" w:rsidRDefault="002B2DB5" w:rsidP="0004345A">
      <w:pPr>
        <w:pStyle w:val="NoSpacing"/>
        <w:rPr>
          <w:rFonts w:ascii="Times New Roman" w:hAnsi="Times New Roman" w:cs="Times New Roman"/>
          <w:sz w:val="28"/>
          <w:szCs w:val="28"/>
        </w:rPr>
      </w:pPr>
    </w:p>
    <w:p w:rsidR="008A4F5A" w:rsidRDefault="002B2DB5" w:rsidP="00B329F3">
      <w:pPr>
        <w:pStyle w:val="NoSpacing"/>
        <w:rPr>
          <w:rFonts w:ascii="Times New Roman" w:hAnsi="Times New Roman"/>
          <w:sz w:val="28"/>
          <w:szCs w:val="28"/>
        </w:rPr>
      </w:pPr>
      <w:r>
        <w:rPr>
          <w:rFonts w:ascii="Times New Roman" w:hAnsi="Times New Roman" w:cs="Times New Roman"/>
          <w:sz w:val="28"/>
          <w:szCs w:val="28"/>
        </w:rPr>
        <w:t>In Ireland’s case,</w:t>
      </w:r>
      <w:r w:rsidR="00AF038A">
        <w:rPr>
          <w:rFonts w:ascii="Times New Roman" w:hAnsi="Times New Roman" w:cs="Times New Roman"/>
          <w:sz w:val="28"/>
          <w:szCs w:val="28"/>
        </w:rPr>
        <w:t xml:space="preserve"> in January 2005</w:t>
      </w:r>
      <w:r>
        <w:rPr>
          <w:rFonts w:ascii="Times New Roman" w:hAnsi="Times New Roman" w:cs="Times New Roman"/>
          <w:sz w:val="28"/>
          <w:szCs w:val="28"/>
        </w:rPr>
        <w:t xml:space="preserve"> the 4 regional health and service boards were replaced by a </w:t>
      </w:r>
      <w:r w:rsidR="006B2C08">
        <w:rPr>
          <w:rFonts w:ascii="Times New Roman" w:hAnsi="Times New Roman" w:cs="Times New Roman"/>
          <w:sz w:val="28"/>
          <w:szCs w:val="28"/>
        </w:rPr>
        <w:t>single Health S</w:t>
      </w:r>
      <w:r w:rsidR="00702779">
        <w:rPr>
          <w:rFonts w:ascii="Times New Roman" w:hAnsi="Times New Roman" w:cs="Times New Roman"/>
          <w:sz w:val="28"/>
          <w:szCs w:val="28"/>
        </w:rPr>
        <w:t>ervice Executive (McDaid et al, 2009</w:t>
      </w:r>
      <w:r w:rsidR="006B2C08">
        <w:rPr>
          <w:rFonts w:ascii="Times New Roman" w:hAnsi="Times New Roman" w:cs="Times New Roman"/>
          <w:sz w:val="28"/>
          <w:szCs w:val="28"/>
        </w:rPr>
        <w:t>).</w:t>
      </w:r>
      <w:r>
        <w:rPr>
          <w:rFonts w:ascii="Times New Roman" w:hAnsi="Times New Roman" w:cs="Times New Roman"/>
          <w:sz w:val="28"/>
          <w:szCs w:val="28"/>
        </w:rPr>
        <w:t xml:space="preserve"> </w:t>
      </w:r>
      <w:r w:rsidR="006B2C08">
        <w:rPr>
          <w:rFonts w:ascii="Times New Roman" w:hAnsi="Times New Roman" w:cs="Times New Roman"/>
          <w:sz w:val="28"/>
          <w:szCs w:val="28"/>
        </w:rPr>
        <w:t xml:space="preserve">Further, in April 2007, </w:t>
      </w:r>
      <w:r w:rsidR="006B2C08" w:rsidRPr="00595C5C">
        <w:rPr>
          <w:rFonts w:ascii="Times New Roman" w:hAnsi="Times New Roman"/>
          <w:sz w:val="28"/>
          <w:szCs w:val="28"/>
        </w:rPr>
        <w:t>19 Social and Health Service T</w:t>
      </w:r>
      <w:r w:rsidR="006B2C08">
        <w:rPr>
          <w:rFonts w:ascii="Times New Roman" w:hAnsi="Times New Roman"/>
          <w:sz w:val="28"/>
          <w:szCs w:val="28"/>
        </w:rPr>
        <w:t xml:space="preserve">rusts merged into 6 Health and </w:t>
      </w:r>
      <w:r w:rsidR="006B2C08" w:rsidRPr="006B2C08">
        <w:rPr>
          <w:rFonts w:ascii="Times New Roman" w:hAnsi="Times New Roman"/>
          <w:sz w:val="28"/>
          <w:szCs w:val="28"/>
        </w:rPr>
        <w:t>Social Care Trusts</w:t>
      </w:r>
      <w:r w:rsidR="00190048">
        <w:rPr>
          <w:rFonts w:ascii="Times New Roman" w:hAnsi="Times New Roman"/>
          <w:sz w:val="28"/>
          <w:szCs w:val="28"/>
        </w:rPr>
        <w:t>. Following the onset of the 2008 crisis, in April 2009</w:t>
      </w:r>
      <w:r w:rsidR="006B2C08">
        <w:rPr>
          <w:rFonts w:ascii="Times New Roman" w:hAnsi="Times New Roman"/>
          <w:sz w:val="28"/>
          <w:szCs w:val="28"/>
        </w:rPr>
        <w:t xml:space="preserve"> these separate health and social care entities were</w:t>
      </w:r>
      <w:r w:rsidR="00190048">
        <w:rPr>
          <w:rFonts w:ascii="Times New Roman" w:hAnsi="Times New Roman"/>
          <w:sz w:val="28"/>
          <w:szCs w:val="28"/>
        </w:rPr>
        <w:t xml:space="preserve"> quickly</w:t>
      </w:r>
      <w:r w:rsidR="006B2C08">
        <w:rPr>
          <w:rFonts w:ascii="Times New Roman" w:hAnsi="Times New Roman"/>
          <w:sz w:val="28"/>
          <w:szCs w:val="28"/>
        </w:rPr>
        <w:t xml:space="preserve"> merged into a </w:t>
      </w:r>
      <w:r w:rsidR="006B2C08" w:rsidRPr="00595C5C">
        <w:rPr>
          <w:rFonts w:ascii="Times New Roman" w:hAnsi="Times New Roman"/>
          <w:sz w:val="28"/>
          <w:szCs w:val="28"/>
        </w:rPr>
        <w:t>single nation</w:t>
      </w:r>
      <w:r w:rsidR="00190048">
        <w:rPr>
          <w:rFonts w:ascii="Times New Roman" w:hAnsi="Times New Roman"/>
          <w:sz w:val="28"/>
          <w:szCs w:val="28"/>
        </w:rPr>
        <w:t>al Health and Social Care Board in an effort to tightly control overall health and social spending,</w:t>
      </w:r>
      <w:r w:rsidR="006B2C08" w:rsidRPr="00595C5C">
        <w:rPr>
          <w:rFonts w:ascii="Times New Roman" w:hAnsi="Times New Roman"/>
          <w:sz w:val="28"/>
          <w:szCs w:val="28"/>
        </w:rPr>
        <w:t xml:space="preserve"> with</w:t>
      </w:r>
      <w:r w:rsidR="006B2C08">
        <w:rPr>
          <w:rFonts w:ascii="Times New Roman" w:hAnsi="Times New Roman"/>
          <w:sz w:val="28"/>
          <w:szCs w:val="28"/>
        </w:rPr>
        <w:t xml:space="preserve"> </w:t>
      </w:r>
      <w:r w:rsidR="006B2C08" w:rsidRPr="006B2C08">
        <w:rPr>
          <w:rFonts w:ascii="Times New Roman" w:hAnsi="Times New Roman"/>
          <w:sz w:val="28"/>
          <w:szCs w:val="28"/>
        </w:rPr>
        <w:t>5 regional Health and Social Care Trusts</w:t>
      </w:r>
      <w:r w:rsidR="006B2C08">
        <w:rPr>
          <w:rFonts w:ascii="Times New Roman" w:hAnsi="Times New Roman"/>
          <w:sz w:val="28"/>
          <w:szCs w:val="28"/>
        </w:rPr>
        <w:t xml:space="preserve"> and </w:t>
      </w:r>
      <w:r w:rsidR="006B2C08" w:rsidRPr="006B2C08">
        <w:rPr>
          <w:rFonts w:ascii="Times New Roman" w:hAnsi="Times New Roman"/>
          <w:sz w:val="28"/>
          <w:szCs w:val="28"/>
        </w:rPr>
        <w:t xml:space="preserve">5 </w:t>
      </w:r>
      <w:r w:rsidR="006B2C08">
        <w:rPr>
          <w:rFonts w:ascii="Times New Roman" w:hAnsi="Times New Roman"/>
          <w:sz w:val="28"/>
          <w:szCs w:val="28"/>
        </w:rPr>
        <w:t xml:space="preserve">(parallel) </w:t>
      </w:r>
      <w:r w:rsidR="006B2C08" w:rsidRPr="006B2C08">
        <w:rPr>
          <w:rFonts w:ascii="Times New Roman" w:hAnsi="Times New Roman"/>
          <w:sz w:val="28"/>
          <w:szCs w:val="28"/>
        </w:rPr>
        <w:t>regional Local Commissioning Groups</w:t>
      </w:r>
      <w:r w:rsidR="006B2C08">
        <w:rPr>
          <w:rFonts w:ascii="Times New Roman" w:hAnsi="Times New Roman"/>
          <w:sz w:val="28"/>
          <w:szCs w:val="28"/>
        </w:rPr>
        <w:t>.</w:t>
      </w:r>
    </w:p>
    <w:p w:rsidR="008A4F5A" w:rsidRDefault="008A4F5A" w:rsidP="00B329F3">
      <w:pPr>
        <w:pStyle w:val="NoSpacing"/>
        <w:rPr>
          <w:rFonts w:ascii="Times New Roman" w:hAnsi="Times New Roman"/>
          <w:sz w:val="28"/>
          <w:szCs w:val="28"/>
        </w:rPr>
      </w:pPr>
    </w:p>
    <w:p w:rsidR="005B398B" w:rsidRDefault="008A4F5A" w:rsidP="00B329F3">
      <w:pPr>
        <w:pStyle w:val="NoSpacing"/>
        <w:rPr>
          <w:rFonts w:ascii="Times New Roman" w:hAnsi="Times New Roman"/>
          <w:sz w:val="28"/>
          <w:szCs w:val="28"/>
        </w:rPr>
      </w:pPr>
      <w:r>
        <w:rPr>
          <w:rFonts w:ascii="Times New Roman" w:hAnsi="Times New Roman"/>
          <w:sz w:val="28"/>
          <w:szCs w:val="28"/>
        </w:rPr>
        <w:t xml:space="preserve">This process of </w:t>
      </w:r>
      <w:r w:rsidR="009251BF">
        <w:rPr>
          <w:rFonts w:ascii="Times New Roman" w:hAnsi="Times New Roman"/>
          <w:sz w:val="28"/>
          <w:szCs w:val="28"/>
        </w:rPr>
        <w:t>full provider side centra</w:t>
      </w:r>
      <w:r w:rsidR="003E3BCB">
        <w:rPr>
          <w:rFonts w:ascii="Times New Roman" w:hAnsi="Times New Roman"/>
          <w:sz w:val="28"/>
          <w:szCs w:val="28"/>
        </w:rPr>
        <w:t>lization stands in sharp contrast to a proposed but never concluded effort to make fundamental strategic ch</w:t>
      </w:r>
      <w:r w:rsidR="007D21A2">
        <w:rPr>
          <w:rFonts w:ascii="Times New Roman" w:hAnsi="Times New Roman"/>
          <w:sz w:val="28"/>
          <w:szCs w:val="28"/>
        </w:rPr>
        <w:t>ange on</w:t>
      </w:r>
      <w:r w:rsidR="003E3BCB">
        <w:rPr>
          <w:rFonts w:ascii="Times New Roman" w:hAnsi="Times New Roman"/>
          <w:sz w:val="28"/>
          <w:szCs w:val="28"/>
        </w:rPr>
        <w:t xml:space="preserve"> the funding </w:t>
      </w:r>
      <w:r w:rsidR="007D21A2">
        <w:rPr>
          <w:rFonts w:ascii="Times New Roman" w:hAnsi="Times New Roman"/>
          <w:sz w:val="28"/>
          <w:szCs w:val="28"/>
        </w:rPr>
        <w:t xml:space="preserve">side </w:t>
      </w:r>
      <w:r w:rsidR="003E3BCB">
        <w:rPr>
          <w:rFonts w:ascii="Times New Roman" w:hAnsi="Times New Roman"/>
          <w:sz w:val="28"/>
          <w:szCs w:val="28"/>
        </w:rPr>
        <w:t xml:space="preserve">of Irish health care. </w:t>
      </w:r>
      <w:r w:rsidR="00B50274">
        <w:rPr>
          <w:rFonts w:ascii="Times New Roman" w:hAnsi="Times New Roman"/>
          <w:sz w:val="28"/>
          <w:szCs w:val="28"/>
        </w:rPr>
        <w:t xml:space="preserve">As part of the post-2008 effort to make health services more efficient and less expensive, Ireland </w:t>
      </w:r>
      <w:r w:rsidR="007D21A2">
        <w:rPr>
          <w:rFonts w:ascii="Times New Roman" w:hAnsi="Times New Roman"/>
          <w:sz w:val="28"/>
          <w:szCs w:val="28"/>
        </w:rPr>
        <w:t>from 2011 through to 2015 seriously considered replacing the existing tax-based funding structure with a social insurance based system based on private insurance companies, similar in many ways to the post-2006 funding structure i</w:t>
      </w:r>
      <w:r w:rsidR="00780469">
        <w:rPr>
          <w:rFonts w:ascii="Times New Roman" w:hAnsi="Times New Roman"/>
          <w:sz w:val="28"/>
          <w:szCs w:val="28"/>
        </w:rPr>
        <w:t xml:space="preserve">n </w:t>
      </w:r>
      <w:r w:rsidR="00EE203D">
        <w:rPr>
          <w:rFonts w:ascii="Times New Roman" w:hAnsi="Times New Roman"/>
          <w:sz w:val="28"/>
          <w:szCs w:val="28"/>
        </w:rPr>
        <w:t>t</w:t>
      </w:r>
      <w:r w:rsidR="00780469">
        <w:rPr>
          <w:rFonts w:ascii="Times New Roman" w:hAnsi="Times New Roman"/>
          <w:sz w:val="28"/>
          <w:szCs w:val="28"/>
        </w:rPr>
        <w:t>he Netherlands (Kroneman et. al.</w:t>
      </w:r>
      <w:r w:rsidR="007D21A2">
        <w:rPr>
          <w:rFonts w:ascii="Times New Roman" w:hAnsi="Times New Roman"/>
          <w:sz w:val="28"/>
          <w:szCs w:val="28"/>
        </w:rPr>
        <w:t xml:space="preserve">, 2016). </w:t>
      </w:r>
    </w:p>
    <w:p w:rsidR="005B398B" w:rsidRDefault="005B398B" w:rsidP="00B329F3">
      <w:pPr>
        <w:pStyle w:val="NoSpacing"/>
        <w:rPr>
          <w:rFonts w:ascii="Times New Roman" w:hAnsi="Times New Roman"/>
          <w:sz w:val="28"/>
          <w:szCs w:val="28"/>
        </w:rPr>
      </w:pPr>
    </w:p>
    <w:p w:rsidR="00B97171" w:rsidRDefault="009F4440" w:rsidP="009F4440">
      <w:pPr>
        <w:pStyle w:val="NoSpacing"/>
        <w:rPr>
          <w:rFonts w:ascii="Times New Roman" w:hAnsi="Times New Roman"/>
          <w:bCs/>
          <w:iCs/>
          <w:sz w:val="28"/>
          <w:szCs w:val="28"/>
        </w:rPr>
      </w:pPr>
      <w:r w:rsidRPr="009F4440">
        <w:rPr>
          <w:rFonts w:ascii="Times New Roman" w:hAnsi="Times New Roman"/>
          <w:bCs/>
          <w:iCs/>
          <w:sz w:val="28"/>
          <w:szCs w:val="28"/>
        </w:rPr>
        <w:t xml:space="preserve">The proposed Irish funding reform was to shift </w:t>
      </w:r>
      <w:r w:rsidR="00031C0B">
        <w:rPr>
          <w:rFonts w:ascii="Times New Roman" w:hAnsi="Times New Roman"/>
          <w:bCs/>
          <w:iCs/>
          <w:sz w:val="28"/>
          <w:szCs w:val="28"/>
        </w:rPr>
        <w:t>from 77% t</w:t>
      </w:r>
      <w:r>
        <w:rPr>
          <w:rFonts w:ascii="Times New Roman" w:hAnsi="Times New Roman"/>
          <w:bCs/>
          <w:iCs/>
          <w:sz w:val="28"/>
          <w:szCs w:val="28"/>
        </w:rPr>
        <w:t xml:space="preserve">ax-funding to </w:t>
      </w:r>
      <w:r w:rsidR="00B472E1" w:rsidRPr="009F4440">
        <w:rPr>
          <w:rFonts w:ascii="Times New Roman" w:hAnsi="Times New Roman"/>
          <w:bCs/>
          <w:iCs/>
          <w:sz w:val="28"/>
          <w:szCs w:val="28"/>
        </w:rPr>
        <w:t>100% Social Health Insurance</w:t>
      </w:r>
      <w:r w:rsidR="00B97171">
        <w:rPr>
          <w:rFonts w:ascii="Times New Roman" w:hAnsi="Times New Roman"/>
          <w:bCs/>
          <w:iCs/>
          <w:sz w:val="28"/>
          <w:szCs w:val="28"/>
        </w:rPr>
        <w:t xml:space="preserve"> funding (Connolly and Wren, 2016; Burke et al, 2016). </w:t>
      </w:r>
    </w:p>
    <w:p w:rsidR="00B472E1" w:rsidRPr="00595C5C" w:rsidRDefault="009F4440" w:rsidP="009F4440">
      <w:pPr>
        <w:pStyle w:val="NoSpacing"/>
        <w:rPr>
          <w:rFonts w:ascii="Times New Roman" w:hAnsi="Times New Roman"/>
          <w:sz w:val="28"/>
          <w:szCs w:val="28"/>
        </w:rPr>
      </w:pPr>
      <w:r>
        <w:rPr>
          <w:rFonts w:ascii="Times New Roman" w:hAnsi="Times New Roman"/>
          <w:sz w:val="28"/>
          <w:szCs w:val="28"/>
        </w:rPr>
        <w:t>In 2011, the government proposed a s</w:t>
      </w:r>
      <w:r w:rsidR="00B472E1" w:rsidRPr="00595C5C">
        <w:rPr>
          <w:rFonts w:ascii="Times New Roman" w:hAnsi="Times New Roman"/>
          <w:sz w:val="28"/>
          <w:szCs w:val="28"/>
        </w:rPr>
        <w:t xml:space="preserve">hift to Universal Health Insurance (UHI), to </w:t>
      </w:r>
      <w:r>
        <w:rPr>
          <w:rFonts w:ascii="Times New Roman" w:hAnsi="Times New Roman"/>
          <w:sz w:val="28"/>
          <w:szCs w:val="28"/>
        </w:rPr>
        <w:t>start in 2016. Subsequently, in April 2014, the government set out a “m</w:t>
      </w:r>
      <w:r w:rsidR="00B472E1" w:rsidRPr="00595C5C">
        <w:rPr>
          <w:rFonts w:ascii="Times New Roman" w:hAnsi="Times New Roman"/>
          <w:sz w:val="28"/>
          <w:szCs w:val="28"/>
        </w:rPr>
        <w:t>ulti-payer model” of comp</w:t>
      </w:r>
      <w:r>
        <w:rPr>
          <w:rFonts w:ascii="Times New Roman" w:hAnsi="Times New Roman"/>
          <w:sz w:val="28"/>
          <w:szCs w:val="28"/>
        </w:rPr>
        <w:t>ulsory private health insurance, in which f</w:t>
      </w:r>
      <w:r w:rsidR="00B472E1" w:rsidRPr="00595C5C">
        <w:rPr>
          <w:rFonts w:ascii="Times New Roman" w:hAnsi="Times New Roman"/>
          <w:sz w:val="28"/>
          <w:szCs w:val="28"/>
        </w:rPr>
        <w:t xml:space="preserve">or-profit private companies </w:t>
      </w:r>
      <w:r>
        <w:rPr>
          <w:rFonts w:ascii="Times New Roman" w:hAnsi="Times New Roman"/>
          <w:sz w:val="28"/>
          <w:szCs w:val="28"/>
        </w:rPr>
        <w:t>would operate</w:t>
      </w:r>
      <w:r w:rsidR="00B472E1" w:rsidRPr="00595C5C">
        <w:rPr>
          <w:rFonts w:ascii="Times New Roman" w:hAnsi="Times New Roman"/>
          <w:sz w:val="28"/>
          <w:szCs w:val="28"/>
        </w:rPr>
        <w:t xml:space="preserve"> in competition</w:t>
      </w:r>
      <w:r>
        <w:rPr>
          <w:rFonts w:ascii="Times New Roman" w:hAnsi="Times New Roman"/>
          <w:sz w:val="28"/>
          <w:szCs w:val="28"/>
        </w:rPr>
        <w:t xml:space="preserve"> with each other</w:t>
      </w:r>
      <w:r w:rsidR="00CC4B12">
        <w:rPr>
          <w:rFonts w:ascii="Times New Roman" w:hAnsi="Times New Roman"/>
          <w:sz w:val="28"/>
          <w:szCs w:val="28"/>
        </w:rPr>
        <w:t>;</w:t>
      </w:r>
      <w:r>
        <w:rPr>
          <w:rFonts w:ascii="Times New Roman" w:hAnsi="Times New Roman"/>
          <w:sz w:val="28"/>
          <w:szCs w:val="28"/>
        </w:rPr>
        <w:t xml:space="preserve"> however</w:t>
      </w:r>
      <w:r w:rsidR="00CC4B12">
        <w:rPr>
          <w:rFonts w:ascii="Times New Roman" w:hAnsi="Times New Roman"/>
          <w:sz w:val="28"/>
          <w:szCs w:val="28"/>
        </w:rPr>
        <w:t>,</w:t>
      </w:r>
      <w:r>
        <w:rPr>
          <w:rFonts w:ascii="Times New Roman" w:hAnsi="Times New Roman"/>
          <w:sz w:val="28"/>
          <w:szCs w:val="28"/>
        </w:rPr>
        <w:t xml:space="preserve"> s</w:t>
      </w:r>
      <w:r w:rsidR="00B472E1" w:rsidRPr="00595C5C">
        <w:rPr>
          <w:rFonts w:ascii="Times New Roman" w:hAnsi="Times New Roman"/>
          <w:sz w:val="28"/>
          <w:szCs w:val="28"/>
        </w:rPr>
        <w:t xml:space="preserve">ome </w:t>
      </w:r>
      <w:r>
        <w:rPr>
          <w:rFonts w:ascii="Times New Roman" w:hAnsi="Times New Roman"/>
          <w:sz w:val="28"/>
          <w:szCs w:val="28"/>
        </w:rPr>
        <w:t xml:space="preserve">socially sensitive </w:t>
      </w:r>
      <w:r w:rsidR="00B472E1" w:rsidRPr="00595C5C">
        <w:rPr>
          <w:rFonts w:ascii="Times New Roman" w:hAnsi="Times New Roman"/>
          <w:sz w:val="28"/>
          <w:szCs w:val="28"/>
        </w:rPr>
        <w:t>health care</w:t>
      </w:r>
      <w:r>
        <w:rPr>
          <w:rFonts w:ascii="Times New Roman" w:hAnsi="Times New Roman"/>
          <w:sz w:val="28"/>
          <w:szCs w:val="28"/>
        </w:rPr>
        <w:t xml:space="preserve"> services would</w:t>
      </w:r>
      <w:r w:rsidR="00B472E1" w:rsidRPr="00595C5C">
        <w:rPr>
          <w:rFonts w:ascii="Times New Roman" w:hAnsi="Times New Roman"/>
          <w:sz w:val="28"/>
          <w:szCs w:val="28"/>
        </w:rPr>
        <w:t xml:space="preserve"> remain tax-funded (</w:t>
      </w:r>
      <w:r>
        <w:rPr>
          <w:rFonts w:ascii="Times New Roman" w:hAnsi="Times New Roman"/>
          <w:sz w:val="28"/>
          <w:szCs w:val="28"/>
        </w:rPr>
        <w:t xml:space="preserve">these were however </w:t>
      </w:r>
      <w:r w:rsidR="00B472E1" w:rsidRPr="00595C5C">
        <w:rPr>
          <w:rFonts w:ascii="Times New Roman" w:hAnsi="Times New Roman"/>
          <w:sz w:val="28"/>
          <w:szCs w:val="28"/>
        </w:rPr>
        <w:t>unspecified)</w:t>
      </w:r>
      <w:r>
        <w:rPr>
          <w:rFonts w:ascii="Times New Roman" w:hAnsi="Times New Roman"/>
          <w:sz w:val="28"/>
          <w:szCs w:val="28"/>
        </w:rPr>
        <w:t xml:space="preserve">. This new model was proposed to start in 2019. </w:t>
      </w:r>
      <w:r w:rsidR="00B472E1" w:rsidRPr="00595C5C">
        <w:rPr>
          <w:rFonts w:ascii="Times New Roman" w:hAnsi="Times New Roman"/>
          <w:sz w:val="28"/>
          <w:szCs w:val="28"/>
        </w:rPr>
        <w:t xml:space="preserve"> </w:t>
      </w:r>
    </w:p>
    <w:p w:rsidR="007835B6" w:rsidRDefault="00B472E1" w:rsidP="007835B6">
      <w:pPr>
        <w:pStyle w:val="NoSpacing"/>
        <w:ind w:left="1080"/>
        <w:rPr>
          <w:rFonts w:ascii="Times New Roman" w:hAnsi="Times New Roman"/>
          <w:sz w:val="28"/>
          <w:szCs w:val="28"/>
        </w:rPr>
      </w:pPr>
      <w:r w:rsidRPr="00595C5C">
        <w:rPr>
          <w:rFonts w:ascii="Times New Roman" w:hAnsi="Times New Roman"/>
          <w:sz w:val="28"/>
          <w:szCs w:val="28"/>
        </w:rPr>
        <w:t xml:space="preserve">    </w:t>
      </w:r>
    </w:p>
    <w:p w:rsidR="00B472E1" w:rsidRPr="00595C5C" w:rsidRDefault="007835B6" w:rsidP="007835B6">
      <w:pPr>
        <w:pStyle w:val="NoSpacing"/>
        <w:rPr>
          <w:rFonts w:ascii="Times New Roman" w:hAnsi="Times New Roman"/>
          <w:sz w:val="28"/>
          <w:szCs w:val="28"/>
        </w:rPr>
      </w:pPr>
      <w:r>
        <w:rPr>
          <w:rFonts w:ascii="Times New Roman" w:hAnsi="Times New Roman"/>
          <w:sz w:val="28"/>
          <w:szCs w:val="28"/>
        </w:rPr>
        <w:t>In July 2014, a n</w:t>
      </w:r>
      <w:r w:rsidR="00B472E1" w:rsidRPr="00595C5C">
        <w:rPr>
          <w:rFonts w:ascii="Times New Roman" w:hAnsi="Times New Roman"/>
          <w:sz w:val="28"/>
          <w:szCs w:val="28"/>
        </w:rPr>
        <w:t xml:space="preserve">ew Health Minister </w:t>
      </w:r>
      <w:r>
        <w:rPr>
          <w:rFonts w:ascii="Times New Roman" w:hAnsi="Times New Roman"/>
          <w:sz w:val="28"/>
          <w:szCs w:val="28"/>
        </w:rPr>
        <w:t xml:space="preserve">was </w:t>
      </w:r>
      <w:r w:rsidR="00B472E1" w:rsidRPr="00595C5C">
        <w:rPr>
          <w:rFonts w:ascii="Times New Roman" w:hAnsi="Times New Roman"/>
          <w:sz w:val="28"/>
          <w:szCs w:val="28"/>
        </w:rPr>
        <w:t>appointed</w:t>
      </w:r>
      <w:r>
        <w:rPr>
          <w:rFonts w:ascii="Times New Roman" w:hAnsi="Times New Roman"/>
          <w:sz w:val="28"/>
          <w:szCs w:val="28"/>
        </w:rPr>
        <w:t>, who ordered a r</w:t>
      </w:r>
      <w:r w:rsidRPr="00595C5C">
        <w:rPr>
          <w:rFonts w:ascii="Times New Roman" w:hAnsi="Times New Roman"/>
          <w:sz w:val="28"/>
          <w:szCs w:val="28"/>
        </w:rPr>
        <w:t xml:space="preserve">eport on </w:t>
      </w:r>
      <w:r>
        <w:rPr>
          <w:rFonts w:ascii="Times New Roman" w:hAnsi="Times New Roman"/>
          <w:sz w:val="28"/>
          <w:szCs w:val="28"/>
        </w:rPr>
        <w:t xml:space="preserve">the </w:t>
      </w:r>
      <w:r w:rsidRPr="00595C5C">
        <w:rPr>
          <w:rFonts w:ascii="Times New Roman" w:hAnsi="Times New Roman"/>
          <w:sz w:val="28"/>
          <w:szCs w:val="28"/>
        </w:rPr>
        <w:t>potential cost implications</w:t>
      </w:r>
      <w:r>
        <w:rPr>
          <w:rFonts w:ascii="Times New Roman" w:hAnsi="Times New Roman"/>
          <w:sz w:val="28"/>
          <w:szCs w:val="28"/>
        </w:rPr>
        <w:t xml:space="preserve"> of the proposed funding shift. Issued in November 2015, that report concluded that </w:t>
      </w:r>
      <w:r w:rsidRPr="00595C5C">
        <w:rPr>
          <w:rFonts w:ascii="Times New Roman" w:hAnsi="Times New Roman"/>
          <w:sz w:val="28"/>
          <w:szCs w:val="28"/>
        </w:rPr>
        <w:t>UHI would increase costs between 3.5% and 10.7% per annum</w:t>
      </w:r>
      <w:r>
        <w:rPr>
          <w:rFonts w:ascii="Times New Roman" w:hAnsi="Times New Roman"/>
          <w:sz w:val="28"/>
          <w:szCs w:val="28"/>
        </w:rPr>
        <w:t>, and that the m</w:t>
      </w:r>
      <w:r w:rsidRPr="00595C5C">
        <w:rPr>
          <w:rFonts w:ascii="Times New Roman" w:hAnsi="Times New Roman"/>
          <w:sz w:val="28"/>
          <w:szCs w:val="28"/>
        </w:rPr>
        <w:t>ain cost-increaser</w:t>
      </w:r>
      <w:r>
        <w:rPr>
          <w:rFonts w:ascii="Times New Roman" w:hAnsi="Times New Roman"/>
          <w:sz w:val="28"/>
          <w:szCs w:val="28"/>
        </w:rPr>
        <w:t xml:space="preserve">, citing experience from </w:t>
      </w:r>
      <w:r w:rsidR="00EE203D">
        <w:rPr>
          <w:rFonts w:ascii="Times New Roman" w:hAnsi="Times New Roman"/>
          <w:sz w:val="28"/>
          <w:szCs w:val="28"/>
        </w:rPr>
        <w:t>t</w:t>
      </w:r>
      <w:r>
        <w:rPr>
          <w:rFonts w:ascii="Times New Roman" w:hAnsi="Times New Roman"/>
          <w:sz w:val="28"/>
          <w:szCs w:val="28"/>
        </w:rPr>
        <w:t>he Netherlands,</w:t>
      </w:r>
      <w:r w:rsidRPr="00595C5C">
        <w:rPr>
          <w:rFonts w:ascii="Times New Roman" w:hAnsi="Times New Roman"/>
          <w:sz w:val="28"/>
          <w:szCs w:val="28"/>
        </w:rPr>
        <w:t xml:space="preserve"> was “multipl</w:t>
      </w:r>
      <w:r>
        <w:rPr>
          <w:rFonts w:ascii="Times New Roman" w:hAnsi="Times New Roman"/>
          <w:sz w:val="28"/>
          <w:szCs w:val="28"/>
        </w:rPr>
        <w:t>e, competing insurers.” In response to this report, the Minister declared that the proposed shift to an SHI-based funding structure was “n</w:t>
      </w:r>
      <w:r w:rsidRPr="00595C5C">
        <w:rPr>
          <w:rFonts w:ascii="Times New Roman" w:hAnsi="Times New Roman"/>
          <w:sz w:val="28"/>
          <w:szCs w:val="28"/>
        </w:rPr>
        <w:t>ot affordable now or ever</w:t>
      </w:r>
      <w:r>
        <w:rPr>
          <w:rFonts w:ascii="Times New Roman" w:hAnsi="Times New Roman"/>
          <w:sz w:val="28"/>
          <w:szCs w:val="28"/>
        </w:rPr>
        <w:t xml:space="preserve">,” ending Ireland’s interest in this line of funding </w:t>
      </w:r>
      <w:r w:rsidR="00B97171">
        <w:rPr>
          <w:rFonts w:ascii="Times New Roman" w:hAnsi="Times New Roman"/>
          <w:sz w:val="28"/>
          <w:szCs w:val="28"/>
        </w:rPr>
        <w:t>reform (Burke et al, 2016</w:t>
      </w:r>
      <w:r w:rsidR="00B92A70">
        <w:rPr>
          <w:rFonts w:ascii="Times New Roman" w:hAnsi="Times New Roman"/>
          <w:sz w:val="28"/>
          <w:szCs w:val="28"/>
        </w:rPr>
        <w:t xml:space="preserve">). </w:t>
      </w:r>
    </w:p>
    <w:p w:rsidR="00B472E1" w:rsidRDefault="00B472E1" w:rsidP="00B329F3">
      <w:pPr>
        <w:pStyle w:val="NoSpacing"/>
        <w:rPr>
          <w:rFonts w:ascii="Times New Roman" w:hAnsi="Times New Roman"/>
          <w:sz w:val="28"/>
          <w:szCs w:val="28"/>
        </w:rPr>
      </w:pPr>
    </w:p>
    <w:p w:rsidR="007462B7" w:rsidRDefault="007D21A2" w:rsidP="00B329F3">
      <w:pPr>
        <w:pStyle w:val="NoSpacing"/>
        <w:rPr>
          <w:rFonts w:ascii="Times New Roman" w:hAnsi="Times New Roman"/>
          <w:sz w:val="28"/>
          <w:szCs w:val="28"/>
        </w:rPr>
      </w:pPr>
      <w:r>
        <w:rPr>
          <w:rFonts w:ascii="Times New Roman" w:hAnsi="Times New Roman"/>
          <w:sz w:val="28"/>
          <w:szCs w:val="28"/>
        </w:rPr>
        <w:t>The importance of this ultimately unsuccessful pro</w:t>
      </w:r>
      <w:r w:rsidR="007462B7">
        <w:rPr>
          <w:rFonts w:ascii="Times New Roman" w:hAnsi="Times New Roman"/>
          <w:sz w:val="28"/>
          <w:szCs w:val="28"/>
        </w:rPr>
        <w:t>cess extends</w:t>
      </w:r>
      <w:r>
        <w:rPr>
          <w:rFonts w:ascii="Times New Roman" w:hAnsi="Times New Roman"/>
          <w:sz w:val="28"/>
          <w:szCs w:val="28"/>
        </w:rPr>
        <w:t xml:space="preserve"> beyond Ireland, </w:t>
      </w:r>
      <w:r w:rsidR="004741EA">
        <w:rPr>
          <w:rFonts w:ascii="Times New Roman" w:hAnsi="Times New Roman"/>
          <w:sz w:val="28"/>
          <w:szCs w:val="28"/>
        </w:rPr>
        <w:t>in that this</w:t>
      </w:r>
      <w:r>
        <w:rPr>
          <w:rFonts w:ascii="Times New Roman" w:hAnsi="Times New Roman"/>
          <w:sz w:val="28"/>
          <w:szCs w:val="28"/>
        </w:rPr>
        <w:t xml:space="preserve"> </w:t>
      </w:r>
      <w:r w:rsidR="00B50274">
        <w:rPr>
          <w:rFonts w:ascii="Times New Roman" w:hAnsi="Times New Roman"/>
          <w:sz w:val="28"/>
          <w:szCs w:val="28"/>
        </w:rPr>
        <w:t xml:space="preserve">was the only tax-funded health care system in Northern Europe </w:t>
      </w:r>
      <w:r w:rsidR="004741EA">
        <w:rPr>
          <w:rFonts w:ascii="Times New Roman" w:hAnsi="Times New Roman"/>
          <w:sz w:val="28"/>
          <w:szCs w:val="28"/>
        </w:rPr>
        <w:t xml:space="preserve">post-2008 </w:t>
      </w:r>
      <w:r w:rsidR="00B50274">
        <w:rPr>
          <w:rFonts w:ascii="Times New Roman" w:hAnsi="Times New Roman"/>
          <w:sz w:val="28"/>
          <w:szCs w:val="28"/>
        </w:rPr>
        <w:t>to seriously consider</w:t>
      </w:r>
      <w:r>
        <w:rPr>
          <w:rFonts w:ascii="Times New Roman" w:hAnsi="Times New Roman"/>
          <w:sz w:val="28"/>
          <w:szCs w:val="28"/>
        </w:rPr>
        <w:t xml:space="preserve"> major reform on the funding side of its health care system</w:t>
      </w:r>
      <w:r w:rsidR="004741EA">
        <w:rPr>
          <w:rFonts w:ascii="Times New Roman" w:hAnsi="Times New Roman"/>
          <w:sz w:val="28"/>
          <w:szCs w:val="28"/>
        </w:rPr>
        <w:t>. Ireland was also the first country to seri</w:t>
      </w:r>
      <w:r w:rsidR="00B60EAD">
        <w:rPr>
          <w:rFonts w:ascii="Times New Roman" w:hAnsi="Times New Roman"/>
          <w:sz w:val="28"/>
          <w:szCs w:val="28"/>
        </w:rPr>
        <w:t xml:space="preserve">ously consider shifting from a </w:t>
      </w:r>
      <w:r w:rsidR="004741EA">
        <w:rPr>
          <w:rFonts w:ascii="Times New Roman" w:hAnsi="Times New Roman"/>
          <w:sz w:val="28"/>
          <w:szCs w:val="28"/>
        </w:rPr>
        <w:t>tax to an SHI based funding structure</w:t>
      </w:r>
      <w:r>
        <w:rPr>
          <w:rFonts w:ascii="Times New Roman" w:hAnsi="Times New Roman"/>
          <w:sz w:val="28"/>
          <w:szCs w:val="28"/>
        </w:rPr>
        <w:t xml:space="preserve"> since UK Prime Minister Thatcher</w:t>
      </w:r>
      <w:r w:rsidR="00B50274">
        <w:rPr>
          <w:rFonts w:ascii="Times New Roman" w:hAnsi="Times New Roman"/>
          <w:sz w:val="28"/>
          <w:szCs w:val="28"/>
        </w:rPr>
        <w:t xml:space="preserve"> </w:t>
      </w:r>
      <w:r>
        <w:rPr>
          <w:rFonts w:ascii="Times New Roman" w:hAnsi="Times New Roman"/>
          <w:sz w:val="28"/>
          <w:szCs w:val="28"/>
        </w:rPr>
        <w:t xml:space="preserve">in 1989 briefly considered a </w:t>
      </w:r>
      <w:r w:rsidR="004741EA">
        <w:rPr>
          <w:rFonts w:ascii="Times New Roman" w:hAnsi="Times New Roman"/>
          <w:sz w:val="28"/>
          <w:szCs w:val="28"/>
        </w:rPr>
        <w:t>similar shift.</w:t>
      </w:r>
      <w:r>
        <w:rPr>
          <w:rFonts w:ascii="Times New Roman" w:hAnsi="Times New Roman"/>
          <w:sz w:val="28"/>
          <w:szCs w:val="28"/>
        </w:rPr>
        <w:t xml:space="preserve"> </w:t>
      </w:r>
      <w:r w:rsidR="0009258F">
        <w:rPr>
          <w:rFonts w:ascii="Times New Roman" w:hAnsi="Times New Roman"/>
          <w:sz w:val="28"/>
          <w:szCs w:val="28"/>
        </w:rPr>
        <w:t>Ultimately</w:t>
      </w:r>
      <w:r>
        <w:rPr>
          <w:rFonts w:ascii="Times New Roman" w:hAnsi="Times New Roman"/>
          <w:sz w:val="28"/>
          <w:szCs w:val="28"/>
        </w:rPr>
        <w:t xml:space="preserve"> Mrs</w:t>
      </w:r>
      <w:r w:rsidR="0009258F">
        <w:rPr>
          <w:rFonts w:ascii="Times New Roman" w:hAnsi="Times New Roman"/>
          <w:sz w:val="28"/>
          <w:szCs w:val="28"/>
        </w:rPr>
        <w:t>.</w:t>
      </w:r>
      <w:r>
        <w:rPr>
          <w:rFonts w:ascii="Times New Roman" w:hAnsi="Times New Roman"/>
          <w:sz w:val="28"/>
          <w:szCs w:val="28"/>
        </w:rPr>
        <w:t xml:space="preserve"> Thatcher </w:t>
      </w:r>
      <w:r w:rsidR="0009258F">
        <w:rPr>
          <w:rFonts w:ascii="Times New Roman" w:hAnsi="Times New Roman"/>
          <w:sz w:val="28"/>
          <w:szCs w:val="28"/>
        </w:rPr>
        <w:t xml:space="preserve">also </w:t>
      </w:r>
      <w:r>
        <w:rPr>
          <w:rFonts w:ascii="Times New Roman" w:hAnsi="Times New Roman"/>
          <w:sz w:val="28"/>
          <w:szCs w:val="28"/>
        </w:rPr>
        <w:t xml:space="preserve">rejected the proposed funding conversion for the same reason as did Ireland in 2015: in both instances, the </w:t>
      </w:r>
      <w:r w:rsidR="00050EF9">
        <w:rPr>
          <w:rFonts w:ascii="Times New Roman" w:hAnsi="Times New Roman"/>
          <w:sz w:val="28"/>
          <w:szCs w:val="28"/>
        </w:rPr>
        <w:t xml:space="preserve">government’s </w:t>
      </w:r>
      <w:r>
        <w:rPr>
          <w:rFonts w:ascii="Times New Roman" w:hAnsi="Times New Roman"/>
          <w:sz w:val="28"/>
          <w:szCs w:val="28"/>
        </w:rPr>
        <w:t xml:space="preserve">fear was that an SHI-based system would turn out to be </w:t>
      </w:r>
      <w:r w:rsidR="009A699D">
        <w:rPr>
          <w:rFonts w:ascii="Times New Roman" w:hAnsi="Times New Roman"/>
          <w:sz w:val="28"/>
          <w:szCs w:val="28"/>
        </w:rPr>
        <w:t>less tightly controlled than a national tax and budgeting system</w:t>
      </w:r>
      <w:r w:rsidR="004741EA">
        <w:rPr>
          <w:rFonts w:ascii="Times New Roman" w:hAnsi="Times New Roman"/>
          <w:sz w:val="28"/>
          <w:szCs w:val="28"/>
        </w:rPr>
        <w:t>,</w:t>
      </w:r>
      <w:r w:rsidR="009A699D">
        <w:rPr>
          <w:rFonts w:ascii="Times New Roman" w:hAnsi="Times New Roman"/>
          <w:sz w:val="28"/>
          <w:szCs w:val="28"/>
        </w:rPr>
        <w:t xml:space="preserve"> and thus would </w:t>
      </w:r>
      <w:r w:rsidR="004741EA">
        <w:rPr>
          <w:rFonts w:ascii="Times New Roman" w:hAnsi="Times New Roman"/>
          <w:sz w:val="28"/>
          <w:szCs w:val="28"/>
        </w:rPr>
        <w:t xml:space="preserve">ultimately </w:t>
      </w:r>
      <w:r w:rsidR="009A699D">
        <w:rPr>
          <w:rFonts w:ascii="Times New Roman" w:hAnsi="Times New Roman"/>
          <w:sz w:val="28"/>
          <w:szCs w:val="28"/>
        </w:rPr>
        <w:t>be</w:t>
      </w:r>
      <w:r w:rsidR="004741EA">
        <w:rPr>
          <w:rFonts w:ascii="Times New Roman" w:hAnsi="Times New Roman"/>
          <w:sz w:val="28"/>
          <w:szCs w:val="28"/>
        </w:rPr>
        <w:t>come</w:t>
      </w:r>
      <w:r w:rsidR="009A699D">
        <w:rPr>
          <w:rFonts w:ascii="Times New Roman" w:hAnsi="Times New Roman"/>
          <w:sz w:val="28"/>
          <w:szCs w:val="28"/>
        </w:rPr>
        <w:t xml:space="preserve"> </w:t>
      </w:r>
      <w:r>
        <w:rPr>
          <w:rFonts w:ascii="Times New Roman" w:hAnsi="Times New Roman"/>
          <w:sz w:val="28"/>
          <w:szCs w:val="28"/>
        </w:rPr>
        <w:t>more expensive</w:t>
      </w:r>
      <w:r w:rsidR="009A699D">
        <w:rPr>
          <w:rFonts w:ascii="Times New Roman" w:hAnsi="Times New Roman"/>
          <w:sz w:val="28"/>
          <w:szCs w:val="28"/>
        </w:rPr>
        <w:t xml:space="preserve"> to the national treasury</w:t>
      </w:r>
      <w:r w:rsidR="00F816CF">
        <w:rPr>
          <w:rFonts w:ascii="Times New Roman" w:hAnsi="Times New Roman"/>
          <w:sz w:val="28"/>
          <w:szCs w:val="28"/>
        </w:rPr>
        <w:t xml:space="preserve"> (Connolly and Wren, 2016</w:t>
      </w:r>
      <w:r w:rsidR="00055142">
        <w:rPr>
          <w:rFonts w:ascii="Times New Roman" w:hAnsi="Times New Roman"/>
          <w:sz w:val="28"/>
          <w:szCs w:val="28"/>
        </w:rPr>
        <w:t>)</w:t>
      </w:r>
      <w:r>
        <w:rPr>
          <w:rFonts w:ascii="Times New Roman" w:hAnsi="Times New Roman"/>
          <w:sz w:val="28"/>
          <w:szCs w:val="28"/>
        </w:rPr>
        <w:t xml:space="preserve">. </w:t>
      </w:r>
    </w:p>
    <w:p w:rsidR="007462B7" w:rsidRDefault="007462B7" w:rsidP="00B329F3">
      <w:pPr>
        <w:pStyle w:val="NoSpacing"/>
        <w:rPr>
          <w:rFonts w:ascii="Times New Roman" w:hAnsi="Times New Roman"/>
          <w:sz w:val="28"/>
          <w:szCs w:val="28"/>
        </w:rPr>
      </w:pPr>
    </w:p>
    <w:p w:rsidR="006B2C08" w:rsidRDefault="00EE5F31" w:rsidP="00B329F3">
      <w:pPr>
        <w:pStyle w:val="NoSpacing"/>
        <w:rPr>
          <w:rFonts w:ascii="Times New Roman" w:hAnsi="Times New Roman"/>
          <w:sz w:val="28"/>
          <w:szCs w:val="28"/>
        </w:rPr>
      </w:pPr>
      <w:r>
        <w:rPr>
          <w:rFonts w:ascii="Times New Roman" w:hAnsi="Times New Roman"/>
          <w:sz w:val="28"/>
          <w:szCs w:val="28"/>
        </w:rPr>
        <w:t xml:space="preserve">Here it </w:t>
      </w:r>
      <w:r w:rsidR="007462B7">
        <w:rPr>
          <w:rFonts w:ascii="Times New Roman" w:hAnsi="Times New Roman"/>
          <w:sz w:val="28"/>
          <w:szCs w:val="28"/>
        </w:rPr>
        <w:t xml:space="preserve">also </w:t>
      </w:r>
      <w:r>
        <w:rPr>
          <w:rFonts w:ascii="Times New Roman" w:hAnsi="Times New Roman"/>
          <w:sz w:val="28"/>
          <w:szCs w:val="28"/>
        </w:rPr>
        <w:t>may be worth noting that</w:t>
      </w:r>
      <w:r w:rsidR="00055142">
        <w:rPr>
          <w:rFonts w:ascii="Times New Roman" w:hAnsi="Times New Roman"/>
          <w:sz w:val="28"/>
          <w:szCs w:val="28"/>
        </w:rPr>
        <w:t xml:space="preserve"> the o</w:t>
      </w:r>
      <w:r w:rsidR="004741EA">
        <w:rPr>
          <w:rFonts w:ascii="Times New Roman" w:hAnsi="Times New Roman"/>
          <w:sz w:val="28"/>
          <w:szCs w:val="28"/>
        </w:rPr>
        <w:t>nly Northern European country that actually did</w:t>
      </w:r>
      <w:r w:rsidR="00055142">
        <w:rPr>
          <w:rFonts w:ascii="Times New Roman" w:hAnsi="Times New Roman"/>
          <w:sz w:val="28"/>
          <w:szCs w:val="28"/>
        </w:rPr>
        <w:t xml:space="preserve"> shift its core funding framework </w:t>
      </w:r>
      <w:r w:rsidR="00F02265">
        <w:rPr>
          <w:rFonts w:ascii="Times New Roman" w:hAnsi="Times New Roman"/>
          <w:sz w:val="28"/>
          <w:szCs w:val="28"/>
        </w:rPr>
        <w:t xml:space="preserve">for hospital payment </w:t>
      </w:r>
      <w:r w:rsidR="005B398B">
        <w:rPr>
          <w:rFonts w:ascii="Times New Roman" w:hAnsi="Times New Roman"/>
          <w:sz w:val="28"/>
          <w:szCs w:val="28"/>
        </w:rPr>
        <w:t xml:space="preserve">in the past 50 years </w:t>
      </w:r>
      <w:r w:rsidR="00055142">
        <w:rPr>
          <w:rFonts w:ascii="Times New Roman" w:hAnsi="Times New Roman"/>
          <w:sz w:val="28"/>
          <w:szCs w:val="28"/>
        </w:rPr>
        <w:t>was Denmar</w:t>
      </w:r>
      <w:r w:rsidR="00F02265">
        <w:rPr>
          <w:rFonts w:ascii="Times New Roman" w:hAnsi="Times New Roman"/>
          <w:sz w:val="28"/>
          <w:szCs w:val="28"/>
        </w:rPr>
        <w:t>k in 1973</w:t>
      </w:r>
      <w:r w:rsidR="00437F18">
        <w:rPr>
          <w:rFonts w:ascii="Times New Roman" w:hAnsi="Times New Roman"/>
          <w:sz w:val="28"/>
          <w:szCs w:val="28"/>
        </w:rPr>
        <w:t>, moving</w:t>
      </w:r>
      <w:r w:rsidR="004741EA">
        <w:rPr>
          <w:rFonts w:ascii="Times New Roman" w:hAnsi="Times New Roman"/>
          <w:sz w:val="28"/>
          <w:szCs w:val="28"/>
        </w:rPr>
        <w:t xml:space="preserve"> in the opposite direction from Ireland’</w:t>
      </w:r>
      <w:r w:rsidR="00B229F7">
        <w:rPr>
          <w:rFonts w:ascii="Times New Roman" w:hAnsi="Times New Roman"/>
          <w:sz w:val="28"/>
          <w:szCs w:val="28"/>
        </w:rPr>
        <w:t>s proposed path.</w:t>
      </w:r>
      <w:r w:rsidR="004741EA">
        <w:rPr>
          <w:rFonts w:ascii="Times New Roman" w:hAnsi="Times New Roman"/>
          <w:sz w:val="28"/>
          <w:szCs w:val="28"/>
        </w:rPr>
        <w:t xml:space="preserve"> Denmark shift</w:t>
      </w:r>
      <w:r w:rsidR="00437F18">
        <w:rPr>
          <w:rFonts w:ascii="Times New Roman" w:hAnsi="Times New Roman"/>
          <w:sz w:val="28"/>
          <w:szCs w:val="28"/>
        </w:rPr>
        <w:t>ed</w:t>
      </w:r>
      <w:r w:rsidR="00055142">
        <w:rPr>
          <w:rFonts w:ascii="Times New Roman" w:hAnsi="Times New Roman"/>
          <w:sz w:val="28"/>
          <w:szCs w:val="28"/>
        </w:rPr>
        <w:t xml:space="preserve"> from </w:t>
      </w:r>
      <w:r w:rsidR="004741EA">
        <w:rPr>
          <w:rFonts w:ascii="Times New Roman" w:hAnsi="Times New Roman"/>
          <w:sz w:val="28"/>
          <w:szCs w:val="28"/>
        </w:rPr>
        <w:t xml:space="preserve">its prior quasi-German </w:t>
      </w:r>
      <w:r w:rsidR="00055142">
        <w:rPr>
          <w:rFonts w:ascii="Times New Roman" w:hAnsi="Times New Roman"/>
          <w:sz w:val="28"/>
          <w:szCs w:val="28"/>
        </w:rPr>
        <w:t>Social Health Insurance</w:t>
      </w:r>
      <w:r w:rsidR="004741EA">
        <w:rPr>
          <w:rFonts w:ascii="Times New Roman" w:hAnsi="Times New Roman"/>
          <w:sz w:val="28"/>
          <w:szCs w:val="28"/>
        </w:rPr>
        <w:t xml:space="preserve"> arrangement</w:t>
      </w:r>
      <w:r w:rsidR="00055142">
        <w:rPr>
          <w:rFonts w:ascii="Times New Roman" w:hAnsi="Times New Roman"/>
          <w:sz w:val="28"/>
          <w:szCs w:val="28"/>
        </w:rPr>
        <w:t xml:space="preserve"> to a Swedish-influenced regional-government-operated tax-base</w:t>
      </w:r>
      <w:r w:rsidR="009D38A8">
        <w:rPr>
          <w:rFonts w:ascii="Times New Roman" w:hAnsi="Times New Roman"/>
          <w:sz w:val="28"/>
          <w:szCs w:val="28"/>
        </w:rPr>
        <w:t>d funding structure (Oljaz et. al.,</w:t>
      </w:r>
      <w:r w:rsidR="00055142">
        <w:rPr>
          <w:rFonts w:ascii="Times New Roman" w:hAnsi="Times New Roman"/>
          <w:sz w:val="28"/>
          <w:szCs w:val="28"/>
        </w:rPr>
        <w:t xml:space="preserve"> 2012). </w:t>
      </w:r>
    </w:p>
    <w:p w:rsidR="000321F5" w:rsidRDefault="000321F5" w:rsidP="00B329F3">
      <w:pPr>
        <w:pStyle w:val="NoSpacing"/>
        <w:rPr>
          <w:rFonts w:ascii="Times New Roman" w:hAnsi="Times New Roman"/>
          <w:sz w:val="28"/>
          <w:szCs w:val="28"/>
        </w:rPr>
      </w:pPr>
    </w:p>
    <w:p w:rsidR="00A565C9" w:rsidRDefault="00A565C9" w:rsidP="00B329F3">
      <w:pPr>
        <w:pStyle w:val="NoSpacing"/>
        <w:rPr>
          <w:rFonts w:ascii="Times New Roman" w:hAnsi="Times New Roman"/>
          <w:sz w:val="28"/>
          <w:szCs w:val="28"/>
        </w:rPr>
      </w:pPr>
      <w:r>
        <w:rPr>
          <w:rFonts w:ascii="Times New Roman" w:hAnsi="Times New Roman"/>
          <w:sz w:val="28"/>
          <w:szCs w:val="28"/>
        </w:rPr>
        <w:t>Overall,</w:t>
      </w:r>
      <w:r w:rsidR="000321F5">
        <w:rPr>
          <w:rFonts w:ascii="Times New Roman" w:hAnsi="Times New Roman"/>
          <w:sz w:val="28"/>
          <w:szCs w:val="28"/>
        </w:rPr>
        <w:t xml:space="preserve"> Ireland’s health reform process</w:t>
      </w:r>
      <w:r>
        <w:rPr>
          <w:rFonts w:ascii="Times New Roman" w:hAnsi="Times New Roman"/>
          <w:sz w:val="28"/>
          <w:szCs w:val="28"/>
        </w:rPr>
        <w:t xml:space="preserve"> speaks directly to two important dimensions of the search for new health system strategies in the post-2008 environment. The first is the continued interest in the consolidation of public providers into larger and more tightly – typically nationally – managed units. </w:t>
      </w:r>
    </w:p>
    <w:p w:rsidR="000321F5" w:rsidRPr="006B2C08" w:rsidRDefault="00A565C9" w:rsidP="00B329F3">
      <w:pPr>
        <w:pStyle w:val="NoSpacing"/>
        <w:rPr>
          <w:rFonts w:ascii="Times New Roman" w:hAnsi="Times New Roman"/>
          <w:sz w:val="28"/>
          <w:szCs w:val="28"/>
        </w:rPr>
      </w:pPr>
      <w:r>
        <w:rPr>
          <w:rFonts w:ascii="Times New Roman" w:hAnsi="Times New Roman"/>
          <w:sz w:val="28"/>
          <w:szCs w:val="28"/>
        </w:rPr>
        <w:t xml:space="preserve">The second reform dimension </w:t>
      </w:r>
      <w:r w:rsidR="0019300F">
        <w:rPr>
          <w:rFonts w:ascii="Times New Roman" w:hAnsi="Times New Roman"/>
          <w:sz w:val="28"/>
          <w:szCs w:val="28"/>
        </w:rPr>
        <w:t>is, simply, the difficulty of shifting fundamental funding structures</w:t>
      </w:r>
      <w:r w:rsidR="00CF1C18">
        <w:rPr>
          <w:rFonts w:ascii="Times New Roman" w:hAnsi="Times New Roman"/>
          <w:sz w:val="28"/>
          <w:szCs w:val="28"/>
        </w:rPr>
        <w:t xml:space="preserve"> in tax-funded health systems</w:t>
      </w:r>
      <w:r w:rsidR="0019300F">
        <w:rPr>
          <w:rFonts w:ascii="Times New Roman" w:hAnsi="Times New Roman"/>
          <w:sz w:val="28"/>
          <w:szCs w:val="28"/>
        </w:rPr>
        <w:t>. Much like Sherlock Holmes’ famous dog that didn’t bark, existing patterns of successfully implemented post-2008 reform strategies suggest that</w:t>
      </w:r>
      <w:r w:rsidR="00CF1C18">
        <w:rPr>
          <w:rFonts w:ascii="Times New Roman" w:hAnsi="Times New Roman"/>
          <w:sz w:val="28"/>
          <w:szCs w:val="28"/>
        </w:rPr>
        <w:t xml:space="preserve"> in these health systems,</w:t>
      </w:r>
      <w:r w:rsidR="0019300F">
        <w:rPr>
          <w:rFonts w:ascii="Times New Roman" w:hAnsi="Times New Roman"/>
          <w:sz w:val="28"/>
          <w:szCs w:val="28"/>
        </w:rPr>
        <w:t xml:space="preserve"> major funding shift</w:t>
      </w:r>
      <w:r w:rsidR="00CF1C18">
        <w:rPr>
          <w:rFonts w:ascii="Times New Roman" w:hAnsi="Times New Roman"/>
          <w:sz w:val="28"/>
          <w:szCs w:val="28"/>
        </w:rPr>
        <w:t>s would disrupt too many settled organizational and political patterns</w:t>
      </w:r>
      <w:r w:rsidR="0019300F">
        <w:rPr>
          <w:rFonts w:ascii="Times New Roman" w:hAnsi="Times New Roman"/>
          <w:sz w:val="28"/>
          <w:szCs w:val="28"/>
        </w:rPr>
        <w:t xml:space="preserve"> and</w:t>
      </w:r>
      <w:r>
        <w:rPr>
          <w:rFonts w:ascii="Times New Roman" w:hAnsi="Times New Roman"/>
          <w:sz w:val="28"/>
          <w:szCs w:val="28"/>
        </w:rPr>
        <w:t xml:space="preserve"> </w:t>
      </w:r>
      <w:r w:rsidR="0019300F">
        <w:rPr>
          <w:rFonts w:ascii="Times New Roman" w:hAnsi="Times New Roman"/>
          <w:sz w:val="28"/>
          <w:szCs w:val="28"/>
        </w:rPr>
        <w:t xml:space="preserve">therefore </w:t>
      </w:r>
      <w:r w:rsidR="00CF1C18">
        <w:rPr>
          <w:rFonts w:ascii="Times New Roman" w:hAnsi="Times New Roman"/>
          <w:sz w:val="28"/>
          <w:szCs w:val="28"/>
        </w:rPr>
        <w:t xml:space="preserve">are </w:t>
      </w:r>
      <w:r w:rsidR="0019300F">
        <w:rPr>
          <w:rFonts w:ascii="Times New Roman" w:hAnsi="Times New Roman"/>
          <w:sz w:val="28"/>
          <w:szCs w:val="28"/>
        </w:rPr>
        <w:t>unlikely</w:t>
      </w:r>
      <w:r w:rsidR="00AC70B3">
        <w:rPr>
          <w:rFonts w:ascii="Times New Roman" w:hAnsi="Times New Roman"/>
          <w:sz w:val="28"/>
          <w:szCs w:val="28"/>
        </w:rPr>
        <w:t xml:space="preserve"> to be attempted</w:t>
      </w:r>
      <w:r w:rsidR="0019300F">
        <w:rPr>
          <w:rFonts w:ascii="Times New Roman" w:hAnsi="Times New Roman"/>
          <w:sz w:val="28"/>
          <w:szCs w:val="28"/>
        </w:rPr>
        <w:t>.</w:t>
      </w:r>
    </w:p>
    <w:p w:rsidR="006B2C08" w:rsidRPr="006B2C08" w:rsidRDefault="006B2C08" w:rsidP="00B329F3">
      <w:pPr>
        <w:pStyle w:val="NoSpacing"/>
        <w:ind w:left="720"/>
        <w:rPr>
          <w:rFonts w:ascii="Times New Roman" w:hAnsi="Times New Roman"/>
          <w:sz w:val="28"/>
          <w:szCs w:val="28"/>
        </w:rPr>
      </w:pPr>
    </w:p>
    <w:p w:rsidR="00595C5C" w:rsidRDefault="00595C5C" w:rsidP="00E22BA1">
      <w:pPr>
        <w:pStyle w:val="NoSpacing"/>
        <w:rPr>
          <w:rFonts w:ascii="Times New Roman" w:hAnsi="Times New Roman" w:cs="Times New Roman"/>
          <w:b/>
          <w:sz w:val="28"/>
          <w:szCs w:val="28"/>
        </w:rPr>
      </w:pPr>
    </w:p>
    <w:p w:rsidR="00AB75DD" w:rsidRDefault="00AB75DD" w:rsidP="00AC3814">
      <w:pPr>
        <w:pStyle w:val="NoSpacing"/>
        <w:numPr>
          <w:ilvl w:val="0"/>
          <w:numId w:val="17"/>
        </w:numPr>
        <w:rPr>
          <w:rFonts w:ascii="Times New Roman" w:hAnsi="Times New Roman" w:cs="Times New Roman"/>
          <w:b/>
          <w:sz w:val="28"/>
          <w:szCs w:val="28"/>
        </w:rPr>
      </w:pPr>
      <w:r>
        <w:rPr>
          <w:rFonts w:ascii="Times New Roman" w:hAnsi="Times New Roman" w:cs="Times New Roman"/>
          <w:b/>
          <w:sz w:val="28"/>
          <w:szCs w:val="28"/>
        </w:rPr>
        <w:t xml:space="preserve">Innovative </w:t>
      </w:r>
      <w:r w:rsidR="00FF6D57">
        <w:rPr>
          <w:rFonts w:ascii="Times New Roman" w:hAnsi="Times New Roman" w:cs="Times New Roman"/>
          <w:b/>
          <w:sz w:val="28"/>
          <w:szCs w:val="28"/>
        </w:rPr>
        <w:t xml:space="preserve">Post-2008 </w:t>
      </w:r>
      <w:r>
        <w:rPr>
          <w:rFonts w:ascii="Times New Roman" w:hAnsi="Times New Roman" w:cs="Times New Roman"/>
          <w:b/>
          <w:sz w:val="28"/>
          <w:szCs w:val="28"/>
        </w:rPr>
        <w:t xml:space="preserve">Reform Strategies in </w:t>
      </w:r>
      <w:r w:rsidR="00E32381" w:rsidRPr="00E32381">
        <w:rPr>
          <w:rFonts w:ascii="Times New Roman" w:hAnsi="Times New Roman" w:cs="Times New Roman"/>
          <w:b/>
          <w:sz w:val="28"/>
          <w:szCs w:val="28"/>
        </w:rPr>
        <w:t xml:space="preserve">Social Health </w:t>
      </w:r>
    </w:p>
    <w:p w:rsidR="00E32381" w:rsidRPr="00E32381" w:rsidRDefault="00AB75DD" w:rsidP="00AB75DD">
      <w:pPr>
        <w:pStyle w:val="NoSpacing"/>
        <w:ind w:left="1080"/>
        <w:rPr>
          <w:rFonts w:ascii="Times New Roman" w:hAnsi="Times New Roman" w:cs="Times New Roman"/>
          <w:b/>
          <w:sz w:val="28"/>
          <w:szCs w:val="28"/>
        </w:rPr>
      </w:pPr>
      <w:r>
        <w:rPr>
          <w:rFonts w:ascii="Times New Roman" w:hAnsi="Times New Roman" w:cs="Times New Roman"/>
          <w:b/>
          <w:sz w:val="28"/>
          <w:szCs w:val="28"/>
        </w:rPr>
        <w:t xml:space="preserve">                          Insurance </w:t>
      </w:r>
      <w:r w:rsidR="00E32381" w:rsidRPr="00E32381">
        <w:rPr>
          <w:rFonts w:ascii="Times New Roman" w:hAnsi="Times New Roman" w:cs="Times New Roman"/>
          <w:b/>
          <w:sz w:val="28"/>
          <w:szCs w:val="28"/>
        </w:rPr>
        <w:t>Systems</w:t>
      </w:r>
    </w:p>
    <w:p w:rsidR="00E32381" w:rsidRDefault="00E32381" w:rsidP="00E32381">
      <w:pPr>
        <w:pStyle w:val="NoSpacing"/>
        <w:rPr>
          <w:rFonts w:ascii="Times New Roman" w:hAnsi="Times New Roman" w:cs="Times New Roman"/>
          <w:sz w:val="28"/>
          <w:szCs w:val="28"/>
        </w:rPr>
      </w:pPr>
    </w:p>
    <w:p w:rsidR="00F30635" w:rsidRDefault="00E32381" w:rsidP="00E32381">
      <w:pPr>
        <w:pStyle w:val="NoSpacing"/>
        <w:rPr>
          <w:rFonts w:ascii="Times New Roman" w:hAnsi="Times New Roman" w:cs="Times New Roman"/>
          <w:sz w:val="28"/>
          <w:szCs w:val="28"/>
        </w:rPr>
      </w:pPr>
      <w:r>
        <w:rPr>
          <w:rFonts w:ascii="Times New Roman" w:hAnsi="Times New Roman" w:cs="Times New Roman"/>
          <w:sz w:val="28"/>
          <w:szCs w:val="28"/>
        </w:rPr>
        <w:t>Social Health Insuran</w:t>
      </w:r>
      <w:r w:rsidR="00680F8C">
        <w:rPr>
          <w:rFonts w:ascii="Times New Roman" w:hAnsi="Times New Roman" w:cs="Times New Roman"/>
          <w:sz w:val="28"/>
          <w:szCs w:val="28"/>
        </w:rPr>
        <w:t>ce funde</w:t>
      </w:r>
      <w:r w:rsidR="00923E32">
        <w:rPr>
          <w:rFonts w:ascii="Times New Roman" w:hAnsi="Times New Roman" w:cs="Times New Roman"/>
          <w:sz w:val="28"/>
          <w:szCs w:val="28"/>
        </w:rPr>
        <w:t xml:space="preserve">d health systems have had several </w:t>
      </w:r>
      <w:r>
        <w:rPr>
          <w:rFonts w:ascii="Times New Roman" w:hAnsi="Times New Roman" w:cs="Times New Roman"/>
          <w:sz w:val="28"/>
          <w:szCs w:val="28"/>
        </w:rPr>
        <w:t xml:space="preserve">examples of interesting post-2008 </w:t>
      </w:r>
      <w:r w:rsidR="00680F8C">
        <w:rPr>
          <w:rFonts w:ascii="Times New Roman" w:hAnsi="Times New Roman" w:cs="Times New Roman"/>
          <w:sz w:val="28"/>
          <w:szCs w:val="28"/>
        </w:rPr>
        <w:t>crisis reforms, focusing</w:t>
      </w:r>
      <w:r>
        <w:rPr>
          <w:rFonts w:ascii="Times New Roman" w:hAnsi="Times New Roman" w:cs="Times New Roman"/>
          <w:sz w:val="28"/>
          <w:szCs w:val="28"/>
        </w:rPr>
        <w:t xml:space="preserve"> mainly on the funding side, along with </w:t>
      </w:r>
      <w:r w:rsidR="00595C5C">
        <w:rPr>
          <w:rFonts w:ascii="Times New Roman" w:hAnsi="Times New Roman" w:cs="Times New Roman"/>
          <w:sz w:val="28"/>
          <w:szCs w:val="28"/>
        </w:rPr>
        <w:t>the (allocation) methodology for</w:t>
      </w:r>
      <w:r>
        <w:rPr>
          <w:rFonts w:ascii="Times New Roman" w:hAnsi="Times New Roman" w:cs="Times New Roman"/>
          <w:sz w:val="28"/>
          <w:szCs w:val="28"/>
        </w:rPr>
        <w:t xml:space="preserve"> paying providers.</w:t>
      </w:r>
      <w:r w:rsidR="003D422F">
        <w:rPr>
          <w:rFonts w:ascii="Times New Roman" w:hAnsi="Times New Roman" w:cs="Times New Roman"/>
          <w:sz w:val="28"/>
          <w:szCs w:val="28"/>
        </w:rPr>
        <w:t xml:space="preserve"> The more noteworthy</w:t>
      </w:r>
      <w:r w:rsidR="00F30635">
        <w:rPr>
          <w:rFonts w:ascii="Times New Roman" w:hAnsi="Times New Roman" w:cs="Times New Roman"/>
          <w:sz w:val="28"/>
          <w:szCs w:val="28"/>
        </w:rPr>
        <w:t xml:space="preserve"> national initiatives have included the following:</w:t>
      </w:r>
    </w:p>
    <w:p w:rsidR="00F30635" w:rsidRDefault="00F30635" w:rsidP="00E32381">
      <w:pPr>
        <w:pStyle w:val="NoSpacing"/>
        <w:rPr>
          <w:rFonts w:ascii="Times New Roman" w:hAnsi="Times New Roman" w:cs="Times New Roman"/>
          <w:sz w:val="28"/>
          <w:szCs w:val="28"/>
        </w:rPr>
      </w:pPr>
    </w:p>
    <w:p w:rsidR="00F30635" w:rsidRDefault="00F30635" w:rsidP="00691458">
      <w:pPr>
        <w:pStyle w:val="NoSpacing"/>
        <w:numPr>
          <w:ilvl w:val="0"/>
          <w:numId w:val="10"/>
        </w:numPr>
        <w:rPr>
          <w:rFonts w:ascii="Times New Roman" w:hAnsi="Times New Roman" w:cs="Times New Roman"/>
          <w:sz w:val="28"/>
          <w:szCs w:val="28"/>
        </w:rPr>
      </w:pPr>
      <w:r w:rsidRPr="00F30635">
        <w:rPr>
          <w:rFonts w:ascii="Times New Roman" w:hAnsi="Times New Roman" w:cs="Times New Roman"/>
          <w:i/>
          <w:sz w:val="28"/>
          <w:szCs w:val="28"/>
        </w:rPr>
        <w:lastRenderedPageBreak/>
        <w:t>Replacing</w:t>
      </w:r>
      <w:r w:rsidR="007F1AED">
        <w:rPr>
          <w:rFonts w:ascii="Times New Roman" w:hAnsi="Times New Roman" w:cs="Times New Roman"/>
          <w:sz w:val="28"/>
          <w:szCs w:val="28"/>
        </w:rPr>
        <w:t xml:space="preserve"> long</w:t>
      </w:r>
      <w:r w:rsidR="005F4A59">
        <w:rPr>
          <w:rFonts w:ascii="Times New Roman" w:hAnsi="Times New Roman" w:cs="Times New Roman"/>
          <w:sz w:val="28"/>
          <w:szCs w:val="28"/>
        </w:rPr>
        <w:t>-</w:t>
      </w:r>
      <w:r w:rsidR="007F1AED">
        <w:rPr>
          <w:rFonts w:ascii="Times New Roman" w:hAnsi="Times New Roman" w:cs="Times New Roman"/>
          <w:sz w:val="28"/>
          <w:szCs w:val="28"/>
        </w:rPr>
        <w:t>term care i</w:t>
      </w:r>
      <w:r>
        <w:rPr>
          <w:rFonts w:ascii="Times New Roman" w:hAnsi="Times New Roman" w:cs="Times New Roman"/>
          <w:sz w:val="28"/>
          <w:szCs w:val="28"/>
        </w:rPr>
        <w:t xml:space="preserve">nsurance </w:t>
      </w:r>
      <w:r w:rsidR="007F1AED">
        <w:rPr>
          <w:rFonts w:ascii="Times New Roman" w:hAnsi="Times New Roman" w:cs="Times New Roman"/>
          <w:sz w:val="28"/>
          <w:szCs w:val="28"/>
        </w:rPr>
        <w:t>with m</w:t>
      </w:r>
      <w:r>
        <w:rPr>
          <w:rFonts w:ascii="Times New Roman" w:hAnsi="Times New Roman" w:cs="Times New Roman"/>
          <w:sz w:val="28"/>
          <w:szCs w:val="28"/>
        </w:rPr>
        <w:t>unicipally-led home-based care</w:t>
      </w:r>
    </w:p>
    <w:p w:rsidR="00F30635" w:rsidRDefault="00F30635" w:rsidP="00E3238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EE203D">
        <w:rPr>
          <w:rFonts w:ascii="Times New Roman" w:hAnsi="Times New Roman" w:cs="Times New Roman"/>
          <w:sz w:val="28"/>
          <w:szCs w:val="28"/>
        </w:rPr>
        <w:t>t</w:t>
      </w:r>
      <w:r>
        <w:rPr>
          <w:rFonts w:ascii="Times New Roman" w:hAnsi="Times New Roman" w:cs="Times New Roman"/>
          <w:sz w:val="28"/>
          <w:szCs w:val="28"/>
        </w:rPr>
        <w:t>he Netherlands)</w:t>
      </w:r>
    </w:p>
    <w:p w:rsidR="00E32381" w:rsidRDefault="00F30635" w:rsidP="00691458">
      <w:pPr>
        <w:pStyle w:val="NoSpacing"/>
        <w:numPr>
          <w:ilvl w:val="0"/>
          <w:numId w:val="10"/>
        </w:numPr>
        <w:rPr>
          <w:rFonts w:ascii="Times New Roman" w:hAnsi="Times New Roman" w:cs="Times New Roman"/>
          <w:sz w:val="28"/>
          <w:szCs w:val="28"/>
        </w:rPr>
      </w:pPr>
      <w:r w:rsidRPr="00F30635">
        <w:rPr>
          <w:rFonts w:ascii="Times New Roman" w:hAnsi="Times New Roman" w:cs="Times New Roman"/>
          <w:i/>
          <w:sz w:val="28"/>
          <w:szCs w:val="28"/>
        </w:rPr>
        <w:t>Shifting</w:t>
      </w:r>
      <w:r>
        <w:rPr>
          <w:rFonts w:ascii="Times New Roman" w:hAnsi="Times New Roman" w:cs="Times New Roman"/>
          <w:sz w:val="28"/>
          <w:szCs w:val="28"/>
        </w:rPr>
        <w:t xml:space="preserve"> premium increases away from employers onto employees</w:t>
      </w:r>
    </w:p>
    <w:p w:rsidR="00F30635" w:rsidRDefault="00F30635" w:rsidP="00E32381">
      <w:pPr>
        <w:pStyle w:val="NoSpacing"/>
        <w:rPr>
          <w:rFonts w:ascii="Times New Roman" w:hAnsi="Times New Roman" w:cs="Times New Roman"/>
          <w:sz w:val="28"/>
          <w:szCs w:val="28"/>
        </w:rPr>
      </w:pPr>
      <w:r>
        <w:rPr>
          <w:rFonts w:ascii="Times New Roman" w:hAnsi="Times New Roman" w:cs="Times New Roman"/>
          <w:sz w:val="28"/>
          <w:szCs w:val="28"/>
        </w:rPr>
        <w:t xml:space="preserve">                        (Germany)</w:t>
      </w:r>
    </w:p>
    <w:p w:rsidR="00F30635" w:rsidRDefault="00F30635" w:rsidP="00E32381">
      <w:pPr>
        <w:pStyle w:val="NoSpacing"/>
        <w:rPr>
          <w:rFonts w:ascii="Times New Roman" w:hAnsi="Times New Roman" w:cs="Times New Roman"/>
          <w:sz w:val="28"/>
          <w:szCs w:val="28"/>
        </w:rPr>
      </w:pPr>
    </w:p>
    <w:p w:rsidR="00F30635" w:rsidRDefault="00F30635" w:rsidP="00E32381">
      <w:pPr>
        <w:pStyle w:val="NoSpacing"/>
        <w:rPr>
          <w:rFonts w:ascii="Times New Roman" w:hAnsi="Times New Roman" w:cs="Times New Roman"/>
          <w:sz w:val="28"/>
          <w:szCs w:val="28"/>
        </w:rPr>
      </w:pPr>
      <w:r>
        <w:rPr>
          <w:rFonts w:ascii="Times New Roman" w:hAnsi="Times New Roman" w:cs="Times New Roman"/>
          <w:sz w:val="28"/>
          <w:szCs w:val="28"/>
        </w:rPr>
        <w:t>There also have been a range of pilot projects pursued at the re</w:t>
      </w:r>
      <w:r w:rsidR="00696C8F">
        <w:rPr>
          <w:rFonts w:ascii="Times New Roman" w:hAnsi="Times New Roman" w:cs="Times New Roman"/>
          <w:sz w:val="28"/>
          <w:szCs w:val="28"/>
        </w:rPr>
        <w:t>gional level, often seeking</w:t>
      </w:r>
      <w:r>
        <w:rPr>
          <w:rFonts w:ascii="Times New Roman" w:hAnsi="Times New Roman" w:cs="Times New Roman"/>
          <w:sz w:val="28"/>
          <w:szCs w:val="28"/>
        </w:rPr>
        <w:t xml:space="preserve"> to reduce the cost of long</w:t>
      </w:r>
      <w:r w:rsidR="00564765">
        <w:rPr>
          <w:rFonts w:ascii="Times New Roman" w:hAnsi="Times New Roman" w:cs="Times New Roman"/>
          <w:sz w:val="28"/>
          <w:szCs w:val="28"/>
        </w:rPr>
        <w:t>-</w:t>
      </w:r>
      <w:r>
        <w:rPr>
          <w:rFonts w:ascii="Times New Roman" w:hAnsi="Times New Roman" w:cs="Times New Roman"/>
          <w:sz w:val="28"/>
          <w:szCs w:val="28"/>
        </w:rPr>
        <w:t xml:space="preserve">term and chronic elderly care. While some of these began just prior to the onset of the 2008 financial crisis, they gained growing importance and attention as events in 2007 and 2008 unfolded. Among the more notable trial projects </w:t>
      </w:r>
      <w:r w:rsidR="00CB2B38">
        <w:rPr>
          <w:rFonts w:ascii="Times New Roman" w:hAnsi="Times New Roman" w:cs="Times New Roman"/>
          <w:sz w:val="28"/>
          <w:szCs w:val="28"/>
        </w:rPr>
        <w:t xml:space="preserve">in this arena </w:t>
      </w:r>
      <w:r>
        <w:rPr>
          <w:rFonts w:ascii="Times New Roman" w:hAnsi="Times New Roman" w:cs="Times New Roman"/>
          <w:sz w:val="28"/>
          <w:szCs w:val="28"/>
        </w:rPr>
        <w:t>have been:</w:t>
      </w:r>
    </w:p>
    <w:p w:rsidR="00643948" w:rsidRDefault="00643948" w:rsidP="00E32381">
      <w:pPr>
        <w:pStyle w:val="NoSpacing"/>
        <w:rPr>
          <w:rFonts w:ascii="Times New Roman" w:hAnsi="Times New Roman" w:cs="Times New Roman"/>
          <w:sz w:val="28"/>
          <w:szCs w:val="28"/>
        </w:rPr>
      </w:pPr>
    </w:p>
    <w:p w:rsidR="007F1AED" w:rsidRDefault="00643948" w:rsidP="00691458">
      <w:pPr>
        <w:pStyle w:val="NoSpacing"/>
        <w:numPr>
          <w:ilvl w:val="0"/>
          <w:numId w:val="10"/>
        </w:numPr>
        <w:rPr>
          <w:rFonts w:ascii="Times New Roman" w:hAnsi="Times New Roman" w:cs="Times New Roman"/>
          <w:sz w:val="28"/>
          <w:szCs w:val="28"/>
        </w:rPr>
      </w:pPr>
      <w:r w:rsidRPr="007F1AED">
        <w:rPr>
          <w:rFonts w:ascii="Times New Roman" w:hAnsi="Times New Roman" w:cs="Times New Roman"/>
          <w:i/>
          <w:sz w:val="28"/>
          <w:szCs w:val="28"/>
        </w:rPr>
        <w:t>Integrating</w:t>
      </w:r>
      <w:r>
        <w:rPr>
          <w:rFonts w:ascii="Times New Roman" w:hAnsi="Times New Roman" w:cs="Times New Roman"/>
          <w:sz w:val="28"/>
          <w:szCs w:val="28"/>
        </w:rPr>
        <w:t xml:space="preserve"> </w:t>
      </w:r>
      <w:r w:rsidR="00F07264">
        <w:rPr>
          <w:rFonts w:ascii="Times New Roman" w:hAnsi="Times New Roman" w:cs="Times New Roman"/>
          <w:sz w:val="28"/>
          <w:szCs w:val="28"/>
        </w:rPr>
        <w:t xml:space="preserve">home care, primary care and hospital outpatient services for </w:t>
      </w:r>
      <w:r>
        <w:rPr>
          <w:rFonts w:ascii="Times New Roman" w:hAnsi="Times New Roman" w:cs="Times New Roman"/>
          <w:sz w:val="28"/>
          <w:szCs w:val="28"/>
        </w:rPr>
        <w:t xml:space="preserve">chronically ill </w:t>
      </w:r>
      <w:r w:rsidR="007F1AED">
        <w:rPr>
          <w:rFonts w:ascii="Times New Roman" w:hAnsi="Times New Roman" w:cs="Times New Roman"/>
          <w:sz w:val="28"/>
          <w:szCs w:val="28"/>
        </w:rPr>
        <w:t xml:space="preserve">elderly </w:t>
      </w:r>
      <w:r>
        <w:rPr>
          <w:rFonts w:ascii="Times New Roman" w:hAnsi="Times New Roman" w:cs="Times New Roman"/>
          <w:sz w:val="28"/>
          <w:szCs w:val="28"/>
        </w:rPr>
        <w:t>care</w:t>
      </w:r>
      <w:r w:rsidR="00CA054E">
        <w:rPr>
          <w:rFonts w:ascii="Times New Roman" w:hAnsi="Times New Roman" w:cs="Times New Roman"/>
          <w:sz w:val="28"/>
          <w:szCs w:val="28"/>
        </w:rPr>
        <w:t xml:space="preserve"> in Germany, Netherlands, and Austria</w:t>
      </w:r>
      <w:r w:rsidR="000E7532">
        <w:rPr>
          <w:rFonts w:ascii="Times New Roman" w:hAnsi="Times New Roman" w:cs="Times New Roman"/>
          <w:sz w:val="28"/>
          <w:szCs w:val="28"/>
        </w:rPr>
        <w:t xml:space="preserve"> (Nolte et. al, 2015)</w:t>
      </w:r>
      <w:r w:rsidR="00CA054E">
        <w:rPr>
          <w:rFonts w:ascii="Times New Roman" w:hAnsi="Times New Roman" w:cs="Times New Roman"/>
          <w:sz w:val="28"/>
          <w:szCs w:val="28"/>
        </w:rPr>
        <w:t>:</w:t>
      </w:r>
    </w:p>
    <w:p w:rsidR="00643948" w:rsidRDefault="007F1AED" w:rsidP="00E32381">
      <w:pPr>
        <w:pStyle w:val="NoSpacing"/>
        <w:rPr>
          <w:rFonts w:ascii="Times New Roman" w:hAnsi="Times New Roman" w:cs="Times New Roman"/>
          <w:sz w:val="28"/>
          <w:szCs w:val="28"/>
        </w:rPr>
      </w:pPr>
      <w:r>
        <w:rPr>
          <w:rFonts w:ascii="Times New Roman" w:hAnsi="Times New Roman" w:cs="Times New Roman"/>
          <w:sz w:val="28"/>
          <w:szCs w:val="28"/>
        </w:rPr>
        <w:t xml:space="preserve">                                (Gesundes Kinzigtal, Southwest Germany)</w:t>
      </w:r>
    </w:p>
    <w:p w:rsidR="00F672AA" w:rsidRDefault="00F672AA" w:rsidP="00E32381">
      <w:pPr>
        <w:pStyle w:val="NoSpacing"/>
        <w:rPr>
          <w:rFonts w:ascii="Times New Roman" w:hAnsi="Times New Roman" w:cs="Times New Roman"/>
          <w:sz w:val="28"/>
          <w:szCs w:val="28"/>
        </w:rPr>
      </w:pPr>
      <w:r>
        <w:rPr>
          <w:rFonts w:ascii="Times New Roman" w:hAnsi="Times New Roman" w:cs="Times New Roman"/>
          <w:sz w:val="28"/>
          <w:szCs w:val="28"/>
        </w:rPr>
        <w:t xml:space="preserve">                                (Matador disease management program, Maastricht, NL)</w:t>
      </w:r>
    </w:p>
    <w:p w:rsidR="00F91C3C" w:rsidRDefault="00F91C3C" w:rsidP="00E32381">
      <w:pPr>
        <w:pStyle w:val="NoSpacing"/>
        <w:rPr>
          <w:rFonts w:ascii="Times New Roman" w:hAnsi="Times New Roman" w:cs="Times New Roman"/>
          <w:sz w:val="28"/>
          <w:szCs w:val="28"/>
        </w:rPr>
      </w:pPr>
      <w:r>
        <w:rPr>
          <w:rFonts w:ascii="Times New Roman" w:hAnsi="Times New Roman" w:cs="Times New Roman"/>
          <w:sz w:val="28"/>
          <w:szCs w:val="28"/>
        </w:rPr>
        <w:t xml:space="preserve">                                (Diabetes Management Program, Salzburg, Austria)</w:t>
      </w:r>
    </w:p>
    <w:p w:rsidR="00F672AA" w:rsidRDefault="00F672AA" w:rsidP="00F37DFF">
      <w:pPr>
        <w:pStyle w:val="NoSpacing"/>
        <w:ind w:left="720"/>
        <w:rPr>
          <w:rFonts w:ascii="Times New Roman" w:hAnsi="Times New Roman" w:cs="Times New Roman"/>
          <w:sz w:val="28"/>
          <w:szCs w:val="28"/>
        </w:rPr>
      </w:pPr>
    </w:p>
    <w:p w:rsidR="00F30635" w:rsidRPr="00600F95" w:rsidRDefault="00600F95" w:rsidP="00691458">
      <w:pPr>
        <w:pStyle w:val="NoSpacing"/>
        <w:numPr>
          <w:ilvl w:val="0"/>
          <w:numId w:val="10"/>
        </w:numPr>
        <w:rPr>
          <w:rFonts w:ascii="Times New Roman" w:hAnsi="Times New Roman" w:cs="Times New Roman"/>
          <w:sz w:val="28"/>
          <w:szCs w:val="28"/>
        </w:rPr>
      </w:pPr>
      <w:r w:rsidRPr="00600F95">
        <w:rPr>
          <w:rFonts w:ascii="Times New Roman" w:hAnsi="Times New Roman" w:cs="Times New Roman"/>
          <w:sz w:val="28"/>
          <w:szCs w:val="28"/>
        </w:rPr>
        <w:t>Developing innova</w:t>
      </w:r>
      <w:r w:rsidR="00F07264">
        <w:rPr>
          <w:rFonts w:ascii="Times New Roman" w:hAnsi="Times New Roman" w:cs="Times New Roman"/>
          <w:sz w:val="28"/>
          <w:szCs w:val="28"/>
        </w:rPr>
        <w:t>tive multi-level</w:t>
      </w:r>
      <w:r w:rsidRPr="00600F95">
        <w:rPr>
          <w:rFonts w:ascii="Times New Roman" w:hAnsi="Times New Roman" w:cs="Times New Roman"/>
          <w:sz w:val="28"/>
          <w:szCs w:val="28"/>
        </w:rPr>
        <w:t xml:space="preserve"> programs of </w:t>
      </w:r>
      <w:r w:rsidR="00F07264">
        <w:rPr>
          <w:rFonts w:ascii="Times New Roman" w:hAnsi="Times New Roman" w:cs="Times New Roman"/>
          <w:sz w:val="28"/>
          <w:szCs w:val="28"/>
        </w:rPr>
        <w:t>individually tailored</w:t>
      </w:r>
      <w:r w:rsidR="00953F6D">
        <w:rPr>
          <w:rFonts w:ascii="Times New Roman" w:hAnsi="Times New Roman" w:cs="Times New Roman"/>
          <w:sz w:val="28"/>
          <w:szCs w:val="28"/>
        </w:rPr>
        <w:t xml:space="preserve"> </w:t>
      </w:r>
      <w:r w:rsidRPr="00600F95">
        <w:rPr>
          <w:rFonts w:ascii="Times New Roman" w:hAnsi="Times New Roman" w:cs="Times New Roman"/>
          <w:sz w:val="28"/>
          <w:szCs w:val="28"/>
        </w:rPr>
        <w:t xml:space="preserve">elderly care services in </w:t>
      </w:r>
      <w:r w:rsidR="00EE203D">
        <w:rPr>
          <w:rFonts w:ascii="Times New Roman" w:hAnsi="Times New Roman" w:cs="Times New Roman"/>
          <w:sz w:val="28"/>
          <w:szCs w:val="28"/>
        </w:rPr>
        <w:t>t</w:t>
      </w:r>
      <w:r w:rsidRPr="00600F95">
        <w:rPr>
          <w:rFonts w:ascii="Times New Roman" w:hAnsi="Times New Roman" w:cs="Times New Roman"/>
          <w:sz w:val="28"/>
          <w:szCs w:val="28"/>
        </w:rPr>
        <w:t>he Netherlands such as</w:t>
      </w:r>
      <w:r w:rsidR="00F37DFF" w:rsidRPr="00600F95">
        <w:rPr>
          <w:rFonts w:ascii="Times New Roman" w:hAnsi="Times New Roman" w:cs="Times New Roman"/>
          <w:sz w:val="28"/>
          <w:szCs w:val="28"/>
        </w:rPr>
        <w:t xml:space="preserve"> Residentie de Saafir</w:t>
      </w:r>
      <w:r w:rsidRPr="00600F95">
        <w:rPr>
          <w:rFonts w:ascii="Times New Roman" w:hAnsi="Times New Roman" w:cs="Times New Roman"/>
          <w:sz w:val="28"/>
          <w:szCs w:val="28"/>
        </w:rPr>
        <w:t xml:space="preserve"> in Den Haag and Cordaan in Greater Amsterdam. </w:t>
      </w:r>
      <w:r w:rsidR="00A54149" w:rsidRPr="00600F95">
        <w:rPr>
          <w:rFonts w:ascii="Times New Roman" w:hAnsi="Times New Roman" w:cs="Times New Roman"/>
          <w:sz w:val="28"/>
          <w:szCs w:val="28"/>
        </w:rPr>
        <w:t xml:space="preserve"> </w:t>
      </w:r>
    </w:p>
    <w:p w:rsidR="00F30635" w:rsidRDefault="00F30635" w:rsidP="00E3238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1B3347" w:rsidRDefault="001B3347" w:rsidP="00B54A70">
      <w:pPr>
        <w:pStyle w:val="NoSpacing"/>
        <w:rPr>
          <w:rFonts w:ascii="Times New Roman" w:hAnsi="Times New Roman" w:cs="Times New Roman"/>
          <w:sz w:val="28"/>
          <w:szCs w:val="28"/>
        </w:rPr>
      </w:pPr>
    </w:p>
    <w:p w:rsidR="00B54A70" w:rsidRDefault="00675363" w:rsidP="00B54A70">
      <w:pPr>
        <w:pStyle w:val="NoSpacing"/>
        <w:rPr>
          <w:rFonts w:ascii="Times New Roman" w:hAnsi="Times New Roman" w:cs="Times New Roman"/>
          <w:b/>
          <w:sz w:val="28"/>
          <w:szCs w:val="28"/>
        </w:rPr>
      </w:pPr>
      <w:r>
        <w:rPr>
          <w:rFonts w:ascii="Times New Roman" w:hAnsi="Times New Roman" w:cs="Times New Roman"/>
          <w:b/>
          <w:sz w:val="28"/>
          <w:szCs w:val="28"/>
        </w:rPr>
        <w:t>The Netherlands</w:t>
      </w:r>
    </w:p>
    <w:p w:rsidR="0018412A" w:rsidRDefault="0018412A" w:rsidP="00B54A70">
      <w:pPr>
        <w:pStyle w:val="NoSpacing"/>
        <w:rPr>
          <w:rFonts w:ascii="Times New Roman" w:hAnsi="Times New Roman" w:cs="Times New Roman"/>
          <w:b/>
          <w:sz w:val="28"/>
          <w:szCs w:val="28"/>
        </w:rPr>
      </w:pPr>
    </w:p>
    <w:p w:rsidR="0018412A" w:rsidRDefault="0018412A" w:rsidP="0018412A">
      <w:pPr>
        <w:pStyle w:val="NoSpacing"/>
        <w:rPr>
          <w:rFonts w:ascii="Times New Roman" w:hAnsi="Times New Roman" w:cs="Times New Roman"/>
          <w:sz w:val="28"/>
          <w:szCs w:val="28"/>
        </w:rPr>
      </w:pPr>
      <w:r>
        <w:rPr>
          <w:rFonts w:ascii="Times New Roman" w:hAnsi="Times New Roman" w:cs="Times New Roman"/>
          <w:sz w:val="28"/>
          <w:szCs w:val="28"/>
        </w:rPr>
        <w:t xml:space="preserve">In </w:t>
      </w:r>
      <w:r w:rsidR="00EE203D">
        <w:rPr>
          <w:rFonts w:ascii="Times New Roman" w:hAnsi="Times New Roman" w:cs="Times New Roman"/>
          <w:sz w:val="28"/>
          <w:szCs w:val="28"/>
        </w:rPr>
        <w:t>t</w:t>
      </w:r>
      <w:r>
        <w:rPr>
          <w:rFonts w:ascii="Times New Roman" w:hAnsi="Times New Roman" w:cs="Times New Roman"/>
          <w:sz w:val="28"/>
          <w:szCs w:val="28"/>
        </w:rPr>
        <w:t>he Netherlands, long</w:t>
      </w:r>
      <w:r w:rsidR="00564765">
        <w:rPr>
          <w:rFonts w:ascii="Times New Roman" w:hAnsi="Times New Roman" w:cs="Times New Roman"/>
          <w:sz w:val="28"/>
          <w:szCs w:val="28"/>
        </w:rPr>
        <w:t>-</w:t>
      </w:r>
      <w:r>
        <w:rPr>
          <w:rFonts w:ascii="Times New Roman" w:hAnsi="Times New Roman" w:cs="Times New Roman"/>
          <w:sz w:val="28"/>
          <w:szCs w:val="28"/>
        </w:rPr>
        <w:t>term care insurance was radically re-structured in 2015. The longstanding (since 1967) universal insurance structure for long</w:t>
      </w:r>
      <w:r w:rsidR="00564765">
        <w:rPr>
          <w:rFonts w:ascii="Times New Roman" w:hAnsi="Times New Roman" w:cs="Times New Roman"/>
          <w:sz w:val="28"/>
          <w:szCs w:val="28"/>
        </w:rPr>
        <w:t>-</w:t>
      </w:r>
      <w:r>
        <w:rPr>
          <w:rFonts w:ascii="Times New Roman" w:hAnsi="Times New Roman" w:cs="Times New Roman"/>
          <w:sz w:val="28"/>
          <w:szCs w:val="28"/>
        </w:rPr>
        <w:t xml:space="preserve">term care – the AWBZ – was discontinued at the end of 2014. Its funding functions were folded as of January 2015 into a new municipality-based structure (Wlz) that places responsibility for caring for home-bound elderly on, sequentially, the individual’s immediate family, the community (especially churches and social groups), primary care, intermediate health facilities (such as municipally based observation beds) and, only as a last resort, hospital-based staff and/or facilities (Kroneman et al, 2016).  </w:t>
      </w:r>
    </w:p>
    <w:p w:rsidR="0018412A" w:rsidRDefault="0018412A" w:rsidP="0018412A">
      <w:pPr>
        <w:pStyle w:val="NoSpacing"/>
        <w:rPr>
          <w:rFonts w:ascii="Times New Roman" w:hAnsi="Times New Roman" w:cs="Times New Roman"/>
          <w:sz w:val="28"/>
          <w:szCs w:val="28"/>
        </w:rPr>
      </w:pPr>
    </w:p>
    <w:p w:rsidR="0018412A" w:rsidRDefault="0018412A" w:rsidP="0018412A">
      <w:pPr>
        <w:pStyle w:val="NoSpacing"/>
        <w:rPr>
          <w:rFonts w:ascii="Times New Roman" w:hAnsi="Times New Roman" w:cs="Times New Roman"/>
          <w:sz w:val="28"/>
          <w:szCs w:val="28"/>
        </w:rPr>
      </w:pPr>
      <w:r>
        <w:rPr>
          <w:rFonts w:ascii="Times New Roman" w:hAnsi="Times New Roman" w:cs="Times New Roman"/>
          <w:sz w:val="28"/>
          <w:szCs w:val="28"/>
        </w:rPr>
        <w:t xml:space="preserve">The new, complex and socially differentiated structure for home care co-payments illustrates the focus of the new regime. Under the Wlz, after the first six months of care, those home care recipients who live alone must pay the “high co-insurance rate,” consisting of “the patient’s total taxable income and part of their assets with a maximum of 2285 euro per year in 2015.” Those recipients who live with a </w:t>
      </w:r>
      <w:r>
        <w:rPr>
          <w:rFonts w:ascii="Times New Roman" w:hAnsi="Times New Roman" w:cs="Times New Roman"/>
          <w:sz w:val="28"/>
          <w:szCs w:val="28"/>
        </w:rPr>
        <w:lastRenderedPageBreak/>
        <w:t>“partner and/or dependent children” pays the “low co-insurance rate” which is “12.5% of income…with a 159 euro minimum and a 833 euro ceiling per month in 2015” (Kroneman et al, 2016, p. 89). This co-payment structure represents a dramatic shift from the previous AWBZ insurance-based payment structure to providers. It also creates a strong incentive for elderly recipients to move in with their children, thereby enabling at least</w:t>
      </w:r>
      <w:r w:rsidR="003554DB">
        <w:rPr>
          <w:rFonts w:ascii="Times New Roman" w:hAnsi="Times New Roman" w:cs="Times New Roman"/>
          <w:sz w:val="28"/>
          <w:szCs w:val="28"/>
        </w:rPr>
        <w:t xml:space="preserve"> some informal </w:t>
      </w:r>
      <w:r>
        <w:rPr>
          <w:rFonts w:ascii="Times New Roman" w:hAnsi="Times New Roman" w:cs="Times New Roman"/>
          <w:sz w:val="28"/>
          <w:szCs w:val="28"/>
        </w:rPr>
        <w:t>caregiving.</w:t>
      </w:r>
    </w:p>
    <w:p w:rsidR="00037A95" w:rsidRDefault="00037A95" w:rsidP="0018412A">
      <w:pPr>
        <w:pStyle w:val="NoSpacing"/>
        <w:rPr>
          <w:rFonts w:ascii="Times New Roman" w:hAnsi="Times New Roman" w:cs="Times New Roman"/>
          <w:sz w:val="28"/>
          <w:szCs w:val="28"/>
        </w:rPr>
      </w:pPr>
    </w:p>
    <w:p w:rsidR="007B01AA" w:rsidRDefault="00037A95" w:rsidP="00037A95">
      <w:pPr>
        <w:pStyle w:val="NoSpacing"/>
        <w:rPr>
          <w:rFonts w:ascii="Times New Roman" w:hAnsi="Times New Roman" w:cs="Times New Roman"/>
          <w:sz w:val="28"/>
          <w:szCs w:val="28"/>
        </w:rPr>
      </w:pPr>
      <w:r>
        <w:rPr>
          <w:rFonts w:ascii="Times New Roman" w:hAnsi="Times New Roman" w:cs="Times New Roman"/>
          <w:sz w:val="28"/>
          <w:szCs w:val="28"/>
        </w:rPr>
        <w:t>Formally, the 2015 Dutch home care reform consists of three linked legislative acts:</w:t>
      </w:r>
    </w:p>
    <w:p w:rsidR="00D66180" w:rsidRPr="00037A95" w:rsidRDefault="00037A95" w:rsidP="00D66180">
      <w:pPr>
        <w:pStyle w:val="NoSpacing"/>
        <w:rPr>
          <w:rFonts w:ascii="Times New Roman" w:hAnsi="Times New Roman"/>
          <w:sz w:val="28"/>
          <w:szCs w:val="28"/>
        </w:rPr>
      </w:pPr>
      <w:r>
        <w:rPr>
          <w:rFonts w:ascii="Times New Roman" w:hAnsi="Times New Roman" w:cs="Times New Roman"/>
          <w:sz w:val="28"/>
          <w:szCs w:val="28"/>
        </w:rPr>
        <w:t xml:space="preserve">      </w:t>
      </w:r>
      <w:r w:rsidR="00D66180" w:rsidRPr="00D66180">
        <w:rPr>
          <w:rFonts w:ascii="Times New Roman" w:hAnsi="Times New Roman"/>
          <w:b/>
          <w:sz w:val="28"/>
          <w:szCs w:val="28"/>
        </w:rPr>
        <w:t xml:space="preserve"> </w:t>
      </w:r>
      <w:r w:rsidRPr="00037A95">
        <w:rPr>
          <w:rFonts w:ascii="Times New Roman" w:hAnsi="Times New Roman"/>
          <w:sz w:val="28"/>
          <w:szCs w:val="28"/>
        </w:rPr>
        <w:t xml:space="preserve">1)  </w:t>
      </w:r>
      <w:r w:rsidRPr="002A33DD">
        <w:rPr>
          <w:rFonts w:ascii="Times New Roman" w:hAnsi="Times New Roman"/>
          <w:i/>
          <w:sz w:val="28"/>
          <w:szCs w:val="28"/>
        </w:rPr>
        <w:t>Long Term Care Act</w:t>
      </w:r>
      <w:r w:rsidRPr="00037A95">
        <w:rPr>
          <w:rFonts w:ascii="Times New Roman" w:hAnsi="Times New Roman"/>
          <w:sz w:val="28"/>
          <w:szCs w:val="28"/>
        </w:rPr>
        <w:t>. This provides i</w:t>
      </w:r>
      <w:r w:rsidR="00D66180" w:rsidRPr="00037A95">
        <w:rPr>
          <w:rFonts w:ascii="Times New Roman" w:hAnsi="Times New Roman"/>
          <w:sz w:val="28"/>
          <w:szCs w:val="28"/>
        </w:rPr>
        <w:t>nstitutional</w:t>
      </w:r>
      <w:r w:rsidRPr="00037A95">
        <w:rPr>
          <w:rFonts w:ascii="Times New Roman" w:hAnsi="Times New Roman"/>
          <w:sz w:val="28"/>
          <w:szCs w:val="28"/>
        </w:rPr>
        <w:t xml:space="preserve"> care and/or 24-hour home care. It is funded by mandatory</w:t>
      </w:r>
      <w:r w:rsidR="0099571D">
        <w:rPr>
          <w:rFonts w:ascii="Times New Roman" w:hAnsi="Times New Roman"/>
          <w:sz w:val="28"/>
          <w:szCs w:val="28"/>
        </w:rPr>
        <w:t>,</w:t>
      </w:r>
      <w:r w:rsidRPr="00037A95">
        <w:rPr>
          <w:rFonts w:ascii="Times New Roman" w:hAnsi="Times New Roman"/>
          <w:sz w:val="28"/>
          <w:szCs w:val="28"/>
        </w:rPr>
        <w:t xml:space="preserve"> individually paid premiums of 9.5% of salary up to an annual ceiling of 33,000 Euros. These premiums are paid directly to either the Netherlands’ private for-profit health insurance companies or its private not-for-profit social health insurance funds.  </w:t>
      </w:r>
    </w:p>
    <w:p w:rsidR="00D66180" w:rsidRPr="00037A95" w:rsidRDefault="00D66180" w:rsidP="00D66180">
      <w:pPr>
        <w:pStyle w:val="NoSpacing"/>
        <w:rPr>
          <w:rFonts w:ascii="Times New Roman" w:hAnsi="Times New Roman"/>
          <w:sz w:val="28"/>
          <w:szCs w:val="28"/>
        </w:rPr>
      </w:pPr>
      <w:r w:rsidRPr="00037A95">
        <w:rPr>
          <w:rFonts w:ascii="Times New Roman" w:hAnsi="Times New Roman"/>
          <w:sz w:val="28"/>
          <w:szCs w:val="28"/>
        </w:rPr>
        <w:t xml:space="preserve">       </w:t>
      </w:r>
      <w:r w:rsidR="0080301E">
        <w:rPr>
          <w:rFonts w:ascii="Times New Roman" w:hAnsi="Times New Roman"/>
          <w:sz w:val="28"/>
          <w:szCs w:val="28"/>
        </w:rPr>
        <w:t xml:space="preserve">2)  </w:t>
      </w:r>
      <w:r w:rsidR="0080301E" w:rsidRPr="002A33DD">
        <w:rPr>
          <w:rFonts w:ascii="Times New Roman" w:hAnsi="Times New Roman"/>
          <w:i/>
          <w:sz w:val="28"/>
          <w:szCs w:val="28"/>
        </w:rPr>
        <w:t>Health Insurance Act</w:t>
      </w:r>
      <w:r w:rsidR="0080301E">
        <w:rPr>
          <w:rFonts w:ascii="Times New Roman" w:hAnsi="Times New Roman"/>
          <w:sz w:val="28"/>
          <w:szCs w:val="28"/>
        </w:rPr>
        <w:t>.</w:t>
      </w:r>
      <w:r w:rsidR="001B0BE0">
        <w:rPr>
          <w:rFonts w:ascii="Times New Roman" w:hAnsi="Times New Roman"/>
          <w:sz w:val="28"/>
          <w:szCs w:val="28"/>
        </w:rPr>
        <w:t xml:space="preserve"> This legislation provides home care nursing services and personal care for individuals</w:t>
      </w:r>
      <w:r w:rsidR="0080301E">
        <w:rPr>
          <w:rFonts w:ascii="Times New Roman" w:hAnsi="Times New Roman"/>
          <w:sz w:val="28"/>
          <w:szCs w:val="28"/>
        </w:rPr>
        <w:t>, provided by medically trained or supervised staff,</w:t>
      </w:r>
      <w:r w:rsidR="001B0BE0">
        <w:rPr>
          <w:rFonts w:ascii="Times New Roman" w:hAnsi="Times New Roman"/>
          <w:sz w:val="28"/>
          <w:szCs w:val="28"/>
        </w:rPr>
        <w:t xml:space="preserve"> who require less than comprehensive services. It is also paid for by the mandatory individual premiums paid to private insurers by each Dutch adult, as in 1) above.</w:t>
      </w:r>
    </w:p>
    <w:p w:rsidR="00D66180" w:rsidRDefault="00D66180" w:rsidP="00D66180">
      <w:pPr>
        <w:pStyle w:val="NoSpacing"/>
        <w:rPr>
          <w:rFonts w:ascii="Times New Roman" w:hAnsi="Times New Roman"/>
          <w:sz w:val="28"/>
          <w:szCs w:val="28"/>
        </w:rPr>
      </w:pPr>
      <w:r w:rsidRPr="002A33DD">
        <w:rPr>
          <w:rFonts w:ascii="Times New Roman" w:hAnsi="Times New Roman"/>
          <w:sz w:val="28"/>
          <w:szCs w:val="28"/>
        </w:rPr>
        <w:t xml:space="preserve">       </w:t>
      </w:r>
      <w:r w:rsidR="0080301E" w:rsidRPr="002A33DD">
        <w:rPr>
          <w:rFonts w:ascii="Times New Roman" w:hAnsi="Times New Roman"/>
          <w:sz w:val="28"/>
          <w:szCs w:val="28"/>
        </w:rPr>
        <w:t>3)</w:t>
      </w:r>
      <w:r w:rsidR="0080301E">
        <w:rPr>
          <w:rFonts w:ascii="Times New Roman" w:hAnsi="Times New Roman"/>
          <w:b/>
          <w:sz w:val="28"/>
          <w:szCs w:val="28"/>
        </w:rPr>
        <w:t xml:space="preserve">  </w:t>
      </w:r>
      <w:r w:rsidR="0080301E" w:rsidRPr="002A33DD">
        <w:rPr>
          <w:rFonts w:ascii="Times New Roman" w:hAnsi="Times New Roman"/>
          <w:i/>
          <w:sz w:val="28"/>
          <w:szCs w:val="28"/>
        </w:rPr>
        <w:t>Social Support Act</w:t>
      </w:r>
      <w:r w:rsidR="0080301E" w:rsidRPr="0080301E">
        <w:rPr>
          <w:rFonts w:ascii="Times New Roman" w:hAnsi="Times New Roman"/>
          <w:sz w:val="28"/>
          <w:szCs w:val="28"/>
        </w:rPr>
        <w:t>. This legislation covers the provision of non-medical d</w:t>
      </w:r>
      <w:r w:rsidRPr="0080301E">
        <w:rPr>
          <w:rFonts w:ascii="Times New Roman" w:hAnsi="Times New Roman"/>
          <w:sz w:val="28"/>
          <w:szCs w:val="28"/>
        </w:rPr>
        <w:t xml:space="preserve">omestic care and social support </w:t>
      </w:r>
      <w:r w:rsidR="0080301E" w:rsidRPr="0080301E">
        <w:rPr>
          <w:rFonts w:ascii="Times New Roman" w:hAnsi="Times New Roman"/>
          <w:sz w:val="28"/>
          <w:szCs w:val="28"/>
        </w:rPr>
        <w:t>in the individual’s home</w:t>
      </w:r>
      <w:r w:rsidR="0080301E">
        <w:rPr>
          <w:rFonts w:ascii="Times New Roman" w:hAnsi="Times New Roman"/>
          <w:sz w:val="28"/>
          <w:szCs w:val="28"/>
        </w:rPr>
        <w:t>. Under this new legislation, these support services are paid fo</w:t>
      </w:r>
      <w:r w:rsidR="008F38DC">
        <w:rPr>
          <w:rFonts w:ascii="Times New Roman" w:hAnsi="Times New Roman"/>
          <w:sz w:val="28"/>
          <w:szCs w:val="28"/>
        </w:rPr>
        <w:t>r by municipal governments</w:t>
      </w:r>
      <w:r w:rsidR="0080301E">
        <w:rPr>
          <w:rFonts w:ascii="Times New Roman" w:hAnsi="Times New Roman"/>
          <w:sz w:val="28"/>
          <w:szCs w:val="28"/>
        </w:rPr>
        <w:t xml:space="preserve">. </w:t>
      </w:r>
    </w:p>
    <w:p w:rsidR="0080301E" w:rsidRDefault="0080301E" w:rsidP="00D66180">
      <w:pPr>
        <w:pStyle w:val="NoSpacing"/>
        <w:rPr>
          <w:rFonts w:ascii="Times New Roman" w:hAnsi="Times New Roman"/>
          <w:sz w:val="28"/>
          <w:szCs w:val="28"/>
        </w:rPr>
      </w:pPr>
    </w:p>
    <w:p w:rsidR="00A7327D" w:rsidRDefault="0080301E" w:rsidP="0080301E">
      <w:pPr>
        <w:pStyle w:val="NoSpacing"/>
        <w:rPr>
          <w:rFonts w:ascii="Times New Roman" w:hAnsi="Times New Roman"/>
          <w:sz w:val="28"/>
          <w:szCs w:val="28"/>
        </w:rPr>
      </w:pPr>
      <w:r>
        <w:rPr>
          <w:rFonts w:ascii="Times New Roman" w:hAnsi="Times New Roman"/>
          <w:sz w:val="28"/>
          <w:szCs w:val="28"/>
        </w:rPr>
        <w:t xml:space="preserve">An important element of these 2015 legal changes concerns the determination of eligibility for services.  </w:t>
      </w:r>
      <w:r w:rsidRPr="0080301E">
        <w:rPr>
          <w:rFonts w:ascii="Times New Roman" w:hAnsi="Times New Roman"/>
          <w:sz w:val="28"/>
          <w:szCs w:val="28"/>
        </w:rPr>
        <w:t xml:space="preserve">Eligibility for 1) and 2) </w:t>
      </w:r>
      <w:r w:rsidR="00B64BAE">
        <w:rPr>
          <w:rFonts w:ascii="Times New Roman" w:hAnsi="Times New Roman"/>
          <w:sz w:val="28"/>
          <w:szCs w:val="28"/>
        </w:rPr>
        <w:t xml:space="preserve">above </w:t>
      </w:r>
      <w:r w:rsidRPr="0080301E">
        <w:rPr>
          <w:rFonts w:ascii="Times New Roman" w:hAnsi="Times New Roman"/>
          <w:sz w:val="28"/>
          <w:szCs w:val="28"/>
        </w:rPr>
        <w:t>is determined by a newly established independent national agency, the</w:t>
      </w:r>
      <w:r w:rsidR="007B01AA" w:rsidRPr="0080301E">
        <w:rPr>
          <w:rFonts w:ascii="Times New Roman" w:hAnsi="Times New Roman"/>
          <w:sz w:val="28"/>
          <w:szCs w:val="28"/>
        </w:rPr>
        <w:t xml:space="preserve"> Centre for Needs Assessment</w:t>
      </w:r>
      <w:r w:rsidRPr="0080301E">
        <w:rPr>
          <w:rFonts w:ascii="Times New Roman" w:hAnsi="Times New Roman"/>
          <w:sz w:val="28"/>
          <w:szCs w:val="28"/>
        </w:rPr>
        <w:t xml:space="preserve">, which uses fixed national protocols tied to an individual’s IADL assessment (Independent Activities of Daily Living).  Eligibility for 3) </w:t>
      </w:r>
      <w:r w:rsidR="00B64BAE">
        <w:rPr>
          <w:rFonts w:ascii="Times New Roman" w:hAnsi="Times New Roman"/>
          <w:sz w:val="28"/>
          <w:szCs w:val="28"/>
        </w:rPr>
        <w:t xml:space="preserve">above </w:t>
      </w:r>
      <w:r w:rsidRPr="0080301E">
        <w:rPr>
          <w:rFonts w:ascii="Times New Roman" w:hAnsi="Times New Roman"/>
          <w:sz w:val="28"/>
          <w:szCs w:val="28"/>
        </w:rPr>
        <w:t>is determined by municipal government teams, who first hold a discussion with the patient – termed a</w:t>
      </w:r>
      <w:r w:rsidR="007B01AA" w:rsidRPr="0080301E">
        <w:rPr>
          <w:rFonts w:ascii="Times New Roman" w:hAnsi="Times New Roman"/>
          <w:sz w:val="28"/>
          <w:szCs w:val="28"/>
        </w:rPr>
        <w:t xml:space="preserve"> “kitchen table dialogue” </w:t>
      </w:r>
      <w:r w:rsidRPr="0080301E">
        <w:rPr>
          <w:rFonts w:ascii="Times New Roman" w:hAnsi="Times New Roman"/>
          <w:sz w:val="28"/>
          <w:szCs w:val="28"/>
        </w:rPr>
        <w:t>– to establish whether the needed domestic support can be obtained from family, neighbors, or private associations (for example, church groups), before committing to prov</w:t>
      </w:r>
      <w:r w:rsidR="00B64BAE">
        <w:rPr>
          <w:rFonts w:ascii="Times New Roman" w:hAnsi="Times New Roman"/>
          <w:sz w:val="28"/>
          <w:szCs w:val="28"/>
        </w:rPr>
        <w:t>id</w:t>
      </w:r>
      <w:r w:rsidRPr="0080301E">
        <w:rPr>
          <w:rFonts w:ascii="Times New Roman" w:hAnsi="Times New Roman"/>
          <w:sz w:val="28"/>
          <w:szCs w:val="28"/>
        </w:rPr>
        <w:t xml:space="preserve">ing these services from the public </w:t>
      </w:r>
      <w:r w:rsidR="00A10E72">
        <w:rPr>
          <w:rFonts w:ascii="Times New Roman" w:hAnsi="Times New Roman"/>
          <w:sz w:val="28"/>
          <w:szCs w:val="28"/>
        </w:rPr>
        <w:t>tax-funded budget (Maarse and Jeurissen, 2016).</w:t>
      </w:r>
      <w:r w:rsidR="007B01AA" w:rsidRPr="0080301E">
        <w:rPr>
          <w:rFonts w:ascii="Times New Roman" w:hAnsi="Times New Roman"/>
          <w:sz w:val="28"/>
          <w:szCs w:val="28"/>
        </w:rPr>
        <w:t xml:space="preserve"> </w:t>
      </w:r>
    </w:p>
    <w:p w:rsidR="001D564F" w:rsidRDefault="001D564F" w:rsidP="0080301E">
      <w:pPr>
        <w:pStyle w:val="NoSpacing"/>
        <w:rPr>
          <w:rFonts w:ascii="Times New Roman" w:hAnsi="Times New Roman"/>
          <w:sz w:val="28"/>
          <w:szCs w:val="28"/>
        </w:rPr>
      </w:pPr>
    </w:p>
    <w:p w:rsidR="001D564F" w:rsidRDefault="001D564F" w:rsidP="0080301E">
      <w:pPr>
        <w:pStyle w:val="NoSpacing"/>
        <w:rPr>
          <w:rFonts w:ascii="Times New Roman" w:hAnsi="Times New Roman"/>
          <w:sz w:val="28"/>
          <w:szCs w:val="28"/>
        </w:rPr>
      </w:pPr>
    </w:p>
    <w:p w:rsidR="001D564F" w:rsidRDefault="00034EF2" w:rsidP="0080301E">
      <w:pPr>
        <w:pStyle w:val="NoSpacing"/>
        <w:rPr>
          <w:rFonts w:ascii="Times New Roman" w:hAnsi="Times New Roman"/>
          <w:sz w:val="28"/>
          <w:szCs w:val="28"/>
        </w:rPr>
      </w:pPr>
      <w:r>
        <w:rPr>
          <w:rFonts w:ascii="Times New Roman" w:hAnsi="Times New Roman"/>
          <w:sz w:val="28"/>
          <w:szCs w:val="28"/>
        </w:rPr>
        <w:t>In sum, t</w:t>
      </w:r>
      <w:r w:rsidR="001D564F">
        <w:rPr>
          <w:rFonts w:ascii="Times New Roman" w:hAnsi="Times New Roman"/>
          <w:sz w:val="28"/>
          <w:szCs w:val="28"/>
        </w:rPr>
        <w:t>he overall approach of the 2015 elderly care reforms is to find all possible al</w:t>
      </w:r>
      <w:r w:rsidR="002746E8">
        <w:rPr>
          <w:rFonts w:ascii="Times New Roman" w:hAnsi="Times New Roman"/>
          <w:sz w:val="28"/>
          <w:szCs w:val="28"/>
        </w:rPr>
        <w:t>ternatives</w:t>
      </w:r>
      <w:r w:rsidR="001D564F">
        <w:rPr>
          <w:rFonts w:ascii="Times New Roman" w:hAnsi="Times New Roman"/>
          <w:sz w:val="28"/>
          <w:szCs w:val="28"/>
        </w:rPr>
        <w:t xml:space="preserve"> before committing to publicly funded support.</w:t>
      </w:r>
    </w:p>
    <w:p w:rsidR="001D564F" w:rsidRDefault="001D564F" w:rsidP="0080301E">
      <w:pPr>
        <w:pStyle w:val="NoSpacing"/>
        <w:rPr>
          <w:rFonts w:ascii="Times New Roman" w:hAnsi="Times New Roman"/>
          <w:sz w:val="28"/>
          <w:szCs w:val="28"/>
        </w:rPr>
      </w:pPr>
    </w:p>
    <w:p w:rsidR="001D564F" w:rsidRPr="001D564F" w:rsidRDefault="001D564F" w:rsidP="001D564F">
      <w:pPr>
        <w:pStyle w:val="NoSpacing"/>
        <w:rPr>
          <w:rFonts w:ascii="Times New Roman" w:hAnsi="Times New Roman"/>
          <w:sz w:val="28"/>
          <w:szCs w:val="28"/>
        </w:rPr>
      </w:pPr>
      <w:r w:rsidRPr="001D564F">
        <w:rPr>
          <w:rFonts w:ascii="Times New Roman" w:hAnsi="Times New Roman"/>
          <w:bCs/>
          <w:iCs/>
          <w:sz w:val="28"/>
          <w:szCs w:val="28"/>
        </w:rPr>
        <w:t xml:space="preserve">The </w:t>
      </w:r>
      <w:r w:rsidR="00F71D73">
        <w:rPr>
          <w:rFonts w:ascii="Times New Roman" w:hAnsi="Times New Roman"/>
          <w:bCs/>
          <w:iCs/>
          <w:sz w:val="28"/>
          <w:szCs w:val="28"/>
        </w:rPr>
        <w:t>key premises of the</w:t>
      </w:r>
      <w:r>
        <w:rPr>
          <w:rFonts w:ascii="Times New Roman" w:hAnsi="Times New Roman"/>
          <w:bCs/>
          <w:iCs/>
          <w:sz w:val="28"/>
          <w:szCs w:val="28"/>
        </w:rPr>
        <w:t xml:space="preserve"> new </w:t>
      </w:r>
      <w:r w:rsidR="00F71D73">
        <w:rPr>
          <w:rFonts w:ascii="Times New Roman" w:hAnsi="Times New Roman"/>
          <w:bCs/>
          <w:iCs/>
          <w:sz w:val="28"/>
          <w:szCs w:val="28"/>
        </w:rPr>
        <w:t xml:space="preserve">Dutch </w:t>
      </w:r>
      <w:r>
        <w:rPr>
          <w:rFonts w:ascii="Times New Roman" w:hAnsi="Times New Roman"/>
          <w:bCs/>
          <w:iCs/>
          <w:sz w:val="28"/>
          <w:szCs w:val="28"/>
        </w:rPr>
        <w:t>elderly care strategy include:</w:t>
      </w:r>
    </w:p>
    <w:p w:rsidR="001D564F" w:rsidRPr="001D564F" w:rsidRDefault="001D564F" w:rsidP="00691458">
      <w:pPr>
        <w:pStyle w:val="NoSpacing"/>
        <w:numPr>
          <w:ilvl w:val="0"/>
          <w:numId w:val="10"/>
        </w:numPr>
        <w:rPr>
          <w:rFonts w:ascii="Times New Roman" w:hAnsi="Times New Roman"/>
          <w:sz w:val="28"/>
          <w:szCs w:val="28"/>
        </w:rPr>
      </w:pPr>
      <w:r w:rsidRPr="001D564F">
        <w:rPr>
          <w:rFonts w:ascii="Times New Roman" w:hAnsi="Times New Roman"/>
          <w:bCs/>
          <w:iCs/>
          <w:sz w:val="28"/>
          <w:szCs w:val="28"/>
        </w:rPr>
        <w:t>A substantial shift of clients from residential to non-residential settings</w:t>
      </w:r>
    </w:p>
    <w:p w:rsidR="001D564F" w:rsidRPr="001D564F" w:rsidRDefault="001D564F" w:rsidP="00691458">
      <w:pPr>
        <w:pStyle w:val="NoSpacing"/>
        <w:numPr>
          <w:ilvl w:val="0"/>
          <w:numId w:val="10"/>
        </w:numPr>
        <w:rPr>
          <w:rFonts w:ascii="Times New Roman" w:hAnsi="Times New Roman"/>
          <w:sz w:val="28"/>
          <w:szCs w:val="28"/>
        </w:rPr>
      </w:pPr>
      <w:r w:rsidRPr="001D564F">
        <w:rPr>
          <w:rFonts w:ascii="Times New Roman" w:hAnsi="Times New Roman"/>
          <w:bCs/>
          <w:iCs/>
          <w:sz w:val="28"/>
          <w:szCs w:val="28"/>
        </w:rPr>
        <w:lastRenderedPageBreak/>
        <w:t xml:space="preserve">Decentralize home care clients from </w:t>
      </w:r>
      <w:r>
        <w:rPr>
          <w:rFonts w:ascii="Times New Roman" w:hAnsi="Times New Roman"/>
          <w:bCs/>
          <w:iCs/>
          <w:sz w:val="28"/>
          <w:szCs w:val="28"/>
        </w:rPr>
        <w:t xml:space="preserve">(prior) </w:t>
      </w:r>
      <w:r w:rsidRPr="001D564F">
        <w:rPr>
          <w:rFonts w:ascii="Times New Roman" w:hAnsi="Times New Roman"/>
          <w:bCs/>
          <w:iCs/>
          <w:sz w:val="28"/>
          <w:szCs w:val="28"/>
        </w:rPr>
        <w:t>National SHI Fund (ABWZ) to Municipalities</w:t>
      </w:r>
    </w:p>
    <w:p w:rsidR="001D564F" w:rsidRPr="00F71D73" w:rsidRDefault="001D564F" w:rsidP="00F71D73">
      <w:pPr>
        <w:pStyle w:val="NoSpacing"/>
        <w:numPr>
          <w:ilvl w:val="0"/>
          <w:numId w:val="10"/>
        </w:numPr>
        <w:rPr>
          <w:rFonts w:ascii="Times New Roman" w:hAnsi="Times New Roman"/>
          <w:sz w:val="28"/>
          <w:szCs w:val="28"/>
        </w:rPr>
      </w:pPr>
      <w:r w:rsidRPr="001D564F">
        <w:rPr>
          <w:rFonts w:ascii="Times New Roman" w:hAnsi="Times New Roman"/>
          <w:bCs/>
          <w:iCs/>
          <w:sz w:val="28"/>
          <w:szCs w:val="28"/>
        </w:rPr>
        <w:t>Some social services to be provided by family members and local community networks</w:t>
      </w:r>
      <w:r w:rsidRPr="00F71D73">
        <w:rPr>
          <w:rFonts w:ascii="Times New Roman" w:hAnsi="Times New Roman"/>
          <w:bCs/>
          <w:iCs/>
          <w:sz w:val="28"/>
          <w:szCs w:val="28"/>
        </w:rPr>
        <w:t xml:space="preserve"> </w:t>
      </w:r>
      <w:r w:rsidR="00F71D73">
        <w:rPr>
          <w:rFonts w:ascii="Times New Roman" w:hAnsi="Times New Roman"/>
          <w:bCs/>
          <w:iCs/>
          <w:sz w:val="28"/>
          <w:szCs w:val="28"/>
        </w:rPr>
        <w:t>(</w:t>
      </w:r>
      <w:r w:rsidRPr="00F71D73">
        <w:rPr>
          <w:rFonts w:ascii="Times New Roman" w:hAnsi="Times New Roman"/>
          <w:bCs/>
          <w:iCs/>
          <w:sz w:val="28"/>
          <w:szCs w:val="28"/>
        </w:rPr>
        <w:t>Maarse and Jeurissen, 2016).</w:t>
      </w:r>
    </w:p>
    <w:p w:rsidR="001D564F" w:rsidRPr="001D564F" w:rsidRDefault="001D564F" w:rsidP="0080301E">
      <w:pPr>
        <w:pStyle w:val="NoSpacing"/>
        <w:rPr>
          <w:rFonts w:ascii="Times New Roman" w:hAnsi="Times New Roman"/>
          <w:sz w:val="28"/>
          <w:szCs w:val="28"/>
        </w:rPr>
      </w:pPr>
    </w:p>
    <w:p w:rsidR="00A7327D" w:rsidRDefault="001D564F" w:rsidP="0080301E">
      <w:pPr>
        <w:pStyle w:val="NoSpacing"/>
        <w:rPr>
          <w:rFonts w:ascii="Times New Roman" w:hAnsi="Times New Roman"/>
          <w:sz w:val="28"/>
          <w:szCs w:val="28"/>
        </w:rPr>
      </w:pPr>
      <w:r>
        <w:rPr>
          <w:rFonts w:ascii="Times New Roman" w:hAnsi="Times New Roman"/>
          <w:sz w:val="28"/>
          <w:szCs w:val="28"/>
        </w:rPr>
        <w:t>Among t</w:t>
      </w:r>
      <w:r w:rsidR="008466FB">
        <w:rPr>
          <w:rFonts w:ascii="Times New Roman" w:hAnsi="Times New Roman"/>
          <w:sz w:val="28"/>
          <w:szCs w:val="28"/>
        </w:rPr>
        <w:t>he</w:t>
      </w:r>
      <w:r>
        <w:rPr>
          <w:rFonts w:ascii="Times New Roman" w:hAnsi="Times New Roman"/>
          <w:sz w:val="28"/>
          <w:szCs w:val="28"/>
        </w:rPr>
        <w:t xml:space="preserve"> alternative measures </w:t>
      </w:r>
      <w:r w:rsidR="00C048CC">
        <w:rPr>
          <w:rFonts w:ascii="Times New Roman" w:hAnsi="Times New Roman"/>
          <w:sz w:val="28"/>
          <w:szCs w:val="28"/>
        </w:rPr>
        <w:t xml:space="preserve">that the 2015 reform has set in place </w:t>
      </w:r>
      <w:r>
        <w:rPr>
          <w:rFonts w:ascii="Times New Roman" w:hAnsi="Times New Roman"/>
          <w:sz w:val="28"/>
          <w:szCs w:val="28"/>
        </w:rPr>
        <w:t>are:</w:t>
      </w:r>
    </w:p>
    <w:p w:rsidR="00A7327D" w:rsidRPr="00DA0E21" w:rsidRDefault="00A7327D" w:rsidP="00691458">
      <w:pPr>
        <w:pStyle w:val="NoSpacing"/>
        <w:numPr>
          <w:ilvl w:val="0"/>
          <w:numId w:val="11"/>
        </w:numPr>
        <w:rPr>
          <w:rFonts w:ascii="Times New Roman" w:hAnsi="Times New Roman"/>
          <w:sz w:val="28"/>
          <w:szCs w:val="28"/>
        </w:rPr>
      </w:pPr>
      <w:r w:rsidRPr="00DA0E21">
        <w:rPr>
          <w:rFonts w:ascii="Times New Roman" w:hAnsi="Times New Roman"/>
          <w:sz w:val="28"/>
          <w:szCs w:val="28"/>
        </w:rPr>
        <w:t>Emphasis first on social network: fam</w:t>
      </w:r>
      <w:r w:rsidR="00AE3DA8">
        <w:rPr>
          <w:rFonts w:ascii="Times New Roman" w:hAnsi="Times New Roman"/>
          <w:sz w:val="28"/>
          <w:szCs w:val="28"/>
        </w:rPr>
        <w:t>ily and friends (informal caregivers</w:t>
      </w:r>
      <w:r w:rsidRPr="00DA0E21">
        <w:rPr>
          <w:rFonts w:ascii="Times New Roman" w:hAnsi="Times New Roman"/>
          <w:sz w:val="28"/>
          <w:szCs w:val="28"/>
        </w:rPr>
        <w:t>)</w:t>
      </w:r>
    </w:p>
    <w:p w:rsidR="00A7327D" w:rsidRPr="00DA0E21" w:rsidRDefault="00A7327D" w:rsidP="00691458">
      <w:pPr>
        <w:pStyle w:val="NoSpacing"/>
        <w:numPr>
          <w:ilvl w:val="0"/>
          <w:numId w:val="11"/>
        </w:numPr>
        <w:rPr>
          <w:rFonts w:ascii="Times New Roman" w:hAnsi="Times New Roman"/>
          <w:sz w:val="28"/>
          <w:szCs w:val="28"/>
        </w:rPr>
      </w:pPr>
      <w:r w:rsidRPr="00DA0E21">
        <w:rPr>
          <w:rFonts w:ascii="Times New Roman" w:hAnsi="Times New Roman"/>
          <w:sz w:val="28"/>
          <w:szCs w:val="28"/>
        </w:rPr>
        <w:t xml:space="preserve">Option </w:t>
      </w:r>
      <w:r w:rsidR="00E55BDE">
        <w:rPr>
          <w:rFonts w:ascii="Times New Roman" w:hAnsi="Times New Roman"/>
          <w:sz w:val="28"/>
          <w:szCs w:val="28"/>
        </w:rPr>
        <w:t>of</w:t>
      </w:r>
      <w:r w:rsidRPr="00DA0E21">
        <w:rPr>
          <w:rFonts w:ascii="Times New Roman" w:hAnsi="Times New Roman"/>
          <w:sz w:val="28"/>
          <w:szCs w:val="28"/>
        </w:rPr>
        <w:t xml:space="preserve"> </w:t>
      </w:r>
      <w:r w:rsidR="001D564F">
        <w:rPr>
          <w:rFonts w:ascii="Times New Roman" w:hAnsi="Times New Roman"/>
          <w:sz w:val="28"/>
          <w:szCs w:val="28"/>
        </w:rPr>
        <w:t xml:space="preserve">a </w:t>
      </w:r>
      <w:r w:rsidRPr="00DA0E21">
        <w:rPr>
          <w:rFonts w:ascii="Times New Roman" w:hAnsi="Times New Roman"/>
          <w:sz w:val="28"/>
          <w:szCs w:val="28"/>
        </w:rPr>
        <w:t>“personal budget” (</w:t>
      </w:r>
      <w:r w:rsidR="001D564F">
        <w:rPr>
          <w:rFonts w:ascii="Times New Roman" w:hAnsi="Times New Roman"/>
          <w:sz w:val="28"/>
          <w:szCs w:val="28"/>
        </w:rPr>
        <w:t xml:space="preserve">currently </w:t>
      </w:r>
      <w:r w:rsidRPr="00DA0E21">
        <w:rPr>
          <w:rFonts w:ascii="Times New Roman" w:hAnsi="Times New Roman"/>
          <w:sz w:val="28"/>
          <w:szCs w:val="28"/>
        </w:rPr>
        <w:t>9% of LTC total</w:t>
      </w:r>
      <w:r w:rsidR="001D564F">
        <w:rPr>
          <w:rFonts w:ascii="Times New Roman" w:hAnsi="Times New Roman"/>
          <w:sz w:val="28"/>
          <w:szCs w:val="28"/>
        </w:rPr>
        <w:t xml:space="preserve"> expenditure in </w:t>
      </w:r>
      <w:r w:rsidR="00EE203D">
        <w:rPr>
          <w:rFonts w:ascii="Times New Roman" w:hAnsi="Times New Roman"/>
          <w:sz w:val="28"/>
          <w:szCs w:val="28"/>
        </w:rPr>
        <w:t>t</w:t>
      </w:r>
      <w:r w:rsidR="001D564F">
        <w:rPr>
          <w:rFonts w:ascii="Times New Roman" w:hAnsi="Times New Roman"/>
          <w:sz w:val="28"/>
          <w:szCs w:val="28"/>
        </w:rPr>
        <w:t>he Netherlands)</w:t>
      </w:r>
    </w:p>
    <w:p w:rsidR="00A7327D" w:rsidRPr="00DA0E21" w:rsidRDefault="00A7327D" w:rsidP="00691458">
      <w:pPr>
        <w:pStyle w:val="NoSpacing"/>
        <w:numPr>
          <w:ilvl w:val="0"/>
          <w:numId w:val="11"/>
        </w:numPr>
        <w:rPr>
          <w:rFonts w:ascii="Times New Roman" w:hAnsi="Times New Roman"/>
          <w:sz w:val="28"/>
          <w:szCs w:val="28"/>
        </w:rPr>
      </w:pPr>
      <w:r w:rsidRPr="00DA0E21">
        <w:rPr>
          <w:rFonts w:ascii="Times New Roman" w:hAnsi="Times New Roman"/>
          <w:sz w:val="28"/>
          <w:szCs w:val="28"/>
        </w:rPr>
        <w:t>Municipalities may introduce co-payments</w:t>
      </w:r>
    </w:p>
    <w:p w:rsidR="00A7327D" w:rsidRPr="00DA0E21" w:rsidRDefault="00A7327D" w:rsidP="00691458">
      <w:pPr>
        <w:pStyle w:val="NoSpacing"/>
        <w:numPr>
          <w:ilvl w:val="0"/>
          <w:numId w:val="11"/>
        </w:numPr>
        <w:rPr>
          <w:rFonts w:ascii="Times New Roman" w:hAnsi="Times New Roman"/>
          <w:sz w:val="28"/>
          <w:szCs w:val="28"/>
        </w:rPr>
      </w:pPr>
      <w:r w:rsidRPr="00DA0E21">
        <w:rPr>
          <w:rFonts w:ascii="Times New Roman" w:hAnsi="Times New Roman"/>
          <w:sz w:val="28"/>
          <w:szCs w:val="28"/>
        </w:rPr>
        <w:t>Municipalities have created “social district teams”</w:t>
      </w:r>
    </w:p>
    <w:p w:rsidR="00A7327D" w:rsidRPr="00DA0E21" w:rsidRDefault="00A7327D" w:rsidP="00A7327D">
      <w:pPr>
        <w:pStyle w:val="NoSpacing"/>
        <w:rPr>
          <w:rFonts w:ascii="Times New Roman" w:hAnsi="Times New Roman"/>
          <w:sz w:val="28"/>
          <w:szCs w:val="28"/>
        </w:rPr>
      </w:pPr>
      <w:r w:rsidRPr="00DA0E21">
        <w:rPr>
          <w:rFonts w:ascii="Times New Roman" w:hAnsi="Times New Roman"/>
          <w:sz w:val="28"/>
          <w:szCs w:val="28"/>
        </w:rPr>
        <w:t xml:space="preserve">     </w:t>
      </w:r>
      <w:r w:rsidR="001D564F">
        <w:rPr>
          <w:rFonts w:ascii="Times New Roman" w:hAnsi="Times New Roman"/>
          <w:sz w:val="28"/>
          <w:szCs w:val="28"/>
        </w:rPr>
        <w:t xml:space="preserve">           - To h</w:t>
      </w:r>
      <w:r w:rsidRPr="00DA0E21">
        <w:rPr>
          <w:rFonts w:ascii="Times New Roman" w:hAnsi="Times New Roman"/>
          <w:sz w:val="28"/>
          <w:szCs w:val="28"/>
        </w:rPr>
        <w:t>elp citizens solve problems through their informal network</w:t>
      </w:r>
    </w:p>
    <w:p w:rsidR="00A7327D" w:rsidRPr="00DA0E21" w:rsidRDefault="00A7327D" w:rsidP="00A7327D">
      <w:pPr>
        <w:pStyle w:val="NoSpacing"/>
        <w:rPr>
          <w:rFonts w:ascii="Times New Roman" w:hAnsi="Times New Roman"/>
          <w:sz w:val="28"/>
          <w:szCs w:val="28"/>
        </w:rPr>
      </w:pPr>
      <w:r w:rsidRPr="00DA0E21">
        <w:rPr>
          <w:rFonts w:ascii="Times New Roman" w:hAnsi="Times New Roman"/>
          <w:sz w:val="28"/>
          <w:szCs w:val="28"/>
        </w:rPr>
        <w:t xml:space="preserve">     </w:t>
      </w:r>
      <w:r w:rsidR="001D564F">
        <w:rPr>
          <w:rFonts w:ascii="Times New Roman" w:hAnsi="Times New Roman"/>
          <w:sz w:val="28"/>
          <w:szCs w:val="28"/>
        </w:rPr>
        <w:t xml:space="preserve">           - To h</w:t>
      </w:r>
      <w:r w:rsidRPr="00DA0E21">
        <w:rPr>
          <w:rFonts w:ascii="Times New Roman" w:hAnsi="Times New Roman"/>
          <w:sz w:val="28"/>
          <w:szCs w:val="28"/>
        </w:rPr>
        <w:t>elp solve social problems, especially in deprived neighborhoods</w:t>
      </w:r>
    </w:p>
    <w:p w:rsidR="00A7327D" w:rsidRPr="00DA0E21" w:rsidRDefault="00A7327D" w:rsidP="00A7327D">
      <w:pPr>
        <w:pStyle w:val="NoSpacing"/>
        <w:rPr>
          <w:rFonts w:ascii="Times New Roman" w:hAnsi="Times New Roman"/>
          <w:sz w:val="28"/>
          <w:szCs w:val="28"/>
        </w:rPr>
      </w:pPr>
      <w:r w:rsidRPr="00DA0E21">
        <w:rPr>
          <w:rFonts w:ascii="Times New Roman" w:hAnsi="Times New Roman"/>
          <w:sz w:val="28"/>
          <w:szCs w:val="28"/>
        </w:rPr>
        <w:t xml:space="preserve">Since 2015, domestic care funding </w:t>
      </w:r>
      <w:r w:rsidR="001D564F">
        <w:rPr>
          <w:rFonts w:ascii="Times New Roman" w:hAnsi="Times New Roman"/>
          <w:sz w:val="28"/>
          <w:szCs w:val="28"/>
        </w:rPr>
        <w:t>for long</w:t>
      </w:r>
      <w:r w:rsidR="005F4A59">
        <w:rPr>
          <w:rFonts w:ascii="Times New Roman" w:hAnsi="Times New Roman"/>
          <w:sz w:val="28"/>
          <w:szCs w:val="28"/>
        </w:rPr>
        <w:t>-</w:t>
      </w:r>
      <w:r w:rsidR="001D564F">
        <w:rPr>
          <w:rFonts w:ascii="Times New Roman" w:hAnsi="Times New Roman"/>
          <w:sz w:val="28"/>
          <w:szCs w:val="28"/>
        </w:rPr>
        <w:t xml:space="preserve">term care has been </w:t>
      </w:r>
      <w:r w:rsidRPr="00DA0E21">
        <w:rPr>
          <w:rFonts w:ascii="Times New Roman" w:hAnsi="Times New Roman"/>
          <w:sz w:val="28"/>
          <w:szCs w:val="28"/>
        </w:rPr>
        <w:t>cut by 30%</w:t>
      </w:r>
      <w:r w:rsidR="001D564F">
        <w:rPr>
          <w:rFonts w:ascii="Times New Roman" w:hAnsi="Times New Roman"/>
          <w:sz w:val="28"/>
          <w:szCs w:val="28"/>
        </w:rPr>
        <w:t>, which has served to</w:t>
      </w:r>
      <w:r w:rsidRPr="00DA0E21">
        <w:rPr>
          <w:rFonts w:ascii="Times New Roman" w:hAnsi="Times New Roman"/>
          <w:sz w:val="28"/>
          <w:szCs w:val="28"/>
        </w:rPr>
        <w:t xml:space="preserve"> </w:t>
      </w:r>
      <w:r w:rsidR="001D564F">
        <w:rPr>
          <w:rFonts w:ascii="Times New Roman" w:hAnsi="Times New Roman"/>
          <w:sz w:val="28"/>
          <w:szCs w:val="28"/>
        </w:rPr>
        <w:t>create strong fiscal pressure to implement the new arrangements (Maarse and Jeurissen, 2016).</w:t>
      </w:r>
    </w:p>
    <w:p w:rsidR="007B01AA" w:rsidRPr="0080301E" w:rsidRDefault="007B01AA" w:rsidP="0080301E">
      <w:pPr>
        <w:pStyle w:val="NoSpacing"/>
        <w:rPr>
          <w:rFonts w:ascii="Times New Roman" w:hAnsi="Times New Roman"/>
          <w:sz w:val="28"/>
          <w:szCs w:val="28"/>
        </w:rPr>
      </w:pPr>
      <w:r w:rsidRPr="0080301E">
        <w:rPr>
          <w:rFonts w:ascii="Times New Roman" w:hAnsi="Times New Roman"/>
          <w:sz w:val="28"/>
          <w:szCs w:val="28"/>
        </w:rPr>
        <w:t xml:space="preserve"> </w:t>
      </w:r>
    </w:p>
    <w:p w:rsidR="0039148E" w:rsidRPr="00A255EB" w:rsidRDefault="00A255EB" w:rsidP="0039148E">
      <w:pPr>
        <w:pStyle w:val="NoSpacing"/>
        <w:rPr>
          <w:rFonts w:ascii="Times New Roman" w:hAnsi="Times New Roman"/>
          <w:sz w:val="28"/>
          <w:szCs w:val="28"/>
        </w:rPr>
      </w:pPr>
      <w:r>
        <w:rPr>
          <w:rFonts w:ascii="Times New Roman" w:hAnsi="Times New Roman"/>
          <w:bCs/>
          <w:iCs/>
          <w:sz w:val="28"/>
          <w:szCs w:val="28"/>
        </w:rPr>
        <w:t>Taken overall,</w:t>
      </w:r>
      <w:r>
        <w:rPr>
          <w:rFonts w:ascii="Times New Roman" w:hAnsi="Times New Roman"/>
          <w:iCs/>
          <w:sz w:val="28"/>
          <w:szCs w:val="28"/>
        </w:rPr>
        <w:t xml:space="preserve"> the new long</w:t>
      </w:r>
      <w:r w:rsidR="00B93461">
        <w:rPr>
          <w:rFonts w:ascii="Times New Roman" w:hAnsi="Times New Roman"/>
          <w:iCs/>
          <w:sz w:val="28"/>
          <w:szCs w:val="28"/>
        </w:rPr>
        <w:t>-</w:t>
      </w:r>
      <w:r>
        <w:rPr>
          <w:rFonts w:ascii="Times New Roman" w:hAnsi="Times New Roman"/>
          <w:iCs/>
          <w:sz w:val="28"/>
          <w:szCs w:val="28"/>
        </w:rPr>
        <w:t xml:space="preserve">term care reform arrangements in </w:t>
      </w:r>
      <w:r w:rsidR="00EE203D">
        <w:rPr>
          <w:rFonts w:ascii="Times New Roman" w:hAnsi="Times New Roman"/>
          <w:iCs/>
          <w:sz w:val="28"/>
          <w:szCs w:val="28"/>
        </w:rPr>
        <w:t>t</w:t>
      </w:r>
      <w:r>
        <w:rPr>
          <w:rFonts w:ascii="Times New Roman" w:hAnsi="Times New Roman"/>
          <w:iCs/>
          <w:sz w:val="28"/>
          <w:szCs w:val="28"/>
        </w:rPr>
        <w:t>he Netherlands seek to establish a framework for domestic support and/or social services that can</w:t>
      </w:r>
      <w:r w:rsidR="00014957">
        <w:rPr>
          <w:rFonts w:ascii="Times New Roman" w:hAnsi="Times New Roman"/>
          <w:iCs/>
          <w:sz w:val="28"/>
          <w:szCs w:val="28"/>
        </w:rPr>
        <w:t xml:space="preserve"> in various ways reduce fixed public cash expenditures and involve more family, community, and other non-publicly funded actors and resources</w:t>
      </w:r>
      <w:r>
        <w:rPr>
          <w:rFonts w:ascii="Times New Roman" w:hAnsi="Times New Roman"/>
          <w:iCs/>
          <w:sz w:val="28"/>
          <w:szCs w:val="28"/>
        </w:rPr>
        <w:t>:</w:t>
      </w:r>
    </w:p>
    <w:p w:rsidR="00A17C58" w:rsidRPr="0039148E" w:rsidRDefault="007009F4" w:rsidP="00691458">
      <w:pPr>
        <w:pStyle w:val="NoSpacing"/>
        <w:numPr>
          <w:ilvl w:val="0"/>
          <w:numId w:val="12"/>
        </w:numPr>
        <w:rPr>
          <w:rFonts w:ascii="Times New Roman" w:hAnsi="Times New Roman"/>
          <w:sz w:val="28"/>
          <w:szCs w:val="28"/>
        </w:rPr>
      </w:pPr>
      <w:r w:rsidRPr="0039148E">
        <w:rPr>
          <w:rFonts w:ascii="Times New Roman" w:hAnsi="Times New Roman"/>
          <w:sz w:val="28"/>
          <w:szCs w:val="28"/>
        </w:rPr>
        <w:t>Reduce institutionalization costs inherited from former SHI/LTC fund (ABWZ)</w:t>
      </w:r>
    </w:p>
    <w:p w:rsidR="00A17C58" w:rsidRPr="0039148E" w:rsidRDefault="007009F4" w:rsidP="00691458">
      <w:pPr>
        <w:pStyle w:val="NoSpacing"/>
        <w:numPr>
          <w:ilvl w:val="0"/>
          <w:numId w:val="12"/>
        </w:numPr>
        <w:rPr>
          <w:rFonts w:ascii="Times New Roman" w:hAnsi="Times New Roman"/>
          <w:sz w:val="28"/>
          <w:szCs w:val="28"/>
        </w:rPr>
      </w:pPr>
      <w:r w:rsidRPr="0039148E">
        <w:rPr>
          <w:rFonts w:ascii="Times New Roman" w:hAnsi="Times New Roman"/>
          <w:sz w:val="28"/>
          <w:szCs w:val="28"/>
        </w:rPr>
        <w:t>Shift financial responsibility for home care to municipalities/taxes</w:t>
      </w:r>
    </w:p>
    <w:p w:rsidR="00A17C58" w:rsidRPr="0039148E" w:rsidRDefault="007009F4" w:rsidP="00691458">
      <w:pPr>
        <w:pStyle w:val="NoSpacing"/>
        <w:numPr>
          <w:ilvl w:val="0"/>
          <w:numId w:val="12"/>
        </w:numPr>
        <w:rPr>
          <w:rFonts w:ascii="Times New Roman" w:hAnsi="Times New Roman"/>
          <w:sz w:val="28"/>
          <w:szCs w:val="28"/>
        </w:rPr>
      </w:pPr>
      <w:r w:rsidRPr="0039148E">
        <w:rPr>
          <w:rFonts w:ascii="Times New Roman" w:hAnsi="Times New Roman"/>
          <w:sz w:val="28"/>
          <w:szCs w:val="28"/>
        </w:rPr>
        <w:t>Require local social teams to divert potential recipients if possible</w:t>
      </w:r>
    </w:p>
    <w:p w:rsidR="00A17C58" w:rsidRPr="0039148E" w:rsidRDefault="007009F4" w:rsidP="00691458">
      <w:pPr>
        <w:pStyle w:val="NoSpacing"/>
        <w:numPr>
          <w:ilvl w:val="0"/>
          <w:numId w:val="12"/>
        </w:numPr>
        <w:rPr>
          <w:rFonts w:ascii="Times New Roman" w:hAnsi="Times New Roman"/>
          <w:sz w:val="28"/>
          <w:szCs w:val="28"/>
        </w:rPr>
      </w:pPr>
      <w:r w:rsidRPr="0039148E">
        <w:rPr>
          <w:rFonts w:ascii="Times New Roman" w:hAnsi="Times New Roman"/>
          <w:sz w:val="28"/>
          <w:szCs w:val="28"/>
        </w:rPr>
        <w:t>Give clients “personal budgets” to purchase/combine in community networks</w:t>
      </w:r>
    </w:p>
    <w:p w:rsidR="00A17C58" w:rsidRDefault="007009F4" w:rsidP="00691458">
      <w:pPr>
        <w:pStyle w:val="NoSpacing"/>
        <w:numPr>
          <w:ilvl w:val="0"/>
          <w:numId w:val="12"/>
        </w:numPr>
        <w:rPr>
          <w:rFonts w:ascii="Times New Roman" w:hAnsi="Times New Roman"/>
          <w:sz w:val="28"/>
          <w:szCs w:val="28"/>
        </w:rPr>
      </w:pPr>
      <w:r w:rsidRPr="0039148E">
        <w:rPr>
          <w:rFonts w:ascii="Times New Roman" w:hAnsi="Times New Roman"/>
          <w:sz w:val="28"/>
          <w:szCs w:val="28"/>
        </w:rPr>
        <w:t>Increase donated/informal caregiving (family/community)</w:t>
      </w:r>
      <w:r w:rsidR="00A255EB">
        <w:rPr>
          <w:rFonts w:ascii="Times New Roman" w:hAnsi="Times New Roman"/>
          <w:sz w:val="28"/>
          <w:szCs w:val="28"/>
        </w:rPr>
        <w:t>.</w:t>
      </w:r>
    </w:p>
    <w:p w:rsidR="002F0467" w:rsidRDefault="002F0467" w:rsidP="002F0467">
      <w:pPr>
        <w:pStyle w:val="NoSpacing"/>
        <w:rPr>
          <w:rFonts w:ascii="Times New Roman" w:hAnsi="Times New Roman"/>
          <w:sz w:val="28"/>
          <w:szCs w:val="28"/>
        </w:rPr>
      </w:pPr>
    </w:p>
    <w:p w:rsidR="002F0467" w:rsidRDefault="002F0467" w:rsidP="002F0467">
      <w:pPr>
        <w:pStyle w:val="NoSpacing"/>
        <w:rPr>
          <w:rFonts w:ascii="Times New Roman" w:hAnsi="Times New Roman"/>
          <w:sz w:val="28"/>
          <w:szCs w:val="28"/>
        </w:rPr>
      </w:pPr>
    </w:p>
    <w:p w:rsidR="002F0467" w:rsidRPr="00FC29D0" w:rsidRDefault="002F0467" w:rsidP="002F0467">
      <w:pPr>
        <w:pStyle w:val="NoSpacing"/>
        <w:rPr>
          <w:rFonts w:ascii="Times New Roman" w:hAnsi="Times New Roman"/>
          <w:b/>
          <w:sz w:val="28"/>
          <w:szCs w:val="28"/>
        </w:rPr>
      </w:pPr>
      <w:r w:rsidRPr="00FC29D0">
        <w:rPr>
          <w:rFonts w:ascii="Times New Roman" w:hAnsi="Times New Roman"/>
          <w:b/>
          <w:sz w:val="28"/>
          <w:szCs w:val="28"/>
        </w:rPr>
        <w:t>Germany</w:t>
      </w:r>
    </w:p>
    <w:p w:rsidR="002F0467" w:rsidRPr="00FC29D0" w:rsidRDefault="002F0467" w:rsidP="002F0467">
      <w:pPr>
        <w:pStyle w:val="NoSpacing"/>
        <w:rPr>
          <w:rFonts w:ascii="Times New Roman" w:hAnsi="Times New Roman"/>
          <w:b/>
          <w:sz w:val="28"/>
          <w:szCs w:val="28"/>
        </w:rPr>
      </w:pPr>
    </w:p>
    <w:p w:rsidR="00723DEC" w:rsidRDefault="002F0467" w:rsidP="002F0467">
      <w:pPr>
        <w:pStyle w:val="NoSpacing"/>
        <w:rPr>
          <w:rFonts w:ascii="Times New Roman" w:hAnsi="Times New Roman"/>
          <w:sz w:val="28"/>
          <w:szCs w:val="28"/>
        </w:rPr>
      </w:pPr>
      <w:r>
        <w:rPr>
          <w:rFonts w:ascii="Times New Roman" w:hAnsi="Times New Roman"/>
          <w:sz w:val="28"/>
          <w:szCs w:val="28"/>
        </w:rPr>
        <w:t>Germany</w:t>
      </w:r>
      <w:r w:rsidR="00067EE1">
        <w:rPr>
          <w:rFonts w:ascii="Times New Roman" w:hAnsi="Times New Roman"/>
          <w:sz w:val="28"/>
          <w:szCs w:val="28"/>
        </w:rPr>
        <w:t xml:space="preserve"> has made a series of reform changes to its</w:t>
      </w:r>
      <w:r>
        <w:rPr>
          <w:rFonts w:ascii="Times New Roman" w:hAnsi="Times New Roman"/>
          <w:sz w:val="28"/>
          <w:szCs w:val="28"/>
        </w:rPr>
        <w:t xml:space="preserve"> funding and delivery structure for health care</w:t>
      </w:r>
      <w:r w:rsidR="00ED665E">
        <w:rPr>
          <w:rFonts w:ascii="Times New Roman" w:hAnsi="Times New Roman"/>
          <w:sz w:val="28"/>
          <w:szCs w:val="28"/>
        </w:rPr>
        <w:t xml:space="preserve"> services since 1989 (Busse and Blumel, 2014</w:t>
      </w:r>
      <w:r>
        <w:rPr>
          <w:rFonts w:ascii="Times New Roman" w:hAnsi="Times New Roman"/>
          <w:sz w:val="28"/>
          <w:szCs w:val="28"/>
        </w:rPr>
        <w:t xml:space="preserve">), </w:t>
      </w:r>
      <w:r w:rsidR="00AB143C">
        <w:rPr>
          <w:rFonts w:ascii="Times New Roman" w:hAnsi="Times New Roman"/>
          <w:sz w:val="28"/>
          <w:szCs w:val="28"/>
        </w:rPr>
        <w:t xml:space="preserve">however </w:t>
      </w:r>
      <w:r>
        <w:rPr>
          <w:rFonts w:ascii="Times New Roman" w:hAnsi="Times New Roman"/>
          <w:sz w:val="28"/>
          <w:szCs w:val="28"/>
        </w:rPr>
        <w:t xml:space="preserve">most </w:t>
      </w:r>
      <w:r w:rsidR="003A73BC">
        <w:rPr>
          <w:rFonts w:ascii="Times New Roman" w:hAnsi="Times New Roman"/>
          <w:sz w:val="28"/>
          <w:szCs w:val="28"/>
        </w:rPr>
        <w:t>of these reforms introduced</w:t>
      </w:r>
      <w:r>
        <w:rPr>
          <w:rFonts w:ascii="Times New Roman" w:hAnsi="Times New Roman"/>
          <w:sz w:val="28"/>
          <w:szCs w:val="28"/>
        </w:rPr>
        <w:t xml:space="preserve"> incremental</w:t>
      </w:r>
      <w:r w:rsidR="00AB143C">
        <w:rPr>
          <w:rFonts w:ascii="Times New Roman" w:hAnsi="Times New Roman"/>
          <w:sz w:val="28"/>
          <w:szCs w:val="28"/>
        </w:rPr>
        <w:t>, stepwise changes. T</w:t>
      </w:r>
      <w:r>
        <w:rPr>
          <w:rFonts w:ascii="Times New Roman" w:hAnsi="Times New Roman"/>
          <w:sz w:val="28"/>
          <w:szCs w:val="28"/>
        </w:rPr>
        <w:t>he 2009 funding reform</w:t>
      </w:r>
      <w:r w:rsidR="00067EE1">
        <w:rPr>
          <w:rFonts w:ascii="Times New Roman" w:hAnsi="Times New Roman"/>
          <w:sz w:val="28"/>
          <w:szCs w:val="28"/>
        </w:rPr>
        <w:t xml:space="preserve">, quite differently, </w:t>
      </w:r>
      <w:r w:rsidR="00AB143C">
        <w:rPr>
          <w:rFonts w:ascii="Times New Roman" w:hAnsi="Times New Roman"/>
          <w:sz w:val="28"/>
          <w:szCs w:val="28"/>
        </w:rPr>
        <w:t xml:space="preserve">was </w:t>
      </w:r>
      <w:r w:rsidR="00067EE1">
        <w:rPr>
          <w:rFonts w:ascii="Times New Roman" w:hAnsi="Times New Roman"/>
          <w:sz w:val="28"/>
          <w:szCs w:val="28"/>
        </w:rPr>
        <w:t xml:space="preserve">of a </w:t>
      </w:r>
      <w:r>
        <w:rPr>
          <w:rFonts w:ascii="Times New Roman" w:hAnsi="Times New Roman"/>
          <w:sz w:val="28"/>
          <w:szCs w:val="28"/>
        </w:rPr>
        <w:t>more fundamental structural character</w:t>
      </w:r>
      <w:r w:rsidR="002D35E9">
        <w:rPr>
          <w:rFonts w:ascii="Times New Roman" w:hAnsi="Times New Roman"/>
          <w:sz w:val="28"/>
          <w:szCs w:val="28"/>
        </w:rPr>
        <w:t>. This national legislation replaced the</w:t>
      </w:r>
      <w:r w:rsidR="003A73BC">
        <w:rPr>
          <w:rFonts w:ascii="Times New Roman" w:hAnsi="Times New Roman"/>
          <w:sz w:val="28"/>
          <w:szCs w:val="28"/>
        </w:rPr>
        <w:t xml:space="preserve"> </w:t>
      </w:r>
      <w:r>
        <w:rPr>
          <w:rFonts w:ascii="Times New Roman" w:hAnsi="Times New Roman"/>
          <w:sz w:val="28"/>
          <w:szCs w:val="28"/>
        </w:rPr>
        <w:t>sickness-fund-based fundi</w:t>
      </w:r>
      <w:r w:rsidR="00133272">
        <w:rPr>
          <w:rFonts w:ascii="Times New Roman" w:hAnsi="Times New Roman"/>
          <w:sz w:val="28"/>
          <w:szCs w:val="28"/>
        </w:rPr>
        <w:t>ng of health care (</w:t>
      </w:r>
      <w:r w:rsidR="00E55BDE">
        <w:rPr>
          <w:rFonts w:ascii="Times New Roman" w:hAnsi="Times New Roman"/>
          <w:sz w:val="28"/>
          <w:szCs w:val="28"/>
        </w:rPr>
        <w:t xml:space="preserve">a model in place since 1883 </w:t>
      </w:r>
      <w:r w:rsidR="003A73BC">
        <w:rPr>
          <w:rFonts w:ascii="Times New Roman" w:hAnsi="Times New Roman"/>
          <w:sz w:val="28"/>
          <w:szCs w:val="28"/>
        </w:rPr>
        <w:t>in which</w:t>
      </w:r>
      <w:r w:rsidR="00133272">
        <w:rPr>
          <w:rFonts w:ascii="Times New Roman" w:hAnsi="Times New Roman"/>
          <w:sz w:val="28"/>
          <w:szCs w:val="28"/>
        </w:rPr>
        <w:t xml:space="preserve"> contribution rates</w:t>
      </w:r>
      <w:r w:rsidR="003A73BC">
        <w:rPr>
          <w:rFonts w:ascii="Times New Roman" w:hAnsi="Times New Roman"/>
          <w:sz w:val="28"/>
          <w:szCs w:val="28"/>
        </w:rPr>
        <w:t xml:space="preserve"> </w:t>
      </w:r>
      <w:r w:rsidR="00E55BDE">
        <w:rPr>
          <w:rFonts w:ascii="Times New Roman" w:hAnsi="Times New Roman"/>
          <w:sz w:val="28"/>
          <w:szCs w:val="28"/>
        </w:rPr>
        <w:t>were</w:t>
      </w:r>
      <w:r w:rsidR="002550DA">
        <w:rPr>
          <w:rFonts w:ascii="Times New Roman" w:hAnsi="Times New Roman"/>
          <w:sz w:val="28"/>
          <w:szCs w:val="28"/>
        </w:rPr>
        <w:t xml:space="preserve"> </w:t>
      </w:r>
      <w:r w:rsidR="00E55BDE">
        <w:rPr>
          <w:rFonts w:ascii="Times New Roman" w:hAnsi="Times New Roman"/>
          <w:sz w:val="28"/>
          <w:szCs w:val="28"/>
        </w:rPr>
        <w:t>set</w:t>
      </w:r>
      <w:r w:rsidR="003A73BC">
        <w:rPr>
          <w:rFonts w:ascii="Times New Roman" w:hAnsi="Times New Roman"/>
          <w:sz w:val="28"/>
          <w:szCs w:val="28"/>
        </w:rPr>
        <w:t xml:space="preserve"> </w:t>
      </w:r>
      <w:r>
        <w:rPr>
          <w:rFonts w:ascii="Times New Roman" w:hAnsi="Times New Roman"/>
          <w:sz w:val="28"/>
          <w:szCs w:val="28"/>
        </w:rPr>
        <w:t>by each</w:t>
      </w:r>
      <w:r w:rsidR="003A73BC">
        <w:rPr>
          <w:rFonts w:ascii="Times New Roman" w:hAnsi="Times New Roman"/>
          <w:sz w:val="28"/>
          <w:szCs w:val="28"/>
        </w:rPr>
        <w:t xml:space="preserve"> individual</w:t>
      </w:r>
      <w:r w:rsidR="00133272">
        <w:rPr>
          <w:rFonts w:ascii="Times New Roman" w:hAnsi="Times New Roman"/>
          <w:sz w:val="28"/>
          <w:szCs w:val="28"/>
        </w:rPr>
        <w:t xml:space="preserve"> </w:t>
      </w:r>
      <w:r w:rsidR="00E55BDE">
        <w:rPr>
          <w:rFonts w:ascii="Times New Roman" w:hAnsi="Times New Roman"/>
          <w:sz w:val="28"/>
          <w:szCs w:val="28"/>
        </w:rPr>
        <w:t>fund</w:t>
      </w:r>
      <w:r w:rsidR="00133272">
        <w:rPr>
          <w:rFonts w:ascii="Times New Roman" w:hAnsi="Times New Roman"/>
          <w:sz w:val="28"/>
          <w:szCs w:val="28"/>
        </w:rPr>
        <w:t>),</w:t>
      </w:r>
      <w:r w:rsidR="002D35E9">
        <w:rPr>
          <w:rFonts w:ascii="Times New Roman" w:hAnsi="Times New Roman"/>
          <w:sz w:val="28"/>
          <w:szCs w:val="28"/>
        </w:rPr>
        <w:t xml:space="preserve"> with a new</w:t>
      </w:r>
      <w:r w:rsidR="00451FE2">
        <w:rPr>
          <w:rFonts w:ascii="Times New Roman" w:hAnsi="Times New Roman"/>
          <w:sz w:val="28"/>
          <w:szCs w:val="28"/>
        </w:rPr>
        <w:t>,</w:t>
      </w:r>
      <w:r w:rsidR="002D35E9">
        <w:rPr>
          <w:rFonts w:ascii="Times New Roman" w:hAnsi="Times New Roman"/>
          <w:sz w:val="28"/>
          <w:szCs w:val="28"/>
        </w:rPr>
        <w:t xml:space="preserve"> nationally structured pool </w:t>
      </w:r>
      <w:r w:rsidR="00133272">
        <w:rPr>
          <w:rFonts w:ascii="Times New Roman" w:hAnsi="Times New Roman"/>
          <w:sz w:val="28"/>
          <w:szCs w:val="28"/>
        </w:rPr>
        <w:t>that collected</w:t>
      </w:r>
      <w:r w:rsidR="00451FE2">
        <w:rPr>
          <w:rFonts w:ascii="Times New Roman" w:hAnsi="Times New Roman"/>
          <w:sz w:val="28"/>
          <w:szCs w:val="28"/>
        </w:rPr>
        <w:t xml:space="preserve"> </w:t>
      </w:r>
      <w:r w:rsidR="00133272">
        <w:rPr>
          <w:rFonts w:ascii="Times New Roman" w:hAnsi="Times New Roman"/>
          <w:sz w:val="28"/>
          <w:szCs w:val="28"/>
        </w:rPr>
        <w:t>a fixed national contribution rate paid by</w:t>
      </w:r>
      <w:r w:rsidR="00451FE2">
        <w:rPr>
          <w:rFonts w:ascii="Times New Roman" w:hAnsi="Times New Roman"/>
          <w:sz w:val="28"/>
          <w:szCs w:val="28"/>
        </w:rPr>
        <w:t xml:space="preserve"> all covered citizens</w:t>
      </w:r>
      <w:r w:rsidR="002D35E9">
        <w:rPr>
          <w:rFonts w:ascii="Times New Roman" w:hAnsi="Times New Roman"/>
          <w:sz w:val="28"/>
          <w:szCs w:val="28"/>
        </w:rPr>
        <w:t xml:space="preserve"> (</w:t>
      </w:r>
      <w:r w:rsidR="00354FAD">
        <w:rPr>
          <w:rFonts w:ascii="Times New Roman" w:hAnsi="Times New Roman"/>
          <w:sz w:val="28"/>
          <w:szCs w:val="28"/>
        </w:rPr>
        <w:t>Gopffartha and Henke,</w:t>
      </w:r>
      <w:r w:rsidR="002D35E9">
        <w:rPr>
          <w:rFonts w:ascii="Times New Roman" w:hAnsi="Times New Roman"/>
          <w:sz w:val="28"/>
          <w:szCs w:val="28"/>
        </w:rPr>
        <w:t xml:space="preserve"> 2013). </w:t>
      </w:r>
      <w:r w:rsidR="00451FE2">
        <w:rPr>
          <w:rFonts w:ascii="Times New Roman" w:hAnsi="Times New Roman"/>
          <w:sz w:val="28"/>
          <w:szCs w:val="28"/>
        </w:rPr>
        <w:t xml:space="preserve">Moreover, this new </w:t>
      </w:r>
      <w:r w:rsidR="00451FE2">
        <w:rPr>
          <w:rFonts w:ascii="Times New Roman" w:hAnsi="Times New Roman"/>
          <w:sz w:val="28"/>
          <w:szCs w:val="28"/>
        </w:rPr>
        <w:lastRenderedPageBreak/>
        <w:t>structure also broke with the traditional 50% employer-50% em</w:t>
      </w:r>
      <w:r w:rsidR="00432AD2">
        <w:rPr>
          <w:rFonts w:ascii="Times New Roman" w:hAnsi="Times New Roman"/>
          <w:sz w:val="28"/>
          <w:szCs w:val="28"/>
        </w:rPr>
        <w:t>ployee premium assessment model.</w:t>
      </w:r>
      <w:r w:rsidR="00451FE2">
        <w:rPr>
          <w:rFonts w:ascii="Times New Roman" w:hAnsi="Times New Roman"/>
          <w:sz w:val="28"/>
          <w:szCs w:val="28"/>
        </w:rPr>
        <w:t xml:space="preserve"> Instead, seeking to respond to the serious economic aftermath of the 2008 crisis and worrying about the international competitiveness of German exports, the 2009 German reform leveled a higher premium – 7.5% of salary up to a ceiling of 48,000 euros – on employees than the 7.2% of sala</w:t>
      </w:r>
      <w:r w:rsidR="00761887">
        <w:rPr>
          <w:rFonts w:ascii="Times New Roman" w:hAnsi="Times New Roman"/>
          <w:sz w:val="28"/>
          <w:szCs w:val="28"/>
        </w:rPr>
        <w:t>ry levied on employers. Further</w:t>
      </w:r>
      <w:r w:rsidR="00451FE2">
        <w:rPr>
          <w:rFonts w:ascii="Times New Roman" w:hAnsi="Times New Roman"/>
          <w:sz w:val="28"/>
          <w:szCs w:val="28"/>
        </w:rPr>
        <w:t xml:space="preserve">, the amount paid by employers was frozen, which in turn meant that the increase in </w:t>
      </w:r>
      <w:r w:rsidR="00747220">
        <w:rPr>
          <w:rFonts w:ascii="Times New Roman" w:hAnsi="Times New Roman"/>
          <w:sz w:val="28"/>
          <w:szCs w:val="28"/>
        </w:rPr>
        <w:t xml:space="preserve">premium revenue required in 2011 </w:t>
      </w:r>
      <w:r w:rsidR="00451FE2">
        <w:rPr>
          <w:rFonts w:ascii="Times New Roman" w:hAnsi="Times New Roman"/>
          <w:sz w:val="28"/>
          <w:szCs w:val="28"/>
        </w:rPr>
        <w:t>(due to continued high unemployment)</w:t>
      </w:r>
      <w:r w:rsidR="0003000B">
        <w:rPr>
          <w:rFonts w:ascii="Times New Roman" w:hAnsi="Times New Roman"/>
          <w:sz w:val="28"/>
          <w:szCs w:val="28"/>
        </w:rPr>
        <w:t xml:space="preserve"> was paid by employees,</w:t>
      </w:r>
      <w:r w:rsidR="00451FE2">
        <w:rPr>
          <w:rFonts w:ascii="Times New Roman" w:hAnsi="Times New Roman"/>
          <w:sz w:val="28"/>
          <w:szCs w:val="28"/>
        </w:rPr>
        <w:t xml:space="preserve"> who saw their </w:t>
      </w:r>
      <w:r w:rsidR="00D81056">
        <w:rPr>
          <w:rFonts w:ascii="Times New Roman" w:hAnsi="Times New Roman"/>
          <w:sz w:val="28"/>
          <w:szCs w:val="28"/>
        </w:rPr>
        <w:t>premium payments</w:t>
      </w:r>
      <w:r w:rsidR="00747220">
        <w:rPr>
          <w:rFonts w:ascii="Times New Roman" w:hAnsi="Times New Roman"/>
          <w:sz w:val="28"/>
          <w:szCs w:val="28"/>
        </w:rPr>
        <w:t xml:space="preserve"> raised to 8.2% </w:t>
      </w:r>
      <w:r w:rsidR="00D81056">
        <w:rPr>
          <w:rFonts w:ascii="Times New Roman" w:hAnsi="Times New Roman"/>
          <w:sz w:val="28"/>
          <w:szCs w:val="28"/>
        </w:rPr>
        <w:t>while the employe</w:t>
      </w:r>
      <w:r w:rsidR="00747220">
        <w:rPr>
          <w:rFonts w:ascii="Times New Roman" w:hAnsi="Times New Roman"/>
          <w:sz w:val="28"/>
          <w:szCs w:val="28"/>
        </w:rPr>
        <w:t>r portion remained steady at 7.3</w:t>
      </w:r>
      <w:r w:rsidR="00D81056">
        <w:rPr>
          <w:rFonts w:ascii="Times New Roman" w:hAnsi="Times New Roman"/>
          <w:sz w:val="28"/>
          <w:szCs w:val="28"/>
        </w:rPr>
        <w:t>%</w:t>
      </w:r>
      <w:r w:rsidR="00354FAD">
        <w:rPr>
          <w:rFonts w:ascii="Times New Roman" w:hAnsi="Times New Roman"/>
          <w:sz w:val="28"/>
          <w:szCs w:val="28"/>
        </w:rPr>
        <w:t xml:space="preserve"> (Gopffartha and Henke</w:t>
      </w:r>
      <w:r w:rsidR="007C4D0F">
        <w:rPr>
          <w:rFonts w:ascii="Times New Roman" w:hAnsi="Times New Roman"/>
          <w:sz w:val="28"/>
          <w:szCs w:val="28"/>
        </w:rPr>
        <w:t>, 2013).</w:t>
      </w:r>
    </w:p>
    <w:p w:rsidR="00723DEC" w:rsidRDefault="00723DEC" w:rsidP="002F0467">
      <w:pPr>
        <w:pStyle w:val="NoSpacing"/>
        <w:rPr>
          <w:rFonts w:ascii="Times New Roman" w:hAnsi="Times New Roman"/>
          <w:sz w:val="28"/>
          <w:szCs w:val="28"/>
        </w:rPr>
      </w:pPr>
    </w:p>
    <w:p w:rsidR="007C19F0" w:rsidRDefault="00723DEC" w:rsidP="002F0467">
      <w:pPr>
        <w:pStyle w:val="NoSpacing"/>
        <w:rPr>
          <w:rFonts w:ascii="Times New Roman" w:hAnsi="Times New Roman"/>
          <w:sz w:val="28"/>
          <w:szCs w:val="28"/>
        </w:rPr>
      </w:pPr>
      <w:r>
        <w:rPr>
          <w:rFonts w:ascii="Times New Roman" w:hAnsi="Times New Roman"/>
          <w:sz w:val="28"/>
          <w:szCs w:val="28"/>
        </w:rPr>
        <w:t xml:space="preserve">The overall impact of this change </w:t>
      </w:r>
      <w:r w:rsidR="007803D5">
        <w:rPr>
          <w:rFonts w:ascii="Times New Roman" w:hAnsi="Times New Roman"/>
          <w:sz w:val="28"/>
          <w:szCs w:val="28"/>
        </w:rPr>
        <w:t xml:space="preserve">in health funding strategy </w:t>
      </w:r>
      <w:r w:rsidR="00490A80">
        <w:rPr>
          <w:rFonts w:ascii="Times New Roman" w:hAnsi="Times New Roman"/>
          <w:sz w:val="28"/>
          <w:szCs w:val="28"/>
        </w:rPr>
        <w:t>has been</w:t>
      </w:r>
      <w:r>
        <w:rPr>
          <w:rFonts w:ascii="Times New Roman" w:hAnsi="Times New Roman"/>
          <w:sz w:val="28"/>
          <w:szCs w:val="28"/>
        </w:rPr>
        <w:t xml:space="preserve"> to shift what had been a shared responsibility in the private sector, between employers and employees (admittedly under national statutory requirements), into what became by 2012 both a nationally tax-based structure that</w:t>
      </w:r>
      <w:r w:rsidR="001F63D4">
        <w:rPr>
          <w:rFonts w:ascii="Times New Roman" w:hAnsi="Times New Roman"/>
          <w:sz w:val="28"/>
          <w:szCs w:val="28"/>
        </w:rPr>
        <w:t xml:space="preserve"> was federally controlled, and a funding framework which</w:t>
      </w:r>
      <w:r>
        <w:rPr>
          <w:rFonts w:ascii="Times New Roman" w:hAnsi="Times New Roman"/>
          <w:sz w:val="28"/>
          <w:szCs w:val="28"/>
        </w:rPr>
        <w:t xml:space="preserve"> financially favored employers over employees.</w:t>
      </w:r>
      <w:r w:rsidR="007C19F0">
        <w:rPr>
          <w:rFonts w:ascii="Times New Roman" w:hAnsi="Times New Roman"/>
          <w:sz w:val="28"/>
          <w:szCs w:val="28"/>
        </w:rPr>
        <w:t xml:space="preserve"> The political intentions in making this long-discussed but only post-financial crisis-implemented reform were fourfold:</w:t>
      </w:r>
    </w:p>
    <w:p w:rsidR="007C19F0" w:rsidRDefault="007C19F0" w:rsidP="007C19F0">
      <w:pPr>
        <w:pStyle w:val="NoSpacing"/>
        <w:numPr>
          <w:ilvl w:val="0"/>
          <w:numId w:val="21"/>
        </w:numPr>
        <w:rPr>
          <w:rFonts w:ascii="Times New Roman" w:hAnsi="Times New Roman"/>
          <w:sz w:val="28"/>
          <w:szCs w:val="28"/>
        </w:rPr>
      </w:pPr>
      <w:r>
        <w:rPr>
          <w:rFonts w:ascii="Times New Roman" w:hAnsi="Times New Roman"/>
          <w:sz w:val="28"/>
          <w:szCs w:val="28"/>
        </w:rPr>
        <w:t>Equalize social insurance contributions across the more than 100 separate    social insurance funds;</w:t>
      </w:r>
    </w:p>
    <w:p w:rsidR="00D04E52" w:rsidRDefault="007C19F0" w:rsidP="007C19F0">
      <w:pPr>
        <w:pStyle w:val="NoSpacing"/>
        <w:numPr>
          <w:ilvl w:val="0"/>
          <w:numId w:val="21"/>
        </w:numPr>
        <w:rPr>
          <w:rFonts w:ascii="Times New Roman" w:hAnsi="Times New Roman"/>
          <w:sz w:val="28"/>
          <w:szCs w:val="28"/>
        </w:rPr>
      </w:pPr>
      <w:r>
        <w:rPr>
          <w:rFonts w:ascii="Times New Roman" w:hAnsi="Times New Roman"/>
          <w:sz w:val="28"/>
          <w:szCs w:val="28"/>
        </w:rPr>
        <w:t>Apply risk-rated payments to each insuree, to encourage insurers to compete for new enrollees</w:t>
      </w:r>
      <w:r w:rsidR="00933538">
        <w:rPr>
          <w:rFonts w:ascii="Times New Roman" w:hAnsi="Times New Roman"/>
          <w:sz w:val="28"/>
          <w:szCs w:val="28"/>
        </w:rPr>
        <w:t>;</w:t>
      </w:r>
    </w:p>
    <w:p w:rsidR="00933538" w:rsidRDefault="00933538" w:rsidP="007C19F0">
      <w:pPr>
        <w:pStyle w:val="NoSpacing"/>
        <w:numPr>
          <w:ilvl w:val="0"/>
          <w:numId w:val="21"/>
        </w:numPr>
        <w:rPr>
          <w:rFonts w:ascii="Times New Roman" w:hAnsi="Times New Roman"/>
          <w:sz w:val="28"/>
          <w:szCs w:val="28"/>
        </w:rPr>
      </w:pPr>
      <w:r>
        <w:rPr>
          <w:rFonts w:ascii="Times New Roman" w:hAnsi="Times New Roman"/>
          <w:sz w:val="28"/>
          <w:szCs w:val="28"/>
        </w:rPr>
        <w:t>Restrain overall health sector expenditures through one national channel;</w:t>
      </w:r>
    </w:p>
    <w:p w:rsidR="00933538" w:rsidRDefault="00933538" w:rsidP="007C19F0">
      <w:pPr>
        <w:pStyle w:val="NoSpacing"/>
        <w:numPr>
          <w:ilvl w:val="0"/>
          <w:numId w:val="21"/>
        </w:numPr>
        <w:rPr>
          <w:rFonts w:ascii="Times New Roman" w:hAnsi="Times New Roman"/>
          <w:sz w:val="28"/>
          <w:szCs w:val="28"/>
        </w:rPr>
      </w:pPr>
      <w:r>
        <w:rPr>
          <w:rFonts w:ascii="Times New Roman" w:hAnsi="Times New Roman"/>
          <w:sz w:val="28"/>
          <w:szCs w:val="28"/>
        </w:rPr>
        <w:t>Improve the international competitive position of German industry, by capping its share of health insurance premiums.</w:t>
      </w:r>
    </w:p>
    <w:p w:rsidR="008344AC" w:rsidRDefault="008344AC" w:rsidP="008344AC">
      <w:pPr>
        <w:pStyle w:val="NoSpacing"/>
        <w:rPr>
          <w:rFonts w:ascii="Times New Roman" w:hAnsi="Times New Roman"/>
          <w:sz w:val="28"/>
          <w:szCs w:val="28"/>
        </w:rPr>
      </w:pPr>
      <w:r>
        <w:rPr>
          <w:rFonts w:ascii="Times New Roman" w:hAnsi="Times New Roman"/>
          <w:sz w:val="28"/>
          <w:szCs w:val="28"/>
        </w:rPr>
        <w:t>While all four objectives had been important prior to 2008, they became even more so once economic growth slowed over the longer term.</w:t>
      </w:r>
    </w:p>
    <w:p w:rsidR="007C19F0" w:rsidRDefault="007C19F0" w:rsidP="007C19F0">
      <w:pPr>
        <w:pStyle w:val="NoSpacing"/>
        <w:ind w:left="720"/>
        <w:rPr>
          <w:rFonts w:ascii="Times New Roman" w:hAnsi="Times New Roman"/>
          <w:sz w:val="28"/>
          <w:szCs w:val="28"/>
        </w:rPr>
      </w:pPr>
    </w:p>
    <w:p w:rsidR="00D04E52" w:rsidRDefault="00D04E52" w:rsidP="002F0467">
      <w:pPr>
        <w:pStyle w:val="NoSpacing"/>
        <w:rPr>
          <w:rFonts w:ascii="Times New Roman" w:hAnsi="Times New Roman"/>
          <w:sz w:val="28"/>
          <w:szCs w:val="28"/>
        </w:rPr>
      </w:pPr>
    </w:p>
    <w:p w:rsidR="0039148E" w:rsidRPr="001B3347" w:rsidRDefault="004A0770" w:rsidP="000648BC">
      <w:pPr>
        <w:pStyle w:val="NoSpacing"/>
        <w:numPr>
          <w:ilvl w:val="0"/>
          <w:numId w:val="17"/>
        </w:numPr>
        <w:rPr>
          <w:rFonts w:ascii="Times New Roman" w:hAnsi="Times New Roman"/>
          <w:sz w:val="28"/>
          <w:szCs w:val="28"/>
        </w:rPr>
      </w:pPr>
      <w:r>
        <w:rPr>
          <w:rFonts w:ascii="Times New Roman" w:hAnsi="Times New Roman" w:cs="Times New Roman"/>
          <w:b/>
          <w:sz w:val="28"/>
          <w:szCs w:val="28"/>
        </w:rPr>
        <w:t>Concluding Observations</w:t>
      </w:r>
      <w:r w:rsidR="001C4357">
        <w:rPr>
          <w:rFonts w:ascii="Times New Roman" w:hAnsi="Times New Roman" w:cs="Times New Roman"/>
          <w:b/>
          <w:sz w:val="28"/>
          <w:szCs w:val="28"/>
        </w:rPr>
        <w:t xml:space="preserve"> about Reform Policy Patterns</w:t>
      </w:r>
    </w:p>
    <w:p w:rsidR="003E356E" w:rsidRDefault="003E356E" w:rsidP="003E356E">
      <w:pPr>
        <w:pStyle w:val="NoSpacing"/>
        <w:rPr>
          <w:rFonts w:ascii="Times New Roman" w:hAnsi="Times New Roman" w:cs="Times New Roman"/>
          <w:b/>
          <w:sz w:val="28"/>
          <w:szCs w:val="28"/>
        </w:rPr>
      </w:pPr>
    </w:p>
    <w:p w:rsidR="007D0410" w:rsidRDefault="006710ED" w:rsidP="003E356E">
      <w:pPr>
        <w:pStyle w:val="NoSpacing"/>
        <w:rPr>
          <w:rFonts w:ascii="Times New Roman" w:hAnsi="Times New Roman" w:cs="Times New Roman"/>
          <w:sz w:val="28"/>
          <w:szCs w:val="28"/>
        </w:rPr>
      </w:pPr>
      <w:r>
        <w:rPr>
          <w:rFonts w:ascii="Times New Roman" w:hAnsi="Times New Roman" w:cs="Times New Roman"/>
          <w:sz w:val="28"/>
          <w:szCs w:val="28"/>
        </w:rPr>
        <w:t xml:space="preserve">The </w:t>
      </w:r>
      <w:r w:rsidR="009C1A74">
        <w:rPr>
          <w:rFonts w:ascii="Times New Roman" w:hAnsi="Times New Roman" w:cs="Times New Roman"/>
          <w:sz w:val="28"/>
          <w:szCs w:val="28"/>
        </w:rPr>
        <w:t xml:space="preserve">broad </w:t>
      </w:r>
      <w:r w:rsidR="003E356E" w:rsidRPr="006710ED">
        <w:rPr>
          <w:rFonts w:ascii="Times New Roman" w:hAnsi="Times New Roman" w:cs="Times New Roman"/>
          <w:sz w:val="28"/>
          <w:szCs w:val="28"/>
        </w:rPr>
        <w:t>po</w:t>
      </w:r>
      <w:r w:rsidR="002A1AA3" w:rsidRPr="006710ED">
        <w:rPr>
          <w:rFonts w:ascii="Times New Roman" w:hAnsi="Times New Roman" w:cs="Times New Roman"/>
          <w:sz w:val="28"/>
          <w:szCs w:val="28"/>
        </w:rPr>
        <w:t>st-2008 pattern of health sector</w:t>
      </w:r>
      <w:r w:rsidR="00C42073">
        <w:rPr>
          <w:rFonts w:ascii="Times New Roman" w:hAnsi="Times New Roman" w:cs="Times New Roman"/>
          <w:sz w:val="28"/>
          <w:szCs w:val="28"/>
        </w:rPr>
        <w:t xml:space="preserve"> reform in</w:t>
      </w:r>
      <w:r w:rsidR="003E356E" w:rsidRPr="006710ED">
        <w:rPr>
          <w:rFonts w:ascii="Times New Roman" w:hAnsi="Times New Roman" w:cs="Times New Roman"/>
          <w:sz w:val="28"/>
          <w:szCs w:val="28"/>
        </w:rPr>
        <w:t xml:space="preserve"> Europe</w:t>
      </w:r>
      <w:r w:rsidR="002A1AA3" w:rsidRPr="006710ED">
        <w:rPr>
          <w:rFonts w:ascii="Times New Roman" w:hAnsi="Times New Roman" w:cs="Times New Roman"/>
          <w:sz w:val="28"/>
          <w:szCs w:val="28"/>
        </w:rPr>
        <w:t xml:space="preserve"> </w:t>
      </w:r>
      <w:r w:rsidR="00C70B40">
        <w:rPr>
          <w:rFonts w:ascii="Times New Roman" w:hAnsi="Times New Roman" w:cs="Times New Roman"/>
          <w:sz w:val="28"/>
          <w:szCs w:val="28"/>
        </w:rPr>
        <w:t xml:space="preserve">presents a complex landscape </w:t>
      </w:r>
      <w:r w:rsidR="00687888">
        <w:rPr>
          <w:rFonts w:ascii="Times New Roman" w:hAnsi="Times New Roman" w:cs="Times New Roman"/>
          <w:sz w:val="28"/>
          <w:szCs w:val="28"/>
        </w:rPr>
        <w:t>of</w:t>
      </w:r>
      <w:r w:rsidR="00C70B40">
        <w:rPr>
          <w:rFonts w:ascii="Times New Roman" w:hAnsi="Times New Roman" w:cs="Times New Roman"/>
          <w:sz w:val="28"/>
          <w:szCs w:val="28"/>
        </w:rPr>
        <w:t xml:space="preserve"> </w:t>
      </w:r>
      <w:r w:rsidR="00C42073">
        <w:rPr>
          <w:rFonts w:ascii="Times New Roman" w:hAnsi="Times New Roman" w:cs="Times New Roman"/>
          <w:sz w:val="28"/>
          <w:szCs w:val="28"/>
        </w:rPr>
        <w:t xml:space="preserve">new and previously existing </w:t>
      </w:r>
      <w:r w:rsidR="00C70B40">
        <w:rPr>
          <w:rFonts w:ascii="Times New Roman" w:hAnsi="Times New Roman" w:cs="Times New Roman"/>
          <w:sz w:val="28"/>
          <w:szCs w:val="28"/>
        </w:rPr>
        <w:t>strategies, in response</w:t>
      </w:r>
      <w:r w:rsidR="00C42073">
        <w:rPr>
          <w:rFonts w:ascii="Times New Roman" w:hAnsi="Times New Roman" w:cs="Times New Roman"/>
          <w:sz w:val="28"/>
          <w:szCs w:val="28"/>
        </w:rPr>
        <w:t xml:space="preserve"> to the different </w:t>
      </w:r>
      <w:r w:rsidR="007F4A2D">
        <w:rPr>
          <w:rFonts w:ascii="Times New Roman" w:hAnsi="Times New Roman" w:cs="Times New Roman"/>
          <w:sz w:val="28"/>
          <w:szCs w:val="28"/>
        </w:rPr>
        <w:t xml:space="preserve">focus of policy </w:t>
      </w:r>
      <w:r w:rsidR="00C42073">
        <w:rPr>
          <w:rFonts w:ascii="Times New Roman" w:hAnsi="Times New Roman" w:cs="Times New Roman"/>
          <w:sz w:val="28"/>
          <w:szCs w:val="28"/>
        </w:rPr>
        <w:t>concerns found within tax-funded as against social-health-insurance funded hea</w:t>
      </w:r>
      <w:r w:rsidR="007F78D7">
        <w:rPr>
          <w:rFonts w:ascii="Times New Roman" w:hAnsi="Times New Roman" w:cs="Times New Roman"/>
          <w:sz w:val="28"/>
          <w:szCs w:val="28"/>
        </w:rPr>
        <w:t>lth systems. T</w:t>
      </w:r>
      <w:r w:rsidR="00C42073">
        <w:rPr>
          <w:rFonts w:ascii="Times New Roman" w:hAnsi="Times New Roman" w:cs="Times New Roman"/>
          <w:sz w:val="28"/>
          <w:szCs w:val="28"/>
        </w:rPr>
        <w:t xml:space="preserve">he </w:t>
      </w:r>
      <w:r w:rsidR="00A91CCF">
        <w:rPr>
          <w:rFonts w:ascii="Times New Roman" w:hAnsi="Times New Roman" w:cs="Times New Roman"/>
          <w:sz w:val="28"/>
          <w:szCs w:val="28"/>
        </w:rPr>
        <w:t>central concern</w:t>
      </w:r>
      <w:r w:rsidR="007F4A2D">
        <w:rPr>
          <w:rFonts w:ascii="Times New Roman" w:hAnsi="Times New Roman" w:cs="Times New Roman"/>
          <w:sz w:val="28"/>
          <w:szCs w:val="28"/>
        </w:rPr>
        <w:t xml:space="preserve"> for all European health systems</w:t>
      </w:r>
      <w:r w:rsidR="007F78D7">
        <w:rPr>
          <w:rFonts w:ascii="Times New Roman" w:hAnsi="Times New Roman" w:cs="Times New Roman"/>
          <w:sz w:val="28"/>
          <w:szCs w:val="28"/>
        </w:rPr>
        <w:t>, however, continues to be</w:t>
      </w:r>
      <w:r w:rsidR="00C42073">
        <w:rPr>
          <w:rFonts w:ascii="Times New Roman" w:hAnsi="Times New Roman" w:cs="Times New Roman"/>
          <w:sz w:val="28"/>
          <w:szCs w:val="28"/>
        </w:rPr>
        <w:t xml:space="preserve"> respond</w:t>
      </w:r>
      <w:r w:rsidR="007F78D7">
        <w:rPr>
          <w:rFonts w:ascii="Times New Roman" w:hAnsi="Times New Roman" w:cs="Times New Roman"/>
          <w:sz w:val="28"/>
          <w:szCs w:val="28"/>
        </w:rPr>
        <w:t>ing</w:t>
      </w:r>
      <w:r w:rsidR="00C42073">
        <w:rPr>
          <w:rFonts w:ascii="Times New Roman" w:hAnsi="Times New Roman" w:cs="Times New Roman"/>
          <w:sz w:val="28"/>
          <w:szCs w:val="28"/>
        </w:rPr>
        <w:t xml:space="preserve"> </w:t>
      </w:r>
      <w:r w:rsidR="00A929FD">
        <w:rPr>
          <w:rFonts w:ascii="Times New Roman" w:hAnsi="Times New Roman" w:cs="Times New Roman"/>
          <w:sz w:val="28"/>
          <w:szCs w:val="28"/>
        </w:rPr>
        <w:t>more eff</w:t>
      </w:r>
      <w:r w:rsidR="007F78D7">
        <w:rPr>
          <w:rFonts w:ascii="Times New Roman" w:hAnsi="Times New Roman" w:cs="Times New Roman"/>
          <w:sz w:val="28"/>
          <w:szCs w:val="28"/>
        </w:rPr>
        <w:t>ectively to the challenges raised by</w:t>
      </w:r>
      <w:r w:rsidR="0005518B">
        <w:rPr>
          <w:rFonts w:ascii="Times New Roman" w:hAnsi="Times New Roman" w:cs="Times New Roman"/>
          <w:sz w:val="28"/>
          <w:szCs w:val="28"/>
        </w:rPr>
        <w:t xml:space="preserve"> the </w:t>
      </w:r>
      <w:r w:rsidR="00C42073">
        <w:rPr>
          <w:rFonts w:ascii="Times New Roman" w:hAnsi="Times New Roman" w:cs="Times New Roman"/>
          <w:sz w:val="28"/>
          <w:szCs w:val="28"/>
        </w:rPr>
        <w:t xml:space="preserve">down-shifting </w:t>
      </w:r>
      <w:r w:rsidR="007F4A2D">
        <w:rPr>
          <w:rFonts w:ascii="Times New Roman" w:hAnsi="Times New Roman" w:cs="Times New Roman"/>
          <w:sz w:val="28"/>
          <w:szCs w:val="28"/>
        </w:rPr>
        <w:t xml:space="preserve">of </w:t>
      </w:r>
      <w:r w:rsidR="00A929FD">
        <w:rPr>
          <w:rFonts w:ascii="Times New Roman" w:hAnsi="Times New Roman" w:cs="Times New Roman"/>
          <w:sz w:val="28"/>
          <w:szCs w:val="28"/>
        </w:rPr>
        <w:t>economic growth to</w:t>
      </w:r>
      <w:r w:rsidR="00C42073">
        <w:rPr>
          <w:rFonts w:ascii="Times New Roman" w:hAnsi="Times New Roman" w:cs="Times New Roman"/>
          <w:sz w:val="28"/>
          <w:szCs w:val="28"/>
        </w:rPr>
        <w:t xml:space="preserve"> level</w:t>
      </w:r>
      <w:r w:rsidR="007F78D7">
        <w:rPr>
          <w:rFonts w:ascii="Times New Roman" w:hAnsi="Times New Roman" w:cs="Times New Roman"/>
          <w:sz w:val="28"/>
          <w:szCs w:val="28"/>
        </w:rPr>
        <w:t xml:space="preserve">s that </w:t>
      </w:r>
      <w:r w:rsidR="00A929FD">
        <w:rPr>
          <w:rFonts w:ascii="Times New Roman" w:hAnsi="Times New Roman" w:cs="Times New Roman"/>
          <w:sz w:val="28"/>
          <w:szCs w:val="28"/>
        </w:rPr>
        <w:t>pressure</w:t>
      </w:r>
      <w:r w:rsidR="00C42073">
        <w:rPr>
          <w:rFonts w:ascii="Times New Roman" w:hAnsi="Times New Roman" w:cs="Times New Roman"/>
          <w:sz w:val="28"/>
          <w:szCs w:val="28"/>
        </w:rPr>
        <w:t xml:space="preserve"> revenues for all </w:t>
      </w:r>
      <w:r w:rsidR="00FE50C3">
        <w:rPr>
          <w:rFonts w:ascii="Times New Roman" w:hAnsi="Times New Roman" w:cs="Times New Roman"/>
          <w:sz w:val="28"/>
          <w:szCs w:val="28"/>
        </w:rPr>
        <w:t>publicly supported</w:t>
      </w:r>
      <w:r w:rsidR="00C42073">
        <w:rPr>
          <w:rFonts w:ascii="Times New Roman" w:hAnsi="Times New Roman" w:cs="Times New Roman"/>
          <w:sz w:val="28"/>
          <w:szCs w:val="28"/>
        </w:rPr>
        <w:t xml:space="preserve"> services</w:t>
      </w:r>
      <w:r w:rsidR="003470EA">
        <w:rPr>
          <w:rFonts w:ascii="Times New Roman" w:hAnsi="Times New Roman" w:cs="Times New Roman"/>
          <w:sz w:val="28"/>
          <w:szCs w:val="28"/>
        </w:rPr>
        <w:t>, and especially</w:t>
      </w:r>
      <w:r w:rsidR="00A91CCF">
        <w:rPr>
          <w:rFonts w:ascii="Times New Roman" w:hAnsi="Times New Roman" w:cs="Times New Roman"/>
          <w:sz w:val="28"/>
          <w:szCs w:val="28"/>
        </w:rPr>
        <w:t xml:space="preserve"> for</w:t>
      </w:r>
      <w:r w:rsidR="003470EA">
        <w:rPr>
          <w:rFonts w:ascii="Times New Roman" w:hAnsi="Times New Roman" w:cs="Times New Roman"/>
          <w:sz w:val="28"/>
          <w:szCs w:val="28"/>
        </w:rPr>
        <w:t xml:space="preserve"> health care services</w:t>
      </w:r>
      <w:r w:rsidR="00C42073">
        <w:rPr>
          <w:rFonts w:ascii="Times New Roman" w:hAnsi="Times New Roman" w:cs="Times New Roman"/>
          <w:sz w:val="28"/>
          <w:szCs w:val="28"/>
        </w:rPr>
        <w:t xml:space="preserve">. </w:t>
      </w:r>
      <w:r w:rsidR="00BB50CC">
        <w:rPr>
          <w:rFonts w:ascii="Times New Roman" w:hAnsi="Times New Roman" w:cs="Times New Roman"/>
          <w:sz w:val="28"/>
          <w:szCs w:val="28"/>
        </w:rPr>
        <w:t xml:space="preserve">This additional fiscal </w:t>
      </w:r>
      <w:r w:rsidR="002375A3">
        <w:rPr>
          <w:rFonts w:ascii="Times New Roman" w:hAnsi="Times New Roman" w:cs="Times New Roman"/>
          <w:sz w:val="28"/>
          <w:szCs w:val="28"/>
        </w:rPr>
        <w:t>pressure comes, as many have noted</w:t>
      </w:r>
      <w:r w:rsidR="00BB50CC">
        <w:rPr>
          <w:rFonts w:ascii="Times New Roman" w:hAnsi="Times New Roman" w:cs="Times New Roman"/>
          <w:sz w:val="28"/>
          <w:szCs w:val="28"/>
        </w:rPr>
        <w:t xml:space="preserve">, at the same time that </w:t>
      </w:r>
      <w:r w:rsidR="00A52ABA">
        <w:rPr>
          <w:rFonts w:ascii="Times New Roman" w:hAnsi="Times New Roman" w:cs="Times New Roman"/>
          <w:sz w:val="28"/>
          <w:szCs w:val="28"/>
        </w:rPr>
        <w:lastRenderedPageBreak/>
        <w:t>numerous other challenges</w:t>
      </w:r>
      <w:r w:rsidR="002375A3">
        <w:rPr>
          <w:rFonts w:ascii="Times New Roman" w:hAnsi="Times New Roman" w:cs="Times New Roman"/>
          <w:sz w:val="28"/>
          <w:szCs w:val="28"/>
        </w:rPr>
        <w:t xml:space="preserve"> </w:t>
      </w:r>
      <w:r w:rsidR="00BB50CC">
        <w:rPr>
          <w:rFonts w:ascii="Times New Roman" w:hAnsi="Times New Roman" w:cs="Times New Roman"/>
          <w:sz w:val="28"/>
          <w:szCs w:val="28"/>
        </w:rPr>
        <w:t xml:space="preserve">already </w:t>
      </w:r>
      <w:r w:rsidR="00A91CCF">
        <w:rPr>
          <w:rFonts w:ascii="Times New Roman" w:hAnsi="Times New Roman" w:cs="Times New Roman"/>
          <w:sz w:val="28"/>
          <w:szCs w:val="28"/>
        </w:rPr>
        <w:t>are placing substantial</w:t>
      </w:r>
      <w:r w:rsidR="00BB50CC">
        <w:rPr>
          <w:rFonts w:ascii="Times New Roman" w:hAnsi="Times New Roman" w:cs="Times New Roman"/>
          <w:sz w:val="28"/>
          <w:szCs w:val="28"/>
        </w:rPr>
        <w:t xml:space="preserve"> strains on</w:t>
      </w:r>
      <w:r w:rsidR="00A52ABA">
        <w:rPr>
          <w:rFonts w:ascii="Times New Roman" w:hAnsi="Times New Roman" w:cs="Times New Roman"/>
          <w:sz w:val="28"/>
          <w:szCs w:val="28"/>
        </w:rPr>
        <w:t xml:space="preserve"> public funding </w:t>
      </w:r>
      <w:r w:rsidR="008C4DDE">
        <w:rPr>
          <w:rFonts w:ascii="Times New Roman" w:hAnsi="Times New Roman" w:cs="Times New Roman"/>
          <w:sz w:val="28"/>
          <w:szCs w:val="28"/>
        </w:rPr>
        <w:t xml:space="preserve">levels </w:t>
      </w:r>
      <w:r w:rsidR="00A52ABA">
        <w:rPr>
          <w:rFonts w:ascii="Times New Roman" w:hAnsi="Times New Roman" w:cs="Times New Roman"/>
          <w:sz w:val="28"/>
          <w:szCs w:val="28"/>
        </w:rPr>
        <w:t>for</w:t>
      </w:r>
      <w:r w:rsidR="00BB50CC">
        <w:rPr>
          <w:rFonts w:ascii="Times New Roman" w:hAnsi="Times New Roman" w:cs="Times New Roman"/>
          <w:sz w:val="28"/>
          <w:szCs w:val="28"/>
        </w:rPr>
        <w:t xml:space="preserve"> these health care systems.</w:t>
      </w:r>
    </w:p>
    <w:p w:rsidR="007D0410" w:rsidRDefault="007D0410" w:rsidP="003E356E">
      <w:pPr>
        <w:pStyle w:val="NoSpacing"/>
        <w:rPr>
          <w:rFonts w:ascii="Times New Roman" w:hAnsi="Times New Roman" w:cs="Times New Roman"/>
          <w:sz w:val="28"/>
          <w:szCs w:val="28"/>
        </w:rPr>
      </w:pPr>
    </w:p>
    <w:p w:rsidR="007D0410" w:rsidRDefault="00442FE5" w:rsidP="003E356E">
      <w:pPr>
        <w:pStyle w:val="NoSpacing"/>
        <w:rPr>
          <w:rFonts w:ascii="Times New Roman" w:hAnsi="Times New Roman" w:cs="Times New Roman"/>
          <w:sz w:val="28"/>
          <w:szCs w:val="28"/>
        </w:rPr>
      </w:pPr>
      <w:r>
        <w:rPr>
          <w:rFonts w:ascii="Times New Roman" w:hAnsi="Times New Roman" w:cs="Times New Roman"/>
          <w:sz w:val="28"/>
          <w:szCs w:val="28"/>
        </w:rPr>
        <w:t xml:space="preserve">Two strategic axes </w:t>
      </w:r>
      <w:r w:rsidR="00BD2FF5">
        <w:rPr>
          <w:rFonts w:ascii="Times New Roman" w:hAnsi="Times New Roman" w:cs="Times New Roman"/>
          <w:sz w:val="28"/>
          <w:szCs w:val="28"/>
        </w:rPr>
        <w:t>o</w:t>
      </w:r>
      <w:r w:rsidR="007F4A2D">
        <w:rPr>
          <w:rFonts w:ascii="Times New Roman" w:hAnsi="Times New Roman" w:cs="Times New Roman"/>
          <w:sz w:val="28"/>
          <w:szCs w:val="28"/>
        </w:rPr>
        <w:t xml:space="preserve">f organizational change </w:t>
      </w:r>
      <w:r>
        <w:rPr>
          <w:rFonts w:ascii="Times New Roman" w:hAnsi="Times New Roman" w:cs="Times New Roman"/>
          <w:sz w:val="28"/>
          <w:szCs w:val="28"/>
        </w:rPr>
        <w:t>within these different reform patterns</w:t>
      </w:r>
      <w:r w:rsidR="00DE7085">
        <w:rPr>
          <w:rFonts w:ascii="Times New Roman" w:hAnsi="Times New Roman" w:cs="Times New Roman"/>
          <w:sz w:val="28"/>
          <w:szCs w:val="28"/>
        </w:rPr>
        <w:t xml:space="preserve"> can be charted</w:t>
      </w:r>
      <w:r>
        <w:rPr>
          <w:rFonts w:ascii="Times New Roman" w:hAnsi="Times New Roman" w:cs="Times New Roman"/>
          <w:sz w:val="28"/>
          <w:szCs w:val="28"/>
        </w:rPr>
        <w:t>:</w:t>
      </w:r>
      <w:r w:rsidR="007D0410">
        <w:rPr>
          <w:rFonts w:ascii="Times New Roman" w:hAnsi="Times New Roman" w:cs="Times New Roman"/>
          <w:sz w:val="28"/>
          <w:szCs w:val="28"/>
        </w:rPr>
        <w:t xml:space="preserve"> </w:t>
      </w:r>
    </w:p>
    <w:p w:rsidR="00A929FD" w:rsidRDefault="00903026" w:rsidP="00691458">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A </w:t>
      </w:r>
      <w:r w:rsidR="007D0410">
        <w:rPr>
          <w:rFonts w:ascii="Times New Roman" w:hAnsi="Times New Roman" w:cs="Times New Roman"/>
          <w:sz w:val="28"/>
          <w:szCs w:val="28"/>
        </w:rPr>
        <w:t>shifting</w:t>
      </w:r>
      <w:r>
        <w:rPr>
          <w:rFonts w:ascii="Times New Roman" w:hAnsi="Times New Roman" w:cs="Times New Roman"/>
          <w:sz w:val="28"/>
          <w:szCs w:val="28"/>
        </w:rPr>
        <w:t xml:space="preserve"> set of</w:t>
      </w:r>
      <w:r w:rsidR="007D0410">
        <w:rPr>
          <w:rFonts w:ascii="Times New Roman" w:hAnsi="Times New Roman" w:cs="Times New Roman"/>
          <w:sz w:val="28"/>
          <w:szCs w:val="28"/>
        </w:rPr>
        <w:t xml:space="preserve"> balances between </w:t>
      </w:r>
      <w:r w:rsidR="007D0410" w:rsidRPr="007D0410">
        <w:rPr>
          <w:rFonts w:ascii="Times New Roman" w:hAnsi="Times New Roman" w:cs="Times New Roman"/>
          <w:i/>
          <w:sz w:val="28"/>
          <w:szCs w:val="28"/>
        </w:rPr>
        <w:t>decentralization</w:t>
      </w:r>
      <w:r w:rsidR="007D0410">
        <w:rPr>
          <w:rFonts w:ascii="Times New Roman" w:hAnsi="Times New Roman" w:cs="Times New Roman"/>
          <w:sz w:val="28"/>
          <w:szCs w:val="28"/>
        </w:rPr>
        <w:t xml:space="preserve"> and </w:t>
      </w:r>
      <w:r w:rsidR="007D0410" w:rsidRPr="007D0410">
        <w:rPr>
          <w:rFonts w:ascii="Times New Roman" w:hAnsi="Times New Roman" w:cs="Times New Roman"/>
          <w:i/>
          <w:sz w:val="28"/>
          <w:szCs w:val="28"/>
        </w:rPr>
        <w:t>re-centralization</w:t>
      </w:r>
      <w:r>
        <w:rPr>
          <w:rFonts w:ascii="Times New Roman" w:hAnsi="Times New Roman" w:cs="Times New Roman"/>
          <w:i/>
          <w:sz w:val="28"/>
          <w:szCs w:val="28"/>
        </w:rPr>
        <w:t xml:space="preserve"> </w:t>
      </w:r>
      <w:r w:rsidRPr="00823AEF">
        <w:rPr>
          <w:rFonts w:ascii="Times New Roman" w:hAnsi="Times New Roman" w:cs="Times New Roman"/>
          <w:sz w:val="28"/>
          <w:szCs w:val="28"/>
        </w:rPr>
        <w:t xml:space="preserve">on </w:t>
      </w:r>
      <w:r w:rsidR="00DE7085" w:rsidRPr="00823AEF">
        <w:rPr>
          <w:rFonts w:ascii="Times New Roman" w:hAnsi="Times New Roman" w:cs="Times New Roman"/>
          <w:sz w:val="28"/>
          <w:szCs w:val="28"/>
        </w:rPr>
        <w:t xml:space="preserve">various </w:t>
      </w:r>
      <w:r w:rsidRPr="00823AEF">
        <w:rPr>
          <w:rFonts w:ascii="Times New Roman" w:hAnsi="Times New Roman" w:cs="Times New Roman"/>
          <w:sz w:val="28"/>
          <w:szCs w:val="28"/>
        </w:rPr>
        <w:t xml:space="preserve">administrative and </w:t>
      </w:r>
      <w:r w:rsidR="00DC3365" w:rsidRPr="00823AEF">
        <w:rPr>
          <w:rFonts w:ascii="Times New Roman" w:hAnsi="Times New Roman" w:cs="Times New Roman"/>
          <w:sz w:val="28"/>
          <w:szCs w:val="28"/>
        </w:rPr>
        <w:t xml:space="preserve">governance </w:t>
      </w:r>
      <w:r w:rsidRPr="00823AEF">
        <w:rPr>
          <w:rFonts w:ascii="Times New Roman" w:hAnsi="Times New Roman" w:cs="Times New Roman"/>
          <w:sz w:val="28"/>
          <w:szCs w:val="28"/>
        </w:rPr>
        <w:t>dimensions</w:t>
      </w:r>
      <w:r w:rsidR="007D0410">
        <w:rPr>
          <w:rFonts w:ascii="Times New Roman" w:hAnsi="Times New Roman" w:cs="Times New Roman"/>
          <w:sz w:val="28"/>
          <w:szCs w:val="28"/>
        </w:rPr>
        <w:t>, and</w:t>
      </w:r>
    </w:p>
    <w:p w:rsidR="007D0410" w:rsidRPr="007D0410" w:rsidRDefault="00442FE5" w:rsidP="00691458">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W</w:t>
      </w:r>
      <w:r w:rsidR="007D0410">
        <w:rPr>
          <w:rFonts w:ascii="Times New Roman" w:hAnsi="Times New Roman" w:cs="Times New Roman"/>
          <w:sz w:val="28"/>
          <w:szCs w:val="28"/>
        </w:rPr>
        <w:t xml:space="preserve">ide-ranging </w:t>
      </w:r>
      <w:r w:rsidR="007D0410" w:rsidRPr="007D0410">
        <w:rPr>
          <w:rFonts w:ascii="Times New Roman" w:hAnsi="Times New Roman" w:cs="Times New Roman"/>
          <w:i/>
          <w:sz w:val="28"/>
          <w:szCs w:val="28"/>
        </w:rPr>
        <w:t>consolidation</w:t>
      </w:r>
      <w:r w:rsidR="007D0410">
        <w:rPr>
          <w:rFonts w:ascii="Times New Roman" w:hAnsi="Times New Roman" w:cs="Times New Roman"/>
          <w:sz w:val="28"/>
          <w:szCs w:val="28"/>
        </w:rPr>
        <w:t xml:space="preserve"> among public sector producer organizations, both </w:t>
      </w:r>
      <w:r w:rsidR="007D0410" w:rsidRPr="00F65917">
        <w:rPr>
          <w:rFonts w:ascii="Times New Roman" w:hAnsi="Times New Roman" w:cs="Times New Roman"/>
          <w:i/>
          <w:sz w:val="28"/>
          <w:szCs w:val="28"/>
        </w:rPr>
        <w:t>horizontally</w:t>
      </w:r>
      <w:r w:rsidR="00DE7085">
        <w:rPr>
          <w:rFonts w:ascii="Times New Roman" w:hAnsi="Times New Roman" w:cs="Times New Roman"/>
          <w:sz w:val="28"/>
          <w:szCs w:val="28"/>
        </w:rPr>
        <w:t xml:space="preserve"> (e</w:t>
      </w:r>
      <w:r w:rsidR="00C8501A">
        <w:rPr>
          <w:rFonts w:ascii="Times New Roman" w:hAnsi="Times New Roman" w:cs="Times New Roman"/>
          <w:sz w:val="28"/>
          <w:szCs w:val="28"/>
        </w:rPr>
        <w:t>.</w:t>
      </w:r>
      <w:r w:rsidR="00DE7085">
        <w:rPr>
          <w:rFonts w:ascii="Times New Roman" w:hAnsi="Times New Roman" w:cs="Times New Roman"/>
          <w:sz w:val="28"/>
          <w:szCs w:val="28"/>
        </w:rPr>
        <w:t>g</w:t>
      </w:r>
      <w:r w:rsidR="00C8501A">
        <w:rPr>
          <w:rFonts w:ascii="Times New Roman" w:hAnsi="Times New Roman" w:cs="Times New Roman"/>
          <w:sz w:val="28"/>
          <w:szCs w:val="28"/>
        </w:rPr>
        <w:t>.,</w:t>
      </w:r>
      <w:r w:rsidR="00DE7085">
        <w:rPr>
          <w:rFonts w:ascii="Times New Roman" w:hAnsi="Times New Roman" w:cs="Times New Roman"/>
          <w:sz w:val="28"/>
          <w:szCs w:val="28"/>
        </w:rPr>
        <w:t xml:space="preserve"> combining hospitals into fewer multi-site organizations as well as hospital-primary care-home/</w:t>
      </w:r>
      <w:r w:rsidR="007D0410" w:rsidRPr="007D0410">
        <w:rPr>
          <w:rFonts w:ascii="Times New Roman" w:hAnsi="Times New Roman" w:cs="Times New Roman"/>
          <w:sz w:val="28"/>
          <w:szCs w:val="28"/>
        </w:rPr>
        <w:t xml:space="preserve">social care services under one administrative roof) and </w:t>
      </w:r>
      <w:r w:rsidR="007D0410" w:rsidRPr="0093278A">
        <w:rPr>
          <w:rFonts w:ascii="Times New Roman" w:hAnsi="Times New Roman" w:cs="Times New Roman"/>
          <w:i/>
          <w:sz w:val="28"/>
          <w:szCs w:val="28"/>
        </w:rPr>
        <w:t>vertically</w:t>
      </w:r>
      <w:r w:rsidR="007D0410" w:rsidRPr="007D0410">
        <w:rPr>
          <w:rFonts w:ascii="Times New Roman" w:hAnsi="Times New Roman" w:cs="Times New Roman"/>
          <w:sz w:val="28"/>
          <w:szCs w:val="28"/>
        </w:rPr>
        <w:t xml:space="preserve"> (</w:t>
      </w:r>
      <w:r w:rsidR="00DE7085">
        <w:rPr>
          <w:rFonts w:ascii="Times New Roman" w:hAnsi="Times New Roman" w:cs="Times New Roman"/>
          <w:sz w:val="28"/>
          <w:szCs w:val="28"/>
        </w:rPr>
        <w:t xml:space="preserve">contracting direct </w:t>
      </w:r>
      <w:r w:rsidR="0093278A">
        <w:rPr>
          <w:rFonts w:ascii="Times New Roman" w:hAnsi="Times New Roman" w:cs="Times New Roman"/>
          <w:sz w:val="28"/>
          <w:szCs w:val="28"/>
        </w:rPr>
        <w:t>governmental supervision into fewer regional administrative bodies)</w:t>
      </w:r>
    </w:p>
    <w:p w:rsidR="00D0657F" w:rsidRDefault="007D0410" w:rsidP="007D0410">
      <w:pPr>
        <w:pStyle w:val="NoSpacing"/>
        <w:rPr>
          <w:rFonts w:ascii="Times New Roman" w:hAnsi="Times New Roman" w:cs="Times New Roman"/>
          <w:sz w:val="28"/>
          <w:szCs w:val="28"/>
        </w:rPr>
      </w:pPr>
      <w:r>
        <w:rPr>
          <w:rFonts w:ascii="Times New Roman" w:hAnsi="Times New Roman" w:cs="Times New Roman"/>
          <w:sz w:val="28"/>
          <w:szCs w:val="28"/>
        </w:rPr>
        <w:t xml:space="preserve">These two main </w:t>
      </w:r>
      <w:r w:rsidR="00137480">
        <w:rPr>
          <w:rFonts w:ascii="Times New Roman" w:hAnsi="Times New Roman" w:cs="Times New Roman"/>
          <w:sz w:val="28"/>
          <w:szCs w:val="28"/>
        </w:rPr>
        <w:t xml:space="preserve">reform </w:t>
      </w:r>
      <w:r>
        <w:rPr>
          <w:rFonts w:ascii="Times New Roman" w:hAnsi="Times New Roman" w:cs="Times New Roman"/>
          <w:sz w:val="28"/>
          <w:szCs w:val="28"/>
        </w:rPr>
        <w:t>threads interact</w:t>
      </w:r>
      <w:r w:rsidR="007F4A2D">
        <w:rPr>
          <w:rFonts w:ascii="Times New Roman" w:hAnsi="Times New Roman" w:cs="Times New Roman"/>
          <w:sz w:val="28"/>
          <w:szCs w:val="28"/>
        </w:rPr>
        <w:t xml:space="preserve"> with each other</w:t>
      </w:r>
      <w:r w:rsidR="0005518B">
        <w:rPr>
          <w:rFonts w:ascii="Times New Roman" w:hAnsi="Times New Roman" w:cs="Times New Roman"/>
          <w:sz w:val="28"/>
          <w:szCs w:val="28"/>
        </w:rPr>
        <w:t xml:space="preserve"> </w:t>
      </w:r>
      <w:r w:rsidR="00972524">
        <w:rPr>
          <w:rFonts w:ascii="Times New Roman" w:hAnsi="Times New Roman" w:cs="Times New Roman"/>
          <w:sz w:val="28"/>
          <w:szCs w:val="28"/>
        </w:rPr>
        <w:t>in a series of inter-relationships that shift depend</w:t>
      </w:r>
      <w:r w:rsidR="00880642">
        <w:rPr>
          <w:rFonts w:ascii="Times New Roman" w:hAnsi="Times New Roman" w:cs="Times New Roman"/>
          <w:sz w:val="28"/>
          <w:szCs w:val="28"/>
        </w:rPr>
        <w:t>ing</w:t>
      </w:r>
      <w:r w:rsidR="00972524">
        <w:rPr>
          <w:rFonts w:ascii="Times New Roman" w:hAnsi="Times New Roman" w:cs="Times New Roman"/>
          <w:sz w:val="28"/>
          <w:szCs w:val="28"/>
        </w:rPr>
        <w:t xml:space="preserve"> upon funding structure</w:t>
      </w:r>
      <w:r w:rsidR="00880642">
        <w:rPr>
          <w:rFonts w:ascii="Times New Roman" w:hAnsi="Times New Roman" w:cs="Times New Roman"/>
          <w:sz w:val="28"/>
          <w:szCs w:val="28"/>
        </w:rPr>
        <w:t xml:space="preserve"> type</w:t>
      </w:r>
      <w:r w:rsidR="00972524">
        <w:rPr>
          <w:rFonts w:ascii="Times New Roman" w:hAnsi="Times New Roman" w:cs="Times New Roman"/>
          <w:sz w:val="28"/>
          <w:szCs w:val="28"/>
        </w:rPr>
        <w:t xml:space="preserve">, </w:t>
      </w:r>
      <w:r w:rsidR="00137480">
        <w:rPr>
          <w:rFonts w:ascii="Times New Roman" w:hAnsi="Times New Roman" w:cs="Times New Roman"/>
          <w:sz w:val="28"/>
          <w:szCs w:val="28"/>
        </w:rPr>
        <w:t xml:space="preserve">social norms and values of </w:t>
      </w:r>
      <w:r w:rsidR="00972524">
        <w:rPr>
          <w:rFonts w:ascii="Times New Roman" w:hAnsi="Times New Roman" w:cs="Times New Roman"/>
          <w:sz w:val="28"/>
          <w:szCs w:val="28"/>
        </w:rPr>
        <w:t xml:space="preserve">national culture, and near-term political objectives </w:t>
      </w:r>
      <w:r w:rsidR="00137480">
        <w:rPr>
          <w:rFonts w:ascii="Times New Roman" w:hAnsi="Times New Roman" w:cs="Times New Roman"/>
          <w:sz w:val="28"/>
          <w:szCs w:val="28"/>
        </w:rPr>
        <w:t xml:space="preserve">of sitting governments </w:t>
      </w:r>
      <w:r w:rsidR="00972524">
        <w:rPr>
          <w:rFonts w:ascii="Times New Roman" w:hAnsi="Times New Roman" w:cs="Times New Roman"/>
          <w:sz w:val="28"/>
          <w:szCs w:val="28"/>
        </w:rPr>
        <w:t>(Saltman, 2015).</w:t>
      </w:r>
      <w:r w:rsidR="00BE1602">
        <w:rPr>
          <w:rFonts w:ascii="Times New Roman" w:hAnsi="Times New Roman" w:cs="Times New Roman"/>
          <w:sz w:val="28"/>
          <w:szCs w:val="28"/>
        </w:rPr>
        <w:t xml:space="preserve"> </w:t>
      </w:r>
      <w:r w:rsidR="007F4A2D">
        <w:rPr>
          <w:rFonts w:ascii="Times New Roman" w:hAnsi="Times New Roman" w:cs="Times New Roman"/>
          <w:sz w:val="28"/>
          <w:szCs w:val="28"/>
        </w:rPr>
        <w:t xml:space="preserve">Most notably, </w:t>
      </w:r>
      <w:r w:rsidR="00D00A7B">
        <w:rPr>
          <w:rFonts w:ascii="Times New Roman" w:hAnsi="Times New Roman" w:cs="Times New Roman"/>
          <w:sz w:val="28"/>
          <w:szCs w:val="28"/>
        </w:rPr>
        <w:t>b</w:t>
      </w:r>
      <w:r w:rsidR="00D0657F">
        <w:rPr>
          <w:rFonts w:ascii="Times New Roman" w:hAnsi="Times New Roman" w:cs="Times New Roman"/>
          <w:sz w:val="28"/>
          <w:szCs w:val="28"/>
        </w:rPr>
        <w:t>o</w:t>
      </w:r>
      <w:r w:rsidR="00D00A7B">
        <w:rPr>
          <w:rFonts w:ascii="Times New Roman" w:hAnsi="Times New Roman" w:cs="Times New Roman"/>
          <w:sz w:val="28"/>
          <w:szCs w:val="28"/>
        </w:rPr>
        <w:t>th</w:t>
      </w:r>
      <w:r w:rsidR="007F4A2D">
        <w:rPr>
          <w:rFonts w:ascii="Times New Roman" w:hAnsi="Times New Roman" w:cs="Times New Roman"/>
          <w:sz w:val="28"/>
          <w:szCs w:val="28"/>
        </w:rPr>
        <w:t xml:space="preserve"> reform</w:t>
      </w:r>
      <w:r w:rsidR="00D00A7B">
        <w:rPr>
          <w:rFonts w:ascii="Times New Roman" w:hAnsi="Times New Roman" w:cs="Times New Roman"/>
          <w:sz w:val="28"/>
          <w:szCs w:val="28"/>
        </w:rPr>
        <w:t xml:space="preserve"> threads have been deployed</w:t>
      </w:r>
      <w:r w:rsidR="00D0657F">
        <w:rPr>
          <w:rFonts w:ascii="Times New Roman" w:hAnsi="Times New Roman" w:cs="Times New Roman"/>
          <w:sz w:val="28"/>
          <w:szCs w:val="28"/>
        </w:rPr>
        <w:t xml:space="preserve"> </w:t>
      </w:r>
      <w:r w:rsidR="00D00A7B">
        <w:rPr>
          <w:rFonts w:ascii="Times New Roman" w:hAnsi="Times New Roman" w:cs="Times New Roman"/>
          <w:sz w:val="28"/>
          <w:szCs w:val="28"/>
        </w:rPr>
        <w:t xml:space="preserve">in a number of country cases </w:t>
      </w:r>
      <w:r w:rsidR="00153C5F">
        <w:rPr>
          <w:rFonts w:ascii="Times New Roman" w:hAnsi="Times New Roman" w:cs="Times New Roman"/>
          <w:sz w:val="28"/>
          <w:szCs w:val="28"/>
        </w:rPr>
        <w:t xml:space="preserve">detailed </w:t>
      </w:r>
      <w:r w:rsidR="00D00A7B">
        <w:rPr>
          <w:rFonts w:ascii="Times New Roman" w:hAnsi="Times New Roman" w:cs="Times New Roman"/>
          <w:sz w:val="28"/>
          <w:szCs w:val="28"/>
        </w:rPr>
        <w:t>above</w:t>
      </w:r>
      <w:r w:rsidR="00EC685A">
        <w:rPr>
          <w:rFonts w:ascii="Times New Roman" w:hAnsi="Times New Roman" w:cs="Times New Roman"/>
          <w:sz w:val="28"/>
          <w:szCs w:val="28"/>
        </w:rPr>
        <w:t xml:space="preserve"> seeking</w:t>
      </w:r>
      <w:r w:rsidR="00D00A7B">
        <w:rPr>
          <w:rFonts w:ascii="Times New Roman" w:hAnsi="Times New Roman" w:cs="Times New Roman"/>
          <w:sz w:val="28"/>
          <w:szCs w:val="28"/>
        </w:rPr>
        <w:t xml:space="preserve"> </w:t>
      </w:r>
      <w:r w:rsidR="00D0657F">
        <w:rPr>
          <w:rFonts w:ascii="Times New Roman" w:hAnsi="Times New Roman" w:cs="Times New Roman"/>
          <w:sz w:val="28"/>
          <w:szCs w:val="28"/>
        </w:rPr>
        <w:t>to improve the efficiency and effectiveness of caring for chronically ill elderly</w:t>
      </w:r>
      <w:r w:rsidR="00D00A7B">
        <w:rPr>
          <w:rFonts w:ascii="Times New Roman" w:hAnsi="Times New Roman" w:cs="Times New Roman"/>
          <w:sz w:val="28"/>
          <w:szCs w:val="28"/>
        </w:rPr>
        <w:t>, and re-structuring the mix and delivery of various types of long</w:t>
      </w:r>
      <w:r w:rsidR="00880642">
        <w:rPr>
          <w:rFonts w:ascii="Times New Roman" w:hAnsi="Times New Roman" w:cs="Times New Roman"/>
          <w:sz w:val="28"/>
          <w:szCs w:val="28"/>
        </w:rPr>
        <w:t>-</w:t>
      </w:r>
      <w:r w:rsidR="00D00A7B">
        <w:rPr>
          <w:rFonts w:ascii="Times New Roman" w:hAnsi="Times New Roman" w:cs="Times New Roman"/>
          <w:sz w:val="28"/>
          <w:szCs w:val="28"/>
        </w:rPr>
        <w:t>term care services</w:t>
      </w:r>
      <w:r w:rsidR="00D0657F">
        <w:rPr>
          <w:rFonts w:ascii="Times New Roman" w:hAnsi="Times New Roman" w:cs="Times New Roman"/>
          <w:sz w:val="28"/>
          <w:szCs w:val="28"/>
        </w:rPr>
        <w:t xml:space="preserve">. </w:t>
      </w:r>
    </w:p>
    <w:p w:rsidR="00217EDE" w:rsidRDefault="00972524" w:rsidP="007D0410">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217EDE" w:rsidRDefault="00217EDE" w:rsidP="007D0410">
      <w:pPr>
        <w:pStyle w:val="NoSpacing"/>
        <w:rPr>
          <w:rFonts w:ascii="Times New Roman" w:hAnsi="Times New Roman" w:cs="Times New Roman"/>
          <w:sz w:val="28"/>
          <w:szCs w:val="28"/>
        </w:rPr>
      </w:pPr>
    </w:p>
    <w:p w:rsidR="0086493A" w:rsidRDefault="00E00FE0" w:rsidP="007D0410">
      <w:pPr>
        <w:pStyle w:val="NoSpacing"/>
        <w:rPr>
          <w:rFonts w:ascii="Times New Roman" w:hAnsi="Times New Roman" w:cs="Times New Roman"/>
          <w:sz w:val="28"/>
          <w:szCs w:val="28"/>
        </w:rPr>
      </w:pPr>
      <w:r>
        <w:rPr>
          <w:rFonts w:ascii="Times New Roman" w:hAnsi="Times New Roman" w:cs="Times New Roman"/>
          <w:sz w:val="28"/>
          <w:szCs w:val="28"/>
        </w:rPr>
        <w:t>One</w:t>
      </w:r>
      <w:r w:rsidR="00953883">
        <w:rPr>
          <w:rFonts w:ascii="Times New Roman" w:hAnsi="Times New Roman" w:cs="Times New Roman"/>
          <w:sz w:val="28"/>
          <w:szCs w:val="28"/>
        </w:rPr>
        <w:t xml:space="preserve"> intriguing</w:t>
      </w:r>
      <w:r w:rsidR="00A47517">
        <w:rPr>
          <w:rFonts w:ascii="Times New Roman" w:hAnsi="Times New Roman" w:cs="Times New Roman"/>
          <w:sz w:val="28"/>
          <w:szCs w:val="28"/>
        </w:rPr>
        <w:t xml:space="preserve"> reform strategy</w:t>
      </w:r>
      <w:r w:rsidR="00353D38">
        <w:rPr>
          <w:rFonts w:ascii="Times New Roman" w:hAnsi="Times New Roman" w:cs="Times New Roman"/>
          <w:sz w:val="28"/>
          <w:szCs w:val="28"/>
        </w:rPr>
        <w:t xml:space="preserve"> </w:t>
      </w:r>
      <w:r w:rsidR="00217EDE">
        <w:rPr>
          <w:rFonts w:ascii="Times New Roman" w:hAnsi="Times New Roman" w:cs="Times New Roman"/>
          <w:sz w:val="28"/>
          <w:szCs w:val="28"/>
        </w:rPr>
        <w:t xml:space="preserve">discussed above combines decentralization of clinical and financial responsibility </w:t>
      </w:r>
      <w:r w:rsidR="00AA1AE1">
        <w:rPr>
          <w:rFonts w:ascii="Times New Roman" w:hAnsi="Times New Roman" w:cs="Times New Roman"/>
          <w:sz w:val="28"/>
          <w:szCs w:val="28"/>
        </w:rPr>
        <w:t xml:space="preserve">for many aspects of care for chronically ill elderly </w:t>
      </w:r>
      <w:r w:rsidR="00217EDE">
        <w:rPr>
          <w:rFonts w:ascii="Times New Roman" w:hAnsi="Times New Roman" w:cs="Times New Roman"/>
          <w:sz w:val="28"/>
          <w:szCs w:val="28"/>
        </w:rPr>
        <w:t xml:space="preserve">to the municipal level of government, </w:t>
      </w:r>
      <w:r w:rsidR="00AA1AE1">
        <w:rPr>
          <w:rFonts w:ascii="Times New Roman" w:hAnsi="Times New Roman" w:cs="Times New Roman"/>
          <w:sz w:val="28"/>
          <w:szCs w:val="28"/>
        </w:rPr>
        <w:t xml:space="preserve">simultaneously </w:t>
      </w:r>
      <w:r w:rsidR="00217EDE">
        <w:rPr>
          <w:rFonts w:ascii="Times New Roman" w:hAnsi="Times New Roman" w:cs="Times New Roman"/>
          <w:sz w:val="28"/>
          <w:szCs w:val="28"/>
        </w:rPr>
        <w:t xml:space="preserve">with </w:t>
      </w:r>
      <w:r w:rsidR="00AA1AE1">
        <w:rPr>
          <w:rFonts w:ascii="Times New Roman" w:hAnsi="Times New Roman" w:cs="Times New Roman"/>
          <w:sz w:val="28"/>
          <w:szCs w:val="28"/>
        </w:rPr>
        <w:t xml:space="preserve">the </w:t>
      </w:r>
      <w:r w:rsidR="00217EDE">
        <w:rPr>
          <w:rFonts w:ascii="Times New Roman" w:hAnsi="Times New Roman" w:cs="Times New Roman"/>
          <w:sz w:val="28"/>
          <w:szCs w:val="28"/>
        </w:rPr>
        <w:t xml:space="preserve">consolidation and centralization of </w:t>
      </w:r>
      <w:r w:rsidR="00AA1AE1">
        <w:rPr>
          <w:rFonts w:ascii="Times New Roman" w:hAnsi="Times New Roman" w:cs="Times New Roman"/>
          <w:sz w:val="28"/>
          <w:szCs w:val="28"/>
        </w:rPr>
        <w:t>public governance to larger units at</w:t>
      </w:r>
      <w:r w:rsidR="00D75DF7">
        <w:rPr>
          <w:rFonts w:ascii="Times New Roman" w:hAnsi="Times New Roman" w:cs="Times New Roman"/>
          <w:sz w:val="28"/>
          <w:szCs w:val="28"/>
        </w:rPr>
        <w:t xml:space="preserve"> </w:t>
      </w:r>
      <w:r w:rsidR="00217EDE">
        <w:rPr>
          <w:rFonts w:ascii="Times New Roman" w:hAnsi="Times New Roman" w:cs="Times New Roman"/>
          <w:sz w:val="28"/>
          <w:szCs w:val="28"/>
        </w:rPr>
        <w:t>the reg</w:t>
      </w:r>
      <w:r w:rsidR="00D75DF7">
        <w:rPr>
          <w:rFonts w:ascii="Times New Roman" w:hAnsi="Times New Roman" w:cs="Times New Roman"/>
          <w:sz w:val="28"/>
          <w:szCs w:val="28"/>
        </w:rPr>
        <w:t>ional level</w:t>
      </w:r>
      <w:r w:rsidR="00217EDE">
        <w:rPr>
          <w:rFonts w:ascii="Times New Roman" w:hAnsi="Times New Roman" w:cs="Times New Roman"/>
          <w:sz w:val="28"/>
          <w:szCs w:val="28"/>
        </w:rPr>
        <w:t xml:space="preserve">. </w:t>
      </w:r>
      <w:r w:rsidR="00FF78B1">
        <w:rPr>
          <w:rFonts w:ascii="Times New Roman" w:hAnsi="Times New Roman" w:cs="Times New Roman"/>
          <w:sz w:val="28"/>
          <w:szCs w:val="28"/>
        </w:rPr>
        <w:t>Thus</w:t>
      </w:r>
      <w:r w:rsidR="00880642">
        <w:rPr>
          <w:rFonts w:ascii="Times New Roman" w:hAnsi="Times New Roman" w:cs="Times New Roman"/>
          <w:sz w:val="28"/>
          <w:szCs w:val="28"/>
        </w:rPr>
        <w:t>,</w:t>
      </w:r>
      <w:r w:rsidR="00FF78B1">
        <w:rPr>
          <w:rFonts w:ascii="Times New Roman" w:hAnsi="Times New Roman" w:cs="Times New Roman"/>
          <w:sz w:val="28"/>
          <w:szCs w:val="28"/>
        </w:rPr>
        <w:t xml:space="preserve"> de</w:t>
      </w:r>
      <w:r w:rsidR="00F3149D">
        <w:rPr>
          <w:rFonts w:ascii="Times New Roman" w:hAnsi="Times New Roman" w:cs="Times New Roman"/>
          <w:sz w:val="28"/>
          <w:szCs w:val="28"/>
        </w:rPr>
        <w:t>cision-making authority is</w:t>
      </w:r>
      <w:r w:rsidR="00FF78B1">
        <w:rPr>
          <w:rFonts w:ascii="Times New Roman" w:hAnsi="Times New Roman" w:cs="Times New Roman"/>
          <w:sz w:val="28"/>
          <w:szCs w:val="28"/>
        </w:rPr>
        <w:t xml:space="preserve"> re-configured in a split manner</w:t>
      </w:r>
      <w:r w:rsidR="007A340F">
        <w:rPr>
          <w:rFonts w:ascii="Times New Roman" w:hAnsi="Times New Roman" w:cs="Times New Roman"/>
          <w:sz w:val="28"/>
          <w:szCs w:val="28"/>
        </w:rPr>
        <w:t>,</w:t>
      </w:r>
      <w:r w:rsidR="00FF78B1">
        <w:rPr>
          <w:rFonts w:ascii="Times New Roman" w:hAnsi="Times New Roman" w:cs="Times New Roman"/>
          <w:sz w:val="28"/>
          <w:szCs w:val="28"/>
        </w:rPr>
        <w:t xml:space="preserve"> simultaneo</w:t>
      </w:r>
      <w:r w:rsidR="007A340F">
        <w:rPr>
          <w:rFonts w:ascii="Times New Roman" w:hAnsi="Times New Roman" w:cs="Times New Roman"/>
          <w:sz w:val="28"/>
          <w:szCs w:val="28"/>
        </w:rPr>
        <w:t>usly decentralizing and centralizing</w:t>
      </w:r>
      <w:r w:rsidR="00217EDE">
        <w:rPr>
          <w:rFonts w:ascii="Times New Roman" w:hAnsi="Times New Roman" w:cs="Times New Roman"/>
          <w:sz w:val="28"/>
          <w:szCs w:val="28"/>
        </w:rPr>
        <w:t xml:space="preserve"> </w:t>
      </w:r>
      <w:r w:rsidR="00FF78B1">
        <w:rPr>
          <w:rFonts w:ascii="Times New Roman" w:hAnsi="Times New Roman" w:cs="Times New Roman"/>
          <w:sz w:val="28"/>
          <w:szCs w:val="28"/>
        </w:rPr>
        <w:t xml:space="preserve">different types of </w:t>
      </w:r>
      <w:r w:rsidR="007A340F">
        <w:rPr>
          <w:rFonts w:ascii="Times New Roman" w:hAnsi="Times New Roman" w:cs="Times New Roman"/>
          <w:sz w:val="28"/>
          <w:szCs w:val="28"/>
        </w:rPr>
        <w:t xml:space="preserve">public sector responsibility and </w:t>
      </w:r>
      <w:r w:rsidR="00FF78B1">
        <w:rPr>
          <w:rFonts w:ascii="Times New Roman" w:hAnsi="Times New Roman" w:cs="Times New Roman"/>
          <w:sz w:val="28"/>
          <w:szCs w:val="28"/>
        </w:rPr>
        <w:t>controls</w:t>
      </w:r>
      <w:r w:rsidR="00A61804">
        <w:rPr>
          <w:rFonts w:ascii="Times New Roman" w:hAnsi="Times New Roman" w:cs="Times New Roman"/>
          <w:sz w:val="28"/>
          <w:szCs w:val="28"/>
        </w:rPr>
        <w:t>. Both Norway and Denmark serve as examples of this multi-directional</w:t>
      </w:r>
      <w:r w:rsidR="0094527E">
        <w:rPr>
          <w:rFonts w:ascii="Times New Roman" w:hAnsi="Times New Roman" w:cs="Times New Roman"/>
          <w:sz w:val="28"/>
          <w:szCs w:val="28"/>
        </w:rPr>
        <w:t xml:space="preserve"> new governance strategy. Somewhat similarly,</w:t>
      </w:r>
      <w:r w:rsidR="007A340F">
        <w:rPr>
          <w:rFonts w:ascii="Times New Roman" w:hAnsi="Times New Roman" w:cs="Times New Roman"/>
          <w:sz w:val="28"/>
          <w:szCs w:val="28"/>
        </w:rPr>
        <w:t xml:space="preserve"> </w:t>
      </w:r>
      <w:r w:rsidR="00EE203D">
        <w:rPr>
          <w:rFonts w:ascii="Times New Roman" w:hAnsi="Times New Roman" w:cs="Times New Roman"/>
          <w:sz w:val="28"/>
          <w:szCs w:val="28"/>
        </w:rPr>
        <w:t>t</w:t>
      </w:r>
      <w:r w:rsidR="007A340F">
        <w:rPr>
          <w:rFonts w:ascii="Times New Roman" w:hAnsi="Times New Roman" w:cs="Times New Roman"/>
          <w:sz w:val="28"/>
          <w:szCs w:val="28"/>
        </w:rPr>
        <w:t>he Netherlands provides a model of a social health insurance system that also has pushed substantial parts of the care and maintenance of chronically ill elderly down to municipal and, below that, to</w:t>
      </w:r>
      <w:r w:rsidR="00AE44AE">
        <w:rPr>
          <w:rFonts w:ascii="Times New Roman" w:hAnsi="Times New Roman" w:cs="Times New Roman"/>
          <w:sz w:val="28"/>
          <w:szCs w:val="28"/>
        </w:rPr>
        <w:t xml:space="preserve"> the</w:t>
      </w:r>
      <w:r w:rsidR="007A340F">
        <w:rPr>
          <w:rFonts w:ascii="Times New Roman" w:hAnsi="Times New Roman" w:cs="Times New Roman"/>
          <w:sz w:val="28"/>
          <w:szCs w:val="28"/>
        </w:rPr>
        <w:t xml:space="preserve"> private sector community and household level.</w:t>
      </w:r>
    </w:p>
    <w:p w:rsidR="0086493A" w:rsidRDefault="0086493A" w:rsidP="007D0410">
      <w:pPr>
        <w:pStyle w:val="NoSpacing"/>
        <w:rPr>
          <w:rFonts w:ascii="Times New Roman" w:hAnsi="Times New Roman" w:cs="Times New Roman"/>
          <w:sz w:val="28"/>
          <w:szCs w:val="28"/>
        </w:rPr>
      </w:pPr>
    </w:p>
    <w:p w:rsidR="007C226D" w:rsidRDefault="00E00FE0" w:rsidP="007D0410">
      <w:pPr>
        <w:pStyle w:val="NoSpacing"/>
        <w:rPr>
          <w:rFonts w:ascii="Times New Roman" w:hAnsi="Times New Roman" w:cs="Times New Roman"/>
          <w:sz w:val="28"/>
          <w:szCs w:val="28"/>
        </w:rPr>
      </w:pPr>
      <w:r>
        <w:rPr>
          <w:rFonts w:ascii="Times New Roman" w:hAnsi="Times New Roman" w:cs="Times New Roman"/>
          <w:sz w:val="28"/>
          <w:szCs w:val="28"/>
        </w:rPr>
        <w:t>As initial responses to the combined fiscal and service delivery pressures that European health systems have faced, these reforms appear well targeted and focused. Particularly on the service consolidation dimension, they appear to hold the potential to stretch available public health care fun</w:t>
      </w:r>
      <w:r w:rsidR="007C226D">
        <w:rPr>
          <w:rFonts w:ascii="Times New Roman" w:hAnsi="Times New Roman" w:cs="Times New Roman"/>
          <w:sz w:val="28"/>
          <w:szCs w:val="28"/>
        </w:rPr>
        <w:t>ds while at the same</w:t>
      </w:r>
      <w:r w:rsidR="002127C5">
        <w:rPr>
          <w:rFonts w:ascii="Times New Roman" w:hAnsi="Times New Roman" w:cs="Times New Roman"/>
          <w:sz w:val="28"/>
          <w:szCs w:val="28"/>
        </w:rPr>
        <w:t xml:space="preserve"> time achieving a more clinically and </w:t>
      </w:r>
      <w:r>
        <w:rPr>
          <w:rFonts w:ascii="Times New Roman" w:hAnsi="Times New Roman" w:cs="Times New Roman"/>
          <w:sz w:val="28"/>
          <w:szCs w:val="28"/>
        </w:rPr>
        <w:t>socially successful set of outcomes. In this regard, they represent what could be viewed as a positive</w:t>
      </w:r>
      <w:r w:rsidR="00FC5364">
        <w:rPr>
          <w:rFonts w:ascii="Times New Roman" w:hAnsi="Times New Roman" w:cs="Times New Roman"/>
          <w:sz w:val="28"/>
          <w:szCs w:val="28"/>
        </w:rPr>
        <w:t xml:space="preserve"> result from the negative funding consequences</w:t>
      </w:r>
      <w:r>
        <w:rPr>
          <w:rFonts w:ascii="Times New Roman" w:hAnsi="Times New Roman" w:cs="Times New Roman"/>
          <w:sz w:val="28"/>
          <w:szCs w:val="28"/>
        </w:rPr>
        <w:t xml:space="preserve"> of t</w:t>
      </w:r>
      <w:r w:rsidR="00FC5364">
        <w:rPr>
          <w:rFonts w:ascii="Times New Roman" w:hAnsi="Times New Roman" w:cs="Times New Roman"/>
          <w:sz w:val="28"/>
          <w:szCs w:val="28"/>
        </w:rPr>
        <w:t>he 2008 financial crisis, in effect forcing</w:t>
      </w:r>
      <w:r>
        <w:rPr>
          <w:rFonts w:ascii="Times New Roman" w:hAnsi="Times New Roman" w:cs="Times New Roman"/>
          <w:sz w:val="28"/>
          <w:szCs w:val="28"/>
        </w:rPr>
        <w:t xml:space="preserve"> policymakers to adopt </w:t>
      </w:r>
      <w:r w:rsidR="007C226D">
        <w:rPr>
          <w:rFonts w:ascii="Times New Roman" w:hAnsi="Times New Roman" w:cs="Times New Roman"/>
          <w:sz w:val="28"/>
          <w:szCs w:val="28"/>
        </w:rPr>
        <w:lastRenderedPageBreak/>
        <w:t>needed structural reforms.</w:t>
      </w:r>
      <w:r>
        <w:rPr>
          <w:rFonts w:ascii="Times New Roman" w:hAnsi="Times New Roman" w:cs="Times New Roman"/>
          <w:sz w:val="28"/>
          <w:szCs w:val="28"/>
        </w:rPr>
        <w:t xml:space="preserve"> </w:t>
      </w:r>
      <w:r w:rsidR="00410AD5">
        <w:rPr>
          <w:rFonts w:ascii="Times New Roman" w:hAnsi="Times New Roman" w:cs="Times New Roman"/>
          <w:sz w:val="28"/>
          <w:szCs w:val="28"/>
        </w:rPr>
        <w:t>S</w:t>
      </w:r>
      <w:r w:rsidR="007C226D">
        <w:rPr>
          <w:rFonts w:ascii="Times New Roman" w:hAnsi="Times New Roman" w:cs="Times New Roman"/>
          <w:sz w:val="28"/>
          <w:szCs w:val="28"/>
        </w:rPr>
        <w:t>ome might argue that this outcome may be more in the category of picking potential winners and losers e</w:t>
      </w:r>
      <w:r w:rsidR="00880642">
        <w:rPr>
          <w:rFonts w:ascii="Times New Roman" w:hAnsi="Times New Roman" w:cs="Times New Roman"/>
          <w:sz w:val="28"/>
          <w:szCs w:val="28"/>
        </w:rPr>
        <w:t>.</w:t>
      </w:r>
      <w:r w:rsidR="007C226D">
        <w:rPr>
          <w:rFonts w:ascii="Times New Roman" w:hAnsi="Times New Roman" w:cs="Times New Roman"/>
          <w:sz w:val="28"/>
          <w:szCs w:val="28"/>
        </w:rPr>
        <w:t>g</w:t>
      </w:r>
      <w:r w:rsidR="00880642">
        <w:rPr>
          <w:rFonts w:ascii="Times New Roman" w:hAnsi="Times New Roman" w:cs="Times New Roman"/>
          <w:sz w:val="28"/>
          <w:szCs w:val="28"/>
        </w:rPr>
        <w:t>.,</w:t>
      </w:r>
      <w:r w:rsidR="007C226D">
        <w:rPr>
          <w:rFonts w:ascii="Times New Roman" w:hAnsi="Times New Roman" w:cs="Times New Roman"/>
          <w:sz w:val="28"/>
          <w:szCs w:val="28"/>
        </w:rPr>
        <w:t xml:space="preserve"> streamlining care and procedures in one sector while other sectors (hospitals in particular) continue to face</w:t>
      </w:r>
      <w:r w:rsidR="00FC5364">
        <w:rPr>
          <w:rFonts w:ascii="Times New Roman" w:hAnsi="Times New Roman" w:cs="Times New Roman"/>
          <w:sz w:val="28"/>
          <w:szCs w:val="28"/>
        </w:rPr>
        <w:t xml:space="preserve"> increasing financial pressures</w:t>
      </w:r>
      <w:r w:rsidR="008F4629">
        <w:rPr>
          <w:rFonts w:ascii="Times New Roman" w:hAnsi="Times New Roman" w:cs="Times New Roman"/>
          <w:sz w:val="28"/>
          <w:szCs w:val="28"/>
        </w:rPr>
        <w:t>. O</w:t>
      </w:r>
      <w:r w:rsidR="00410AD5">
        <w:rPr>
          <w:rFonts w:ascii="Times New Roman" w:hAnsi="Times New Roman" w:cs="Times New Roman"/>
          <w:sz w:val="28"/>
          <w:szCs w:val="28"/>
        </w:rPr>
        <w:t xml:space="preserve">pponents of the restructurings sometimes contend that these changes shrink the welfare state’s footprint and thus damage overall service availability for certain groups of citizens (see especially debates in Ireland and in the Netherlands). </w:t>
      </w:r>
      <w:r w:rsidR="007C226D">
        <w:rPr>
          <w:rFonts w:ascii="Times New Roman" w:hAnsi="Times New Roman" w:cs="Times New Roman"/>
          <w:sz w:val="28"/>
          <w:szCs w:val="28"/>
        </w:rPr>
        <w:t xml:space="preserve"> </w:t>
      </w:r>
    </w:p>
    <w:p w:rsidR="007C226D" w:rsidRDefault="007C226D" w:rsidP="007D0410">
      <w:pPr>
        <w:pStyle w:val="NoSpacing"/>
        <w:rPr>
          <w:rFonts w:ascii="Times New Roman" w:hAnsi="Times New Roman" w:cs="Times New Roman"/>
          <w:sz w:val="28"/>
          <w:szCs w:val="28"/>
        </w:rPr>
      </w:pPr>
    </w:p>
    <w:p w:rsidR="00CB74F0" w:rsidRDefault="00750D7E" w:rsidP="007D0410">
      <w:pPr>
        <w:pStyle w:val="NoSpacing"/>
        <w:rPr>
          <w:rFonts w:ascii="Times New Roman" w:hAnsi="Times New Roman" w:cs="Times New Roman"/>
          <w:sz w:val="28"/>
          <w:szCs w:val="28"/>
        </w:rPr>
      </w:pPr>
      <w:r>
        <w:rPr>
          <w:rFonts w:ascii="Times New Roman" w:hAnsi="Times New Roman" w:cs="Times New Roman"/>
          <w:sz w:val="28"/>
          <w:szCs w:val="28"/>
        </w:rPr>
        <w:t>Viewed analytically, h</w:t>
      </w:r>
      <w:r w:rsidR="0086493A">
        <w:rPr>
          <w:rFonts w:ascii="Times New Roman" w:hAnsi="Times New Roman" w:cs="Times New Roman"/>
          <w:sz w:val="28"/>
          <w:szCs w:val="28"/>
        </w:rPr>
        <w:t xml:space="preserve">ow effective these new reform strategies will be in reducing the fiscal pressure on Northern European health systems, and their overall impact on the quality and safety of </w:t>
      </w:r>
      <w:r w:rsidR="008D56B0">
        <w:rPr>
          <w:rFonts w:ascii="Times New Roman" w:hAnsi="Times New Roman" w:cs="Times New Roman"/>
          <w:sz w:val="28"/>
          <w:szCs w:val="28"/>
        </w:rPr>
        <w:t xml:space="preserve">necessary </w:t>
      </w:r>
      <w:r w:rsidR="008F4629">
        <w:rPr>
          <w:rFonts w:ascii="Times New Roman" w:hAnsi="Times New Roman" w:cs="Times New Roman"/>
          <w:sz w:val="28"/>
          <w:szCs w:val="28"/>
        </w:rPr>
        <w:t>long-term</w:t>
      </w:r>
      <w:r w:rsidR="008D56B0">
        <w:rPr>
          <w:rFonts w:ascii="Times New Roman" w:hAnsi="Times New Roman" w:cs="Times New Roman"/>
          <w:sz w:val="28"/>
          <w:szCs w:val="28"/>
        </w:rPr>
        <w:t xml:space="preserve"> care ser</w:t>
      </w:r>
      <w:r w:rsidR="00584CFC">
        <w:rPr>
          <w:rFonts w:ascii="Times New Roman" w:hAnsi="Times New Roman" w:cs="Times New Roman"/>
          <w:sz w:val="28"/>
          <w:szCs w:val="28"/>
        </w:rPr>
        <w:t>vices, will need to be carefully considered</w:t>
      </w:r>
      <w:r w:rsidR="000972D0">
        <w:rPr>
          <w:rFonts w:ascii="Times New Roman" w:hAnsi="Times New Roman" w:cs="Times New Roman"/>
          <w:sz w:val="28"/>
          <w:szCs w:val="28"/>
        </w:rPr>
        <w:t xml:space="preserve"> once comprehensive evaluations of these reforms become available. In particular, h</w:t>
      </w:r>
      <w:r w:rsidR="00272F7B">
        <w:rPr>
          <w:rFonts w:ascii="Times New Roman" w:hAnsi="Times New Roman" w:cs="Times New Roman"/>
          <w:sz w:val="28"/>
          <w:szCs w:val="28"/>
        </w:rPr>
        <w:t>ow much of the needed new funding to meet technological, informational, and staffing needs particularly in hospitals</w:t>
      </w:r>
      <w:r w:rsidR="008D56B0">
        <w:rPr>
          <w:rFonts w:ascii="Times New Roman" w:hAnsi="Times New Roman" w:cs="Times New Roman"/>
          <w:sz w:val="28"/>
          <w:szCs w:val="28"/>
        </w:rPr>
        <w:t xml:space="preserve"> </w:t>
      </w:r>
      <w:r w:rsidR="00584CFC">
        <w:rPr>
          <w:rFonts w:ascii="Times New Roman" w:hAnsi="Times New Roman" w:cs="Times New Roman"/>
          <w:sz w:val="28"/>
          <w:szCs w:val="28"/>
        </w:rPr>
        <w:t>will</w:t>
      </w:r>
      <w:r w:rsidR="00272F7B">
        <w:rPr>
          <w:rFonts w:ascii="Times New Roman" w:hAnsi="Times New Roman" w:cs="Times New Roman"/>
          <w:sz w:val="28"/>
          <w:szCs w:val="28"/>
        </w:rPr>
        <w:t xml:space="preserve"> be freed up by more effective extramural services for the chronically ill elderly has not </w:t>
      </w:r>
      <w:r w:rsidR="00584CFC">
        <w:rPr>
          <w:rFonts w:ascii="Times New Roman" w:hAnsi="Times New Roman" w:cs="Times New Roman"/>
          <w:sz w:val="28"/>
          <w:szCs w:val="28"/>
        </w:rPr>
        <w:t xml:space="preserve">yet </w:t>
      </w:r>
      <w:r w:rsidR="000C6E50">
        <w:rPr>
          <w:rFonts w:ascii="Times New Roman" w:hAnsi="Times New Roman" w:cs="Times New Roman"/>
          <w:sz w:val="28"/>
          <w:szCs w:val="28"/>
        </w:rPr>
        <w:t>been documented</w:t>
      </w:r>
      <w:r w:rsidR="00272F7B">
        <w:rPr>
          <w:rFonts w:ascii="Times New Roman" w:hAnsi="Times New Roman" w:cs="Times New Roman"/>
          <w:sz w:val="28"/>
          <w:szCs w:val="28"/>
        </w:rPr>
        <w:t xml:space="preserve">. </w:t>
      </w:r>
    </w:p>
    <w:p w:rsidR="000D660D" w:rsidRDefault="000D660D" w:rsidP="007D0410">
      <w:pPr>
        <w:pStyle w:val="NoSpacing"/>
        <w:rPr>
          <w:rFonts w:ascii="Times New Roman" w:hAnsi="Times New Roman" w:cs="Times New Roman"/>
          <w:sz w:val="28"/>
          <w:szCs w:val="28"/>
        </w:rPr>
      </w:pPr>
    </w:p>
    <w:p w:rsidR="00782F4F" w:rsidRDefault="00CB74F0" w:rsidP="007D0410">
      <w:pPr>
        <w:pStyle w:val="NoSpacing"/>
        <w:rPr>
          <w:rFonts w:ascii="Times New Roman" w:hAnsi="Times New Roman" w:cs="Times New Roman"/>
          <w:sz w:val="28"/>
          <w:szCs w:val="28"/>
        </w:rPr>
      </w:pPr>
      <w:r>
        <w:rPr>
          <w:rFonts w:ascii="Times New Roman" w:hAnsi="Times New Roman" w:cs="Times New Roman"/>
          <w:sz w:val="28"/>
          <w:szCs w:val="28"/>
        </w:rPr>
        <w:t>Past experience highlights the difficulties in achieving real savings. The literature on decentralization as against centralization (or re-centralization) strongly suggests that the advantages of economic (competition between local units) and democratic (closer to the citizen) decentralization are often in a rough balance with each of these strategies’ disadvantages (e</w:t>
      </w:r>
      <w:r w:rsidR="00430B9D">
        <w:rPr>
          <w:rFonts w:ascii="Times New Roman" w:hAnsi="Times New Roman" w:cs="Times New Roman"/>
          <w:sz w:val="28"/>
          <w:szCs w:val="28"/>
        </w:rPr>
        <w:t>.</w:t>
      </w:r>
      <w:r>
        <w:rPr>
          <w:rFonts w:ascii="Times New Roman" w:hAnsi="Times New Roman" w:cs="Times New Roman"/>
          <w:sz w:val="28"/>
          <w:szCs w:val="28"/>
        </w:rPr>
        <w:t>g</w:t>
      </w:r>
      <w:r w:rsidR="00430B9D">
        <w:rPr>
          <w:rFonts w:ascii="Times New Roman" w:hAnsi="Times New Roman" w:cs="Times New Roman"/>
          <w:sz w:val="28"/>
          <w:szCs w:val="28"/>
        </w:rPr>
        <w:t>.,</w:t>
      </w:r>
      <w:r>
        <w:rPr>
          <w:rFonts w:ascii="Times New Roman" w:hAnsi="Times New Roman" w:cs="Times New Roman"/>
          <w:sz w:val="28"/>
          <w:szCs w:val="28"/>
        </w:rPr>
        <w:t xml:space="preserve"> economic duplication and, politically, unequal outcomes across districts)</w:t>
      </w:r>
      <w:r w:rsidR="002142B8">
        <w:rPr>
          <w:rFonts w:ascii="Times New Roman" w:hAnsi="Times New Roman" w:cs="Times New Roman"/>
          <w:sz w:val="28"/>
          <w:szCs w:val="28"/>
        </w:rPr>
        <w:t xml:space="preserve"> (Saltman et al, 2007)</w:t>
      </w:r>
      <w:r>
        <w:rPr>
          <w:rFonts w:ascii="Times New Roman" w:hAnsi="Times New Roman" w:cs="Times New Roman"/>
          <w:sz w:val="28"/>
          <w:szCs w:val="28"/>
        </w:rPr>
        <w:t>. Similarly, p</w:t>
      </w:r>
      <w:r w:rsidR="000972D0">
        <w:rPr>
          <w:rFonts w:ascii="Times New Roman" w:hAnsi="Times New Roman" w:cs="Times New Roman"/>
          <w:sz w:val="28"/>
          <w:szCs w:val="28"/>
        </w:rPr>
        <w:t>revious efforts to combine or consolidate publicly operated providers – especially hospitals – have suggested that the fiscal advantage may be small given fixed costs tied to public sector employment guarantees, resistant employee unions, and political tendencies to not close (and reduce employment) but rather re-purpose surplus public buildings for other equally publicly funded purposes (day facilities, walk-in clinics, e</w:t>
      </w:r>
      <w:r w:rsidR="00B26050">
        <w:rPr>
          <w:rFonts w:ascii="Times New Roman" w:hAnsi="Times New Roman" w:cs="Times New Roman"/>
          <w:sz w:val="28"/>
          <w:szCs w:val="28"/>
        </w:rPr>
        <w:t>tc</w:t>
      </w:r>
      <w:r w:rsidR="00A42A3D">
        <w:rPr>
          <w:rFonts w:ascii="Times New Roman" w:hAnsi="Times New Roman" w:cs="Times New Roman"/>
          <w:sz w:val="28"/>
          <w:szCs w:val="28"/>
        </w:rPr>
        <w:t>.</w:t>
      </w:r>
      <w:r w:rsidR="00B26050">
        <w:rPr>
          <w:rFonts w:ascii="Times New Roman" w:hAnsi="Times New Roman" w:cs="Times New Roman"/>
          <w:sz w:val="28"/>
          <w:szCs w:val="28"/>
        </w:rPr>
        <w:t>) (Saltman, 2008).</w:t>
      </w:r>
      <w:r w:rsidR="000972D0">
        <w:rPr>
          <w:rFonts w:ascii="Times New Roman" w:hAnsi="Times New Roman" w:cs="Times New Roman"/>
          <w:sz w:val="28"/>
          <w:szCs w:val="28"/>
        </w:rPr>
        <w:t xml:space="preserve"> </w:t>
      </w:r>
      <w:r w:rsidR="009E374C">
        <w:rPr>
          <w:rFonts w:ascii="Times New Roman" w:hAnsi="Times New Roman" w:cs="Times New Roman"/>
          <w:sz w:val="28"/>
          <w:szCs w:val="28"/>
        </w:rPr>
        <w:t>Further</w:t>
      </w:r>
      <w:r w:rsidR="007B1B0A">
        <w:rPr>
          <w:rFonts w:ascii="Times New Roman" w:hAnsi="Times New Roman" w:cs="Times New Roman"/>
          <w:sz w:val="28"/>
          <w:szCs w:val="28"/>
        </w:rPr>
        <w:t>, past experience in countries like Sweden has</w:t>
      </w:r>
      <w:r w:rsidR="00390C7A">
        <w:rPr>
          <w:rFonts w:ascii="Times New Roman" w:hAnsi="Times New Roman" w:cs="Times New Roman"/>
          <w:sz w:val="28"/>
          <w:szCs w:val="28"/>
        </w:rPr>
        <w:t xml:space="preserve"> demonstrated that </w:t>
      </w:r>
      <w:r w:rsidR="007B1B0A">
        <w:rPr>
          <w:rFonts w:ascii="Times New Roman" w:hAnsi="Times New Roman" w:cs="Times New Roman"/>
          <w:sz w:val="28"/>
          <w:szCs w:val="28"/>
        </w:rPr>
        <w:t>additional public costs are incurred to adequately fund support programs used to assist and sustain informal caregiving in the home</w:t>
      </w:r>
      <w:r w:rsidR="00AE44AE">
        <w:rPr>
          <w:rFonts w:ascii="Times New Roman" w:hAnsi="Times New Roman" w:cs="Times New Roman"/>
          <w:sz w:val="28"/>
          <w:szCs w:val="28"/>
        </w:rPr>
        <w:t>,</w:t>
      </w:r>
      <w:r w:rsidR="007B1B0A">
        <w:rPr>
          <w:rFonts w:ascii="Times New Roman" w:hAnsi="Times New Roman" w:cs="Times New Roman"/>
          <w:sz w:val="28"/>
          <w:szCs w:val="28"/>
        </w:rPr>
        <w:t xml:space="preserve"> e</w:t>
      </w:r>
      <w:r w:rsidR="00A42A3D">
        <w:rPr>
          <w:rFonts w:ascii="Times New Roman" w:hAnsi="Times New Roman" w:cs="Times New Roman"/>
          <w:sz w:val="28"/>
          <w:szCs w:val="28"/>
        </w:rPr>
        <w:t>.</w:t>
      </w:r>
      <w:r w:rsidR="007B1B0A">
        <w:rPr>
          <w:rFonts w:ascii="Times New Roman" w:hAnsi="Times New Roman" w:cs="Times New Roman"/>
          <w:sz w:val="28"/>
          <w:szCs w:val="28"/>
        </w:rPr>
        <w:t>g</w:t>
      </w:r>
      <w:r w:rsidR="00A42A3D">
        <w:rPr>
          <w:rFonts w:ascii="Times New Roman" w:hAnsi="Times New Roman" w:cs="Times New Roman"/>
          <w:sz w:val="28"/>
          <w:szCs w:val="28"/>
        </w:rPr>
        <w:t>.,</w:t>
      </w:r>
      <w:r w:rsidR="007B1B0A">
        <w:rPr>
          <w:rFonts w:ascii="Times New Roman" w:hAnsi="Times New Roman" w:cs="Times New Roman"/>
          <w:sz w:val="28"/>
          <w:szCs w:val="28"/>
        </w:rPr>
        <w:t xml:space="preserve"> telephone hotline</w:t>
      </w:r>
      <w:r w:rsidR="00A42A3D">
        <w:rPr>
          <w:rFonts w:ascii="Times New Roman" w:hAnsi="Times New Roman" w:cs="Times New Roman"/>
          <w:sz w:val="28"/>
          <w:szCs w:val="28"/>
        </w:rPr>
        <w:t>s</w:t>
      </w:r>
      <w:r w:rsidR="007B1B0A">
        <w:rPr>
          <w:rFonts w:ascii="Times New Roman" w:hAnsi="Times New Roman" w:cs="Times New Roman"/>
          <w:sz w:val="28"/>
          <w:szCs w:val="28"/>
        </w:rPr>
        <w:t xml:space="preserve">, respite care, day-care programs, </w:t>
      </w:r>
      <w:r w:rsidR="00A42A3D">
        <w:rPr>
          <w:rFonts w:ascii="Times New Roman" w:hAnsi="Times New Roman" w:cs="Times New Roman"/>
          <w:sz w:val="28"/>
          <w:szCs w:val="28"/>
        </w:rPr>
        <w:t>and</w:t>
      </w:r>
      <w:r w:rsidR="007B1B0A">
        <w:rPr>
          <w:rFonts w:ascii="Times New Roman" w:hAnsi="Times New Roman" w:cs="Times New Roman"/>
          <w:sz w:val="28"/>
          <w:szCs w:val="28"/>
        </w:rPr>
        <w:t xml:space="preserve"> pension points toward state pensions for family members who provide home delivered care (Johansson, 1997; Saltman et al, 2006). </w:t>
      </w:r>
    </w:p>
    <w:p w:rsidR="00782F4F" w:rsidRDefault="00782F4F" w:rsidP="007D0410">
      <w:pPr>
        <w:pStyle w:val="NoSpacing"/>
        <w:rPr>
          <w:rFonts w:ascii="Times New Roman" w:hAnsi="Times New Roman" w:cs="Times New Roman"/>
          <w:sz w:val="28"/>
          <w:szCs w:val="28"/>
        </w:rPr>
      </w:pPr>
    </w:p>
    <w:p w:rsidR="004A0770" w:rsidRDefault="00782F4F" w:rsidP="007D0410">
      <w:pPr>
        <w:pStyle w:val="NoSpacing"/>
        <w:rPr>
          <w:rFonts w:ascii="Times New Roman" w:hAnsi="Times New Roman" w:cs="Times New Roman"/>
          <w:sz w:val="28"/>
          <w:szCs w:val="28"/>
        </w:rPr>
      </w:pPr>
      <w:r>
        <w:rPr>
          <w:rFonts w:ascii="Times New Roman" w:hAnsi="Times New Roman" w:cs="Times New Roman"/>
          <w:sz w:val="28"/>
          <w:szCs w:val="28"/>
        </w:rPr>
        <w:t>There are also concerns about</w:t>
      </w:r>
      <w:r w:rsidR="008D56B0">
        <w:rPr>
          <w:rFonts w:ascii="Times New Roman" w:hAnsi="Times New Roman" w:cs="Times New Roman"/>
          <w:sz w:val="28"/>
          <w:szCs w:val="28"/>
        </w:rPr>
        <w:t xml:space="preserve"> pushing more residential elderly care services back to the community and the family</w:t>
      </w:r>
      <w:r>
        <w:rPr>
          <w:rFonts w:ascii="Times New Roman" w:hAnsi="Times New Roman" w:cs="Times New Roman"/>
          <w:sz w:val="28"/>
          <w:szCs w:val="28"/>
        </w:rPr>
        <w:t>. One key question is whether this more traditional family-based care framework</w:t>
      </w:r>
      <w:r w:rsidR="008D56B0">
        <w:rPr>
          <w:rFonts w:ascii="Times New Roman" w:hAnsi="Times New Roman" w:cs="Times New Roman"/>
          <w:sz w:val="28"/>
          <w:szCs w:val="28"/>
        </w:rPr>
        <w:t xml:space="preserve"> can be made to fit with current work, housing, and social patterns</w:t>
      </w:r>
      <w:r w:rsidR="00390C7A">
        <w:rPr>
          <w:rFonts w:ascii="Times New Roman" w:hAnsi="Times New Roman" w:cs="Times New Roman"/>
          <w:sz w:val="28"/>
          <w:szCs w:val="28"/>
        </w:rPr>
        <w:t xml:space="preserve"> (Boerma et al, 2012), suggesting that the success of this</w:t>
      </w:r>
      <w:r w:rsidR="00272F7B">
        <w:rPr>
          <w:rFonts w:ascii="Times New Roman" w:hAnsi="Times New Roman" w:cs="Times New Roman"/>
          <w:sz w:val="28"/>
          <w:szCs w:val="28"/>
        </w:rPr>
        <w:t xml:space="preserve"> strategy may well</w:t>
      </w:r>
      <w:r w:rsidR="008D56B0">
        <w:rPr>
          <w:rFonts w:ascii="Times New Roman" w:hAnsi="Times New Roman" w:cs="Times New Roman"/>
          <w:sz w:val="28"/>
          <w:szCs w:val="28"/>
        </w:rPr>
        <w:t xml:space="preserve"> vary depending upon the </w:t>
      </w:r>
      <w:r w:rsidR="00DC334B">
        <w:rPr>
          <w:rFonts w:ascii="Times New Roman" w:hAnsi="Times New Roman" w:cs="Times New Roman"/>
          <w:sz w:val="28"/>
          <w:szCs w:val="28"/>
        </w:rPr>
        <w:t xml:space="preserve">individual country </w:t>
      </w:r>
      <w:r w:rsidR="00390C7A">
        <w:rPr>
          <w:rFonts w:ascii="Times New Roman" w:hAnsi="Times New Roman" w:cs="Times New Roman"/>
          <w:sz w:val="28"/>
          <w:szCs w:val="28"/>
        </w:rPr>
        <w:t>culture and context</w:t>
      </w:r>
      <w:r w:rsidR="00DC334B">
        <w:rPr>
          <w:rFonts w:ascii="Times New Roman" w:hAnsi="Times New Roman" w:cs="Times New Roman"/>
          <w:sz w:val="28"/>
          <w:szCs w:val="28"/>
        </w:rPr>
        <w:t>.</w:t>
      </w:r>
      <w:r w:rsidR="008D56B0">
        <w:rPr>
          <w:rFonts w:ascii="Times New Roman" w:hAnsi="Times New Roman" w:cs="Times New Roman"/>
          <w:sz w:val="28"/>
          <w:szCs w:val="28"/>
        </w:rPr>
        <w:t xml:space="preserve"> </w:t>
      </w:r>
      <w:r w:rsidR="00CB7702">
        <w:rPr>
          <w:rFonts w:ascii="Times New Roman" w:hAnsi="Times New Roman" w:cs="Times New Roman"/>
          <w:sz w:val="28"/>
          <w:szCs w:val="28"/>
        </w:rPr>
        <w:t xml:space="preserve">A </w:t>
      </w:r>
      <w:r w:rsidR="00CB7702">
        <w:rPr>
          <w:rFonts w:ascii="Times New Roman" w:hAnsi="Times New Roman" w:cs="Times New Roman"/>
          <w:sz w:val="28"/>
          <w:szCs w:val="28"/>
        </w:rPr>
        <w:lastRenderedPageBreak/>
        <w:t xml:space="preserve">second concern can be the potential equity-related issues in obligating families to take a larger role in elderly care delivery, especially with regard to forgone income. </w:t>
      </w:r>
    </w:p>
    <w:p w:rsidR="00750D7E" w:rsidRDefault="00750D7E" w:rsidP="007D0410">
      <w:pPr>
        <w:pStyle w:val="NoSpacing"/>
        <w:rPr>
          <w:rFonts w:ascii="Times New Roman" w:hAnsi="Times New Roman" w:cs="Times New Roman"/>
          <w:sz w:val="28"/>
          <w:szCs w:val="28"/>
        </w:rPr>
      </w:pPr>
    </w:p>
    <w:p w:rsidR="00D42EE0" w:rsidRDefault="004E0255" w:rsidP="007D0410">
      <w:pPr>
        <w:pStyle w:val="NoSpacing"/>
        <w:rPr>
          <w:rFonts w:ascii="Times New Roman" w:hAnsi="Times New Roman" w:cs="Times New Roman"/>
          <w:sz w:val="28"/>
          <w:szCs w:val="28"/>
        </w:rPr>
      </w:pPr>
      <w:r>
        <w:rPr>
          <w:rFonts w:ascii="Times New Roman" w:hAnsi="Times New Roman" w:cs="Times New Roman"/>
          <w:sz w:val="28"/>
          <w:szCs w:val="28"/>
        </w:rPr>
        <w:t>T</w:t>
      </w:r>
      <w:r w:rsidR="005C26B0" w:rsidRPr="005C26B0">
        <w:rPr>
          <w:rFonts w:ascii="Times New Roman" w:hAnsi="Times New Roman" w:cs="Times New Roman"/>
          <w:sz w:val="28"/>
          <w:szCs w:val="28"/>
        </w:rPr>
        <w:t xml:space="preserve">hese counterbalancing factors </w:t>
      </w:r>
      <w:r w:rsidR="005C26B0">
        <w:rPr>
          <w:rFonts w:ascii="Times New Roman" w:hAnsi="Times New Roman" w:cs="Times New Roman"/>
          <w:sz w:val="28"/>
          <w:szCs w:val="28"/>
        </w:rPr>
        <w:t>influence the degree to which s</w:t>
      </w:r>
      <w:r w:rsidR="00CE60E7">
        <w:rPr>
          <w:rFonts w:ascii="Times New Roman" w:hAnsi="Times New Roman" w:cs="Times New Roman"/>
          <w:sz w:val="28"/>
          <w:szCs w:val="28"/>
        </w:rPr>
        <w:t xml:space="preserve">imilar efforts in </w:t>
      </w:r>
      <w:r w:rsidR="005C26B0">
        <w:rPr>
          <w:rFonts w:ascii="Times New Roman" w:hAnsi="Times New Roman" w:cs="Times New Roman"/>
          <w:sz w:val="28"/>
          <w:szCs w:val="28"/>
        </w:rPr>
        <w:t>Canadian provincial health systems could be successful. Consolidating hospitals and integrating hospital</w:t>
      </w:r>
      <w:r w:rsidR="005F4A59">
        <w:rPr>
          <w:rFonts w:ascii="Times New Roman" w:hAnsi="Times New Roman" w:cs="Times New Roman"/>
          <w:sz w:val="28"/>
          <w:szCs w:val="28"/>
        </w:rPr>
        <w:t xml:space="preserve">, </w:t>
      </w:r>
      <w:r w:rsidR="005C26B0">
        <w:rPr>
          <w:rFonts w:ascii="Times New Roman" w:hAnsi="Times New Roman" w:cs="Times New Roman"/>
          <w:sz w:val="28"/>
          <w:szCs w:val="28"/>
        </w:rPr>
        <w:t>primary</w:t>
      </w:r>
      <w:r w:rsidR="005F4A59">
        <w:rPr>
          <w:rFonts w:ascii="Times New Roman" w:hAnsi="Times New Roman" w:cs="Times New Roman"/>
          <w:sz w:val="28"/>
          <w:szCs w:val="28"/>
        </w:rPr>
        <w:t>, and</w:t>
      </w:r>
      <w:r w:rsidR="005C26B0">
        <w:rPr>
          <w:rFonts w:ascii="Times New Roman" w:hAnsi="Times New Roman" w:cs="Times New Roman"/>
          <w:sz w:val="28"/>
          <w:szCs w:val="28"/>
        </w:rPr>
        <w:t xml:space="preserve"> social care arrangements continue to be discussed and pursued</w:t>
      </w:r>
      <w:r w:rsidR="005F4A59">
        <w:rPr>
          <w:rFonts w:ascii="Times New Roman" w:hAnsi="Times New Roman" w:cs="Times New Roman"/>
          <w:sz w:val="28"/>
          <w:szCs w:val="28"/>
        </w:rPr>
        <w:t>.</w:t>
      </w:r>
      <w:r w:rsidR="005C26B0">
        <w:rPr>
          <w:rFonts w:ascii="Times New Roman" w:hAnsi="Times New Roman" w:cs="Times New Roman"/>
          <w:sz w:val="28"/>
          <w:szCs w:val="28"/>
        </w:rPr>
        <w:t xml:space="preserve"> </w:t>
      </w:r>
      <w:r w:rsidR="005F4A59">
        <w:rPr>
          <w:rFonts w:ascii="Times New Roman" w:hAnsi="Times New Roman" w:cs="Times New Roman"/>
          <w:sz w:val="28"/>
          <w:szCs w:val="28"/>
        </w:rPr>
        <w:t>H</w:t>
      </w:r>
      <w:r w:rsidR="005C26B0">
        <w:rPr>
          <w:rFonts w:ascii="Times New Roman" w:hAnsi="Times New Roman" w:cs="Times New Roman"/>
          <w:sz w:val="28"/>
          <w:szCs w:val="28"/>
        </w:rPr>
        <w:t>owever</w:t>
      </w:r>
      <w:r w:rsidR="005F4A59">
        <w:rPr>
          <w:rFonts w:ascii="Times New Roman" w:hAnsi="Times New Roman" w:cs="Times New Roman"/>
          <w:sz w:val="28"/>
          <w:szCs w:val="28"/>
        </w:rPr>
        <w:t>,</w:t>
      </w:r>
      <w:r w:rsidR="005C26B0">
        <w:rPr>
          <w:rFonts w:ascii="Times New Roman" w:hAnsi="Times New Roman" w:cs="Times New Roman"/>
          <w:sz w:val="28"/>
          <w:szCs w:val="28"/>
        </w:rPr>
        <w:t xml:space="preserve"> these debates take on a </w:t>
      </w:r>
      <w:r>
        <w:rPr>
          <w:rFonts w:ascii="Times New Roman" w:hAnsi="Times New Roman" w:cs="Times New Roman"/>
          <w:sz w:val="28"/>
          <w:szCs w:val="28"/>
        </w:rPr>
        <w:t>different character in the much larger</w:t>
      </w:r>
      <w:r w:rsidR="005C26B0">
        <w:rPr>
          <w:rFonts w:ascii="Times New Roman" w:hAnsi="Times New Roman" w:cs="Times New Roman"/>
          <w:sz w:val="28"/>
          <w:szCs w:val="28"/>
        </w:rPr>
        <w:t xml:space="preserve"> geography of</w:t>
      </w:r>
      <w:r>
        <w:rPr>
          <w:rFonts w:ascii="Times New Roman" w:hAnsi="Times New Roman" w:cs="Times New Roman"/>
          <w:sz w:val="28"/>
          <w:szCs w:val="28"/>
        </w:rPr>
        <w:t>, say,</w:t>
      </w:r>
      <w:r w:rsidR="005C26B0">
        <w:rPr>
          <w:rFonts w:ascii="Times New Roman" w:hAnsi="Times New Roman" w:cs="Times New Roman"/>
          <w:sz w:val="28"/>
          <w:szCs w:val="28"/>
        </w:rPr>
        <w:t xml:space="preserve"> the western Canadian </w:t>
      </w:r>
      <w:r w:rsidR="00177987">
        <w:rPr>
          <w:rFonts w:ascii="Times New Roman" w:hAnsi="Times New Roman" w:cs="Times New Roman"/>
          <w:sz w:val="28"/>
          <w:szCs w:val="28"/>
        </w:rPr>
        <w:t xml:space="preserve">prairie </w:t>
      </w:r>
      <w:r>
        <w:rPr>
          <w:rFonts w:ascii="Times New Roman" w:hAnsi="Times New Roman" w:cs="Times New Roman"/>
          <w:sz w:val="28"/>
          <w:szCs w:val="28"/>
        </w:rPr>
        <w:t>provinces from settlement patterns</w:t>
      </w:r>
      <w:r w:rsidR="005C26B0">
        <w:rPr>
          <w:rFonts w:ascii="Times New Roman" w:hAnsi="Times New Roman" w:cs="Times New Roman"/>
          <w:sz w:val="28"/>
          <w:szCs w:val="28"/>
        </w:rPr>
        <w:t xml:space="preserve"> in much physically smaller Northern European countries. </w:t>
      </w:r>
      <w:r w:rsidR="00177987">
        <w:rPr>
          <w:rFonts w:ascii="Times New Roman" w:hAnsi="Times New Roman" w:cs="Times New Roman"/>
          <w:sz w:val="28"/>
          <w:szCs w:val="28"/>
        </w:rPr>
        <w:t>Similarly, t</w:t>
      </w:r>
      <w:r w:rsidR="005C26B0">
        <w:rPr>
          <w:rFonts w:ascii="Times New Roman" w:hAnsi="Times New Roman" w:cs="Times New Roman"/>
          <w:sz w:val="28"/>
          <w:szCs w:val="28"/>
        </w:rPr>
        <w:t>he continuing debate over centralizing (Alberta and Saskatchewan) or decentralizing (Quebec) provincial health administrations suggests</w:t>
      </w:r>
      <w:r w:rsidR="00177987">
        <w:rPr>
          <w:rFonts w:ascii="Times New Roman" w:hAnsi="Times New Roman" w:cs="Times New Roman"/>
          <w:sz w:val="28"/>
          <w:szCs w:val="28"/>
        </w:rPr>
        <w:t xml:space="preserve"> the </w:t>
      </w:r>
      <w:r w:rsidR="0097251C">
        <w:rPr>
          <w:rFonts w:ascii="Times New Roman" w:hAnsi="Times New Roman" w:cs="Times New Roman"/>
          <w:sz w:val="28"/>
          <w:szCs w:val="28"/>
        </w:rPr>
        <w:t xml:space="preserve">institutional </w:t>
      </w:r>
      <w:r w:rsidR="00177987">
        <w:rPr>
          <w:rFonts w:ascii="Times New Roman" w:hAnsi="Times New Roman" w:cs="Times New Roman"/>
          <w:sz w:val="28"/>
          <w:szCs w:val="28"/>
        </w:rPr>
        <w:t xml:space="preserve">path to greater fiscal efficiency </w:t>
      </w:r>
      <w:r w:rsidR="0097251C">
        <w:rPr>
          <w:rFonts w:ascii="Times New Roman" w:hAnsi="Times New Roman" w:cs="Times New Roman"/>
          <w:sz w:val="28"/>
          <w:szCs w:val="28"/>
        </w:rPr>
        <w:t xml:space="preserve">in Canadian health care </w:t>
      </w:r>
      <w:r w:rsidR="00177987">
        <w:rPr>
          <w:rFonts w:ascii="Times New Roman" w:hAnsi="Times New Roman" w:cs="Times New Roman"/>
          <w:sz w:val="28"/>
          <w:szCs w:val="28"/>
        </w:rPr>
        <w:t>is not ye</w:t>
      </w:r>
      <w:r w:rsidR="00D42EE0">
        <w:rPr>
          <w:rFonts w:ascii="Times New Roman" w:hAnsi="Times New Roman" w:cs="Times New Roman"/>
          <w:sz w:val="28"/>
          <w:szCs w:val="28"/>
        </w:rPr>
        <w:t xml:space="preserve">t clear. </w:t>
      </w:r>
    </w:p>
    <w:p w:rsidR="00D42EE0" w:rsidRDefault="00D42EE0" w:rsidP="007D0410">
      <w:pPr>
        <w:pStyle w:val="NoSpacing"/>
        <w:rPr>
          <w:rFonts w:ascii="Times New Roman" w:hAnsi="Times New Roman" w:cs="Times New Roman"/>
          <w:sz w:val="28"/>
          <w:szCs w:val="28"/>
        </w:rPr>
      </w:pPr>
    </w:p>
    <w:p w:rsidR="00B26222" w:rsidRPr="005C26B0" w:rsidRDefault="00D42EE0" w:rsidP="007D0410">
      <w:pPr>
        <w:pStyle w:val="NoSpacing"/>
        <w:rPr>
          <w:rFonts w:ascii="Times New Roman" w:hAnsi="Times New Roman" w:cs="Times New Roman"/>
          <w:sz w:val="28"/>
          <w:szCs w:val="28"/>
        </w:rPr>
      </w:pPr>
      <w:r>
        <w:rPr>
          <w:rFonts w:ascii="Times New Roman" w:hAnsi="Times New Roman" w:cs="Times New Roman"/>
          <w:sz w:val="28"/>
          <w:szCs w:val="28"/>
        </w:rPr>
        <w:t>However</w:t>
      </w:r>
      <w:r w:rsidR="005F4A59">
        <w:rPr>
          <w:rFonts w:ascii="Times New Roman" w:hAnsi="Times New Roman" w:cs="Times New Roman"/>
          <w:sz w:val="28"/>
          <w:szCs w:val="28"/>
        </w:rPr>
        <w:t>,</w:t>
      </w:r>
      <w:r w:rsidR="00177987">
        <w:rPr>
          <w:rFonts w:ascii="Times New Roman" w:hAnsi="Times New Roman" w:cs="Times New Roman"/>
          <w:sz w:val="28"/>
          <w:szCs w:val="28"/>
        </w:rPr>
        <w:t xml:space="preserve"> Canada too suffers from the disjunction between the slow-growth fiscal consequences of the 2008 financial crisis and the expansive health sector fiscal needs created by technology, demograp</w:t>
      </w:r>
      <w:r>
        <w:rPr>
          <w:rFonts w:ascii="Times New Roman" w:hAnsi="Times New Roman" w:cs="Times New Roman"/>
          <w:sz w:val="28"/>
          <w:szCs w:val="28"/>
        </w:rPr>
        <w:t xml:space="preserve">hy, and information science. Much like recent rates in Europe and also the US, Canada’s GDP grew 1.9% in the fourth quarter of 2017, and it carries a public debt to GDP ratio in 2017 of 104%. Given its similar macroeconomic picture, then, the demand on available public funds for health care in Canada is also likely to remain greater than the likely supply. Thus, for Canada too, </w:t>
      </w:r>
      <w:r w:rsidR="0094635F">
        <w:rPr>
          <w:rFonts w:ascii="Times New Roman" w:hAnsi="Times New Roman" w:cs="Times New Roman"/>
          <w:sz w:val="28"/>
          <w:szCs w:val="28"/>
        </w:rPr>
        <w:t>the</w:t>
      </w:r>
      <w:r w:rsidR="00177987">
        <w:rPr>
          <w:rFonts w:ascii="Times New Roman" w:hAnsi="Times New Roman" w:cs="Times New Roman"/>
          <w:sz w:val="28"/>
          <w:szCs w:val="28"/>
        </w:rPr>
        <w:t xml:space="preserve"> central l</w:t>
      </w:r>
      <w:r w:rsidR="0094635F">
        <w:rPr>
          <w:rFonts w:ascii="Times New Roman" w:hAnsi="Times New Roman" w:cs="Times New Roman"/>
          <w:sz w:val="28"/>
          <w:szCs w:val="28"/>
        </w:rPr>
        <w:t>esson</w:t>
      </w:r>
      <w:r w:rsidR="00177987">
        <w:rPr>
          <w:rFonts w:ascii="Times New Roman" w:hAnsi="Times New Roman" w:cs="Times New Roman"/>
          <w:sz w:val="28"/>
          <w:szCs w:val="28"/>
        </w:rPr>
        <w:t xml:space="preserve"> </w:t>
      </w:r>
      <w:r>
        <w:rPr>
          <w:rFonts w:ascii="Times New Roman" w:hAnsi="Times New Roman" w:cs="Times New Roman"/>
          <w:sz w:val="28"/>
          <w:szCs w:val="28"/>
        </w:rPr>
        <w:t xml:space="preserve">here </w:t>
      </w:r>
      <w:r w:rsidR="00177987">
        <w:rPr>
          <w:rFonts w:ascii="Times New Roman" w:hAnsi="Times New Roman" w:cs="Times New Roman"/>
          <w:sz w:val="28"/>
          <w:szCs w:val="28"/>
        </w:rPr>
        <w:t>may be that European reform approaches should be adapted and pursued</w:t>
      </w:r>
      <w:r>
        <w:rPr>
          <w:rFonts w:ascii="Times New Roman" w:hAnsi="Times New Roman" w:cs="Times New Roman"/>
          <w:sz w:val="28"/>
          <w:szCs w:val="28"/>
        </w:rPr>
        <w:t>, and that they have a valuable contribution to make to the overall quality and efficiency of health services, however the funds freed up by these consolidation and integration reforms</w:t>
      </w:r>
      <w:r w:rsidR="00177987">
        <w:rPr>
          <w:rFonts w:ascii="Times New Roman" w:hAnsi="Times New Roman" w:cs="Times New Roman"/>
          <w:sz w:val="28"/>
          <w:szCs w:val="28"/>
        </w:rPr>
        <w:t xml:space="preserve"> will not </w:t>
      </w:r>
      <w:r>
        <w:rPr>
          <w:rFonts w:ascii="Times New Roman" w:hAnsi="Times New Roman" w:cs="Times New Roman"/>
          <w:sz w:val="28"/>
          <w:szCs w:val="28"/>
        </w:rPr>
        <w:t xml:space="preserve">themselves alone be sufficient to meet current and future demands for services. </w:t>
      </w:r>
      <w:r w:rsidR="00177987">
        <w:rPr>
          <w:rFonts w:ascii="Times New Roman" w:hAnsi="Times New Roman" w:cs="Times New Roman"/>
          <w:sz w:val="28"/>
          <w:szCs w:val="28"/>
        </w:rPr>
        <w:t xml:space="preserve"> </w:t>
      </w:r>
    </w:p>
    <w:p w:rsidR="00B26222" w:rsidRDefault="00B26222" w:rsidP="007D0410">
      <w:pPr>
        <w:pStyle w:val="NoSpacing"/>
        <w:rPr>
          <w:rFonts w:ascii="Times New Roman" w:hAnsi="Times New Roman" w:cs="Times New Roman"/>
          <w:b/>
          <w:sz w:val="28"/>
          <w:szCs w:val="28"/>
        </w:rPr>
      </w:pPr>
    </w:p>
    <w:p w:rsidR="00F94110" w:rsidRDefault="00F94110" w:rsidP="005522FB">
      <w:pPr>
        <w:pStyle w:val="NoSpacing"/>
        <w:rPr>
          <w:rFonts w:ascii="Times New Roman" w:hAnsi="Times New Roman" w:cs="Times New Roman"/>
          <w:b/>
          <w:sz w:val="28"/>
          <w:szCs w:val="28"/>
        </w:rPr>
      </w:pPr>
    </w:p>
    <w:p w:rsidR="00512E58" w:rsidRDefault="00512E58" w:rsidP="005522FB">
      <w:pPr>
        <w:pStyle w:val="NoSpacing"/>
        <w:rPr>
          <w:rFonts w:ascii="Times New Roman" w:hAnsi="Times New Roman" w:cs="Times New Roman"/>
          <w:b/>
          <w:sz w:val="28"/>
          <w:szCs w:val="28"/>
        </w:rPr>
      </w:pPr>
      <w:r>
        <w:rPr>
          <w:rFonts w:ascii="Times New Roman" w:hAnsi="Times New Roman" w:cs="Times New Roman"/>
          <w:b/>
          <w:sz w:val="28"/>
          <w:szCs w:val="28"/>
        </w:rPr>
        <w:t>References</w:t>
      </w:r>
    </w:p>
    <w:p w:rsidR="00785679" w:rsidRDefault="00785679" w:rsidP="005522FB">
      <w:pPr>
        <w:pStyle w:val="NoSpacing"/>
        <w:rPr>
          <w:rFonts w:ascii="Times New Roman" w:hAnsi="Times New Roman" w:cs="Times New Roman"/>
          <w:b/>
          <w:sz w:val="28"/>
          <w:szCs w:val="28"/>
        </w:rPr>
      </w:pPr>
    </w:p>
    <w:p w:rsidR="00785679" w:rsidRPr="00785679" w:rsidRDefault="00785679" w:rsidP="005522FB">
      <w:pPr>
        <w:pStyle w:val="NoSpacing"/>
        <w:rPr>
          <w:rFonts w:ascii="Times New Roman" w:hAnsi="Times New Roman" w:cs="Times New Roman"/>
          <w:sz w:val="28"/>
          <w:szCs w:val="28"/>
        </w:rPr>
      </w:pPr>
      <w:r w:rsidRPr="00785679">
        <w:rPr>
          <w:rFonts w:ascii="Times New Roman" w:hAnsi="Times New Roman" w:cs="Times New Roman"/>
          <w:sz w:val="28"/>
          <w:szCs w:val="28"/>
        </w:rPr>
        <w:t>Alesina, A. and</w:t>
      </w:r>
      <w:r>
        <w:rPr>
          <w:rFonts w:ascii="Times New Roman" w:hAnsi="Times New Roman" w:cs="Times New Roman"/>
          <w:sz w:val="28"/>
          <w:szCs w:val="28"/>
        </w:rPr>
        <w:t xml:space="preserve"> F. Giavazzi (2008), </w:t>
      </w:r>
      <w:r w:rsidRPr="00785679">
        <w:rPr>
          <w:rFonts w:ascii="Times New Roman" w:hAnsi="Times New Roman" w:cs="Times New Roman"/>
          <w:i/>
          <w:sz w:val="28"/>
          <w:szCs w:val="28"/>
        </w:rPr>
        <w:t>The Future of Europe: Reform or Decline</w:t>
      </w:r>
      <w:r>
        <w:rPr>
          <w:rFonts w:ascii="Times New Roman" w:hAnsi="Times New Roman" w:cs="Times New Roman"/>
          <w:sz w:val="28"/>
          <w:szCs w:val="28"/>
        </w:rPr>
        <w:t>. Cambridge, MA and London: MIT Press.</w:t>
      </w:r>
    </w:p>
    <w:p w:rsidR="00512E58" w:rsidRDefault="00512E58" w:rsidP="005522FB">
      <w:pPr>
        <w:pStyle w:val="NoSpacing"/>
        <w:rPr>
          <w:rFonts w:ascii="Times New Roman" w:hAnsi="Times New Roman" w:cs="Times New Roman"/>
          <w:b/>
          <w:sz w:val="28"/>
          <w:szCs w:val="28"/>
        </w:rPr>
      </w:pPr>
    </w:p>
    <w:p w:rsidR="00512E58" w:rsidRDefault="00FC4498" w:rsidP="005522FB">
      <w:pPr>
        <w:pStyle w:val="NoSpacing"/>
        <w:rPr>
          <w:rFonts w:ascii="Times New Roman" w:hAnsi="Times New Roman" w:cs="Times New Roman"/>
          <w:sz w:val="28"/>
          <w:szCs w:val="28"/>
        </w:rPr>
      </w:pPr>
      <w:r>
        <w:rPr>
          <w:rFonts w:ascii="Times New Roman" w:hAnsi="Times New Roman" w:cs="Times New Roman"/>
          <w:sz w:val="28"/>
          <w:szCs w:val="28"/>
        </w:rPr>
        <w:t>Barber,</w:t>
      </w:r>
      <w:r w:rsidR="006B6053">
        <w:rPr>
          <w:rFonts w:ascii="Times New Roman" w:hAnsi="Times New Roman" w:cs="Times New Roman"/>
          <w:sz w:val="28"/>
          <w:szCs w:val="28"/>
        </w:rPr>
        <w:t xml:space="preserve"> </w:t>
      </w:r>
      <w:r>
        <w:rPr>
          <w:rFonts w:ascii="Times New Roman" w:hAnsi="Times New Roman" w:cs="Times New Roman"/>
          <w:sz w:val="28"/>
          <w:szCs w:val="28"/>
        </w:rPr>
        <w:t>T.</w:t>
      </w:r>
      <w:r w:rsidR="00512E58" w:rsidRPr="00512E58">
        <w:rPr>
          <w:rFonts w:ascii="Times New Roman" w:hAnsi="Times New Roman" w:cs="Times New Roman"/>
          <w:sz w:val="28"/>
          <w:szCs w:val="28"/>
        </w:rPr>
        <w:t xml:space="preserve"> </w:t>
      </w:r>
      <w:r>
        <w:rPr>
          <w:rFonts w:ascii="Times New Roman" w:hAnsi="Times New Roman" w:cs="Times New Roman"/>
          <w:sz w:val="28"/>
          <w:szCs w:val="28"/>
        </w:rPr>
        <w:t>(2017), ‘</w:t>
      </w:r>
      <w:r w:rsidR="00512E58">
        <w:rPr>
          <w:rFonts w:ascii="Times New Roman" w:hAnsi="Times New Roman" w:cs="Times New Roman"/>
          <w:sz w:val="28"/>
          <w:szCs w:val="28"/>
        </w:rPr>
        <w:t>Europe Starts to Thin</w:t>
      </w:r>
      <w:r>
        <w:rPr>
          <w:rFonts w:ascii="Times New Roman" w:hAnsi="Times New Roman" w:cs="Times New Roman"/>
          <w:sz w:val="28"/>
          <w:szCs w:val="28"/>
        </w:rPr>
        <w:t>k the Unthinkable: Breaking Up’,</w:t>
      </w:r>
      <w:r w:rsidR="00512E58">
        <w:rPr>
          <w:rFonts w:ascii="Times New Roman" w:hAnsi="Times New Roman" w:cs="Times New Roman"/>
          <w:sz w:val="28"/>
          <w:szCs w:val="28"/>
        </w:rPr>
        <w:t xml:space="preserve"> </w:t>
      </w:r>
      <w:r w:rsidR="00512E58" w:rsidRPr="00FC4498">
        <w:rPr>
          <w:rFonts w:ascii="Times New Roman" w:hAnsi="Times New Roman" w:cs="Times New Roman"/>
          <w:i/>
          <w:sz w:val="28"/>
          <w:szCs w:val="28"/>
        </w:rPr>
        <w:t>Financial Times</w:t>
      </w:r>
      <w:r w:rsidR="00512E58">
        <w:rPr>
          <w:rFonts w:ascii="Times New Roman" w:hAnsi="Times New Roman" w:cs="Times New Roman"/>
          <w:sz w:val="28"/>
          <w:szCs w:val="28"/>
        </w:rPr>
        <w:t xml:space="preserve"> (3 March).</w:t>
      </w:r>
    </w:p>
    <w:p w:rsidR="00D34AEB" w:rsidRDefault="00D34AEB" w:rsidP="005522FB">
      <w:pPr>
        <w:pStyle w:val="NoSpacing"/>
        <w:rPr>
          <w:rFonts w:ascii="Times New Roman" w:hAnsi="Times New Roman" w:cs="Times New Roman"/>
          <w:sz w:val="28"/>
          <w:szCs w:val="28"/>
        </w:rPr>
      </w:pPr>
    </w:p>
    <w:p w:rsidR="00D34AEB" w:rsidRDefault="00D34AEB" w:rsidP="00D34AEB">
      <w:pPr>
        <w:numPr>
          <w:ilvl w:val="12"/>
          <w:numId w:val="0"/>
        </w:numPr>
        <w:rPr>
          <w:rFonts w:ascii="Times New Roman" w:hAnsi="Times New Roman"/>
          <w:sz w:val="28"/>
          <w:szCs w:val="28"/>
        </w:rPr>
      </w:pPr>
      <w:r w:rsidRPr="00D34AEB">
        <w:rPr>
          <w:rFonts w:ascii="Times New Roman" w:hAnsi="Times New Roman"/>
          <w:sz w:val="28"/>
          <w:szCs w:val="28"/>
        </w:rPr>
        <w:t>Boerma,</w:t>
      </w:r>
      <w:r>
        <w:rPr>
          <w:rFonts w:ascii="Times New Roman" w:hAnsi="Times New Roman"/>
          <w:sz w:val="28"/>
          <w:szCs w:val="28"/>
        </w:rPr>
        <w:t xml:space="preserve"> W.,</w:t>
      </w:r>
      <w:r w:rsidRPr="00D34AEB">
        <w:rPr>
          <w:rFonts w:ascii="Times New Roman" w:hAnsi="Times New Roman"/>
          <w:sz w:val="28"/>
          <w:szCs w:val="28"/>
        </w:rPr>
        <w:t xml:space="preserve"> Genet</w:t>
      </w:r>
      <w:r>
        <w:rPr>
          <w:rFonts w:ascii="Times New Roman" w:hAnsi="Times New Roman"/>
          <w:sz w:val="28"/>
          <w:szCs w:val="28"/>
        </w:rPr>
        <w:t xml:space="preserve">, N., </w:t>
      </w:r>
      <w:r w:rsidRPr="00D34AEB">
        <w:rPr>
          <w:rFonts w:ascii="Times New Roman" w:hAnsi="Times New Roman"/>
          <w:sz w:val="28"/>
          <w:szCs w:val="28"/>
        </w:rPr>
        <w:t>Hutchinson</w:t>
      </w:r>
      <w:r>
        <w:rPr>
          <w:rFonts w:ascii="Times New Roman" w:hAnsi="Times New Roman"/>
          <w:sz w:val="28"/>
          <w:szCs w:val="28"/>
        </w:rPr>
        <w:t xml:space="preserve"> A.,</w:t>
      </w:r>
      <w:r w:rsidRPr="00D34AEB">
        <w:rPr>
          <w:rFonts w:ascii="Times New Roman" w:hAnsi="Times New Roman"/>
          <w:sz w:val="28"/>
          <w:szCs w:val="28"/>
        </w:rPr>
        <w:t>, and R.B. Saltman, eds</w:t>
      </w:r>
      <w:r w:rsidRPr="00D34AEB">
        <w:rPr>
          <w:rFonts w:ascii="Times New Roman" w:hAnsi="Times New Roman"/>
          <w:sz w:val="28"/>
          <w:szCs w:val="28"/>
          <w:u w:val="single"/>
        </w:rPr>
        <w:t xml:space="preserve">. </w:t>
      </w:r>
      <w:r w:rsidRPr="006D6FBB">
        <w:rPr>
          <w:rFonts w:ascii="Times New Roman" w:hAnsi="Times New Roman"/>
          <w:i/>
          <w:sz w:val="28"/>
          <w:szCs w:val="28"/>
        </w:rPr>
        <w:t>Home Care Services in Europe: Current Patterns and Future Policy Challenges</w:t>
      </w:r>
      <w:r w:rsidRPr="00D34AEB">
        <w:rPr>
          <w:rFonts w:ascii="Times New Roman" w:hAnsi="Times New Roman"/>
          <w:sz w:val="28"/>
          <w:szCs w:val="28"/>
        </w:rPr>
        <w:t xml:space="preserve">. Occasional Series. European Observatory on Health Systems and Policies, Brussels. </w:t>
      </w:r>
    </w:p>
    <w:p w:rsidR="00AB3AB3" w:rsidRDefault="00AB3AB3" w:rsidP="00D34AEB">
      <w:pPr>
        <w:numPr>
          <w:ilvl w:val="12"/>
          <w:numId w:val="0"/>
        </w:numPr>
        <w:rPr>
          <w:rFonts w:ascii="Times New Roman" w:hAnsi="Times New Roman"/>
          <w:sz w:val="28"/>
          <w:szCs w:val="28"/>
        </w:rPr>
      </w:pPr>
    </w:p>
    <w:p w:rsidR="00AB3AB3" w:rsidRPr="00D34AEB" w:rsidRDefault="00AB3AB3" w:rsidP="00D34AEB">
      <w:pPr>
        <w:numPr>
          <w:ilvl w:val="12"/>
          <w:numId w:val="0"/>
        </w:numPr>
        <w:rPr>
          <w:rFonts w:ascii="Times New Roman" w:hAnsi="Times New Roman"/>
          <w:sz w:val="28"/>
          <w:szCs w:val="28"/>
        </w:rPr>
      </w:pPr>
      <w:r>
        <w:rPr>
          <w:rFonts w:ascii="Times New Roman" w:hAnsi="Times New Roman"/>
          <w:sz w:val="28"/>
          <w:szCs w:val="28"/>
        </w:rPr>
        <w:t xml:space="preserve">Boyle, S. (2011), </w:t>
      </w:r>
      <w:r w:rsidRPr="0032205B">
        <w:rPr>
          <w:rFonts w:ascii="Times New Roman" w:hAnsi="Times New Roman"/>
          <w:i/>
          <w:sz w:val="28"/>
          <w:szCs w:val="28"/>
        </w:rPr>
        <w:t>United Kingdom (England): Health System Review</w:t>
      </w:r>
      <w:r>
        <w:rPr>
          <w:rFonts w:ascii="Times New Roman" w:hAnsi="Times New Roman"/>
          <w:sz w:val="28"/>
          <w:szCs w:val="28"/>
        </w:rPr>
        <w:t xml:space="preserve">. Health </w:t>
      </w:r>
      <w:r>
        <w:rPr>
          <w:rFonts w:ascii="Times New Roman" w:hAnsi="Times New Roman"/>
          <w:sz w:val="28"/>
          <w:szCs w:val="28"/>
        </w:rPr>
        <w:lastRenderedPageBreak/>
        <w:t>Systems in Transition Vol 13, No. 1. European Observatory on Health Systems and Policies, Brussels.</w:t>
      </w:r>
    </w:p>
    <w:p w:rsidR="00D34AEB" w:rsidRPr="00D34AEB" w:rsidRDefault="00D34AEB" w:rsidP="00D34AEB">
      <w:pPr>
        <w:numPr>
          <w:ilvl w:val="12"/>
          <w:numId w:val="0"/>
        </w:numPr>
        <w:rPr>
          <w:rFonts w:ascii="Times New Roman" w:hAnsi="Times New Roman"/>
          <w:b/>
          <w:sz w:val="28"/>
          <w:szCs w:val="28"/>
        </w:rPr>
      </w:pPr>
      <w:r w:rsidRPr="00D34AEB">
        <w:rPr>
          <w:rFonts w:ascii="Times New Roman" w:hAnsi="Times New Roman"/>
          <w:b/>
          <w:sz w:val="28"/>
          <w:szCs w:val="28"/>
        </w:rPr>
        <w:tab/>
      </w:r>
    </w:p>
    <w:p w:rsidR="00582FAD" w:rsidRDefault="002F718D" w:rsidP="005522FB">
      <w:pPr>
        <w:pStyle w:val="NoSpacing"/>
        <w:rPr>
          <w:rFonts w:ascii="Times New Roman" w:hAnsi="Times New Roman" w:cs="Times New Roman"/>
          <w:sz w:val="28"/>
          <w:szCs w:val="28"/>
        </w:rPr>
      </w:pPr>
      <w:r>
        <w:rPr>
          <w:rFonts w:ascii="Times New Roman" w:hAnsi="Times New Roman" w:cs="Times New Roman"/>
          <w:sz w:val="28"/>
          <w:szCs w:val="28"/>
        </w:rPr>
        <w:t>Burau, V., Dahl H</w:t>
      </w:r>
      <w:r w:rsidR="003666A6">
        <w:rPr>
          <w:rFonts w:ascii="Times New Roman" w:hAnsi="Times New Roman" w:cs="Times New Roman"/>
          <w:sz w:val="28"/>
          <w:szCs w:val="28"/>
        </w:rPr>
        <w:t xml:space="preserve">. M., Jensen L. G., and S. Lou </w:t>
      </w:r>
      <w:r>
        <w:rPr>
          <w:rFonts w:ascii="Times New Roman" w:hAnsi="Times New Roman" w:cs="Times New Roman"/>
          <w:sz w:val="28"/>
          <w:szCs w:val="28"/>
        </w:rPr>
        <w:t>(2017). ‘How to move beyond DRGs – lessons from a pilot project in Denmark.” Paper presented at London School of Economics International Health Policy Conference, London, 16-19 February.</w:t>
      </w:r>
    </w:p>
    <w:p w:rsidR="00582FAD" w:rsidRDefault="00582FAD" w:rsidP="005522FB">
      <w:pPr>
        <w:pStyle w:val="NoSpacing"/>
        <w:rPr>
          <w:rFonts w:ascii="Times New Roman" w:hAnsi="Times New Roman" w:cs="Times New Roman"/>
          <w:sz w:val="28"/>
          <w:szCs w:val="28"/>
        </w:rPr>
      </w:pPr>
    </w:p>
    <w:p w:rsidR="00D42378" w:rsidRPr="00D42378" w:rsidRDefault="00F075F9" w:rsidP="00D42378">
      <w:pPr>
        <w:widowControl/>
        <w:shd w:val="clear" w:color="auto" w:fill="FFFFFF"/>
        <w:autoSpaceDE/>
        <w:autoSpaceDN/>
        <w:adjustRightInd/>
        <w:rPr>
          <w:rFonts w:ascii="Arial" w:hAnsi="Arial" w:cs="Arial"/>
        </w:rPr>
      </w:pPr>
      <w:hyperlink r:id="rId9" w:history="1">
        <w:r w:rsidR="00582FAD" w:rsidRPr="00582FAD">
          <w:rPr>
            <w:rFonts w:ascii="Times New Roman" w:hAnsi="Times New Roman"/>
            <w:color w:val="2F4A8B"/>
            <w:sz w:val="28"/>
            <w:szCs w:val="28"/>
          </w:rPr>
          <w:t>Burke</w:t>
        </w:r>
        <w:r w:rsidR="00582FAD">
          <w:rPr>
            <w:rFonts w:ascii="Times New Roman" w:hAnsi="Times New Roman"/>
            <w:color w:val="2F4A8B"/>
            <w:sz w:val="28"/>
            <w:szCs w:val="28"/>
          </w:rPr>
          <w:t>,</w:t>
        </w:r>
        <w:r w:rsidR="00582FAD" w:rsidRPr="00582FAD">
          <w:rPr>
            <w:rFonts w:ascii="Times New Roman" w:hAnsi="Times New Roman"/>
            <w:color w:val="2F4A8B"/>
            <w:sz w:val="28"/>
            <w:szCs w:val="28"/>
          </w:rPr>
          <w:t xml:space="preserve"> S</w:t>
        </w:r>
        <w:r w:rsidR="00582FAD">
          <w:rPr>
            <w:rFonts w:ascii="Times New Roman" w:hAnsi="Times New Roman"/>
            <w:color w:val="2F4A8B"/>
            <w:sz w:val="28"/>
            <w:szCs w:val="28"/>
          </w:rPr>
          <w:t>.</w:t>
        </w:r>
        <w:r w:rsidR="00582FAD" w:rsidRPr="00582FAD">
          <w:rPr>
            <w:rFonts w:ascii="Times New Roman" w:hAnsi="Times New Roman"/>
            <w:color w:val="2F4A8B"/>
            <w:sz w:val="28"/>
            <w:szCs w:val="28"/>
          </w:rPr>
          <w:t>A</w:t>
        </w:r>
      </w:hyperlink>
      <w:r w:rsidR="00582FAD">
        <w:rPr>
          <w:rFonts w:ascii="Times New Roman" w:hAnsi="Times New Roman"/>
          <w:sz w:val="28"/>
          <w:szCs w:val="28"/>
        </w:rPr>
        <w:t>.</w:t>
      </w:r>
      <w:r w:rsidR="00582FAD" w:rsidRPr="00582FAD">
        <w:rPr>
          <w:rFonts w:ascii="Times New Roman" w:hAnsi="Times New Roman"/>
          <w:sz w:val="28"/>
          <w:szCs w:val="28"/>
        </w:rPr>
        <w:t xml:space="preserve">, </w:t>
      </w:r>
      <w:hyperlink r:id="rId10" w:history="1">
        <w:r w:rsidR="00582FAD" w:rsidRPr="00582FAD">
          <w:rPr>
            <w:rFonts w:ascii="Times New Roman" w:hAnsi="Times New Roman"/>
            <w:color w:val="2F4A8B"/>
            <w:sz w:val="28"/>
            <w:szCs w:val="28"/>
          </w:rPr>
          <w:t>Normand</w:t>
        </w:r>
        <w:r w:rsidR="00582FAD">
          <w:rPr>
            <w:rFonts w:ascii="Times New Roman" w:hAnsi="Times New Roman"/>
            <w:color w:val="2F4A8B"/>
            <w:sz w:val="28"/>
            <w:szCs w:val="28"/>
          </w:rPr>
          <w:t>,</w:t>
        </w:r>
        <w:r w:rsidR="00582FAD" w:rsidRPr="00582FAD">
          <w:rPr>
            <w:rFonts w:ascii="Times New Roman" w:hAnsi="Times New Roman"/>
            <w:color w:val="2F4A8B"/>
            <w:sz w:val="28"/>
            <w:szCs w:val="28"/>
          </w:rPr>
          <w:t xml:space="preserve"> C</w:t>
        </w:r>
      </w:hyperlink>
      <w:r w:rsidR="00582FAD">
        <w:rPr>
          <w:rFonts w:ascii="Times New Roman" w:hAnsi="Times New Roman"/>
          <w:sz w:val="28"/>
          <w:szCs w:val="28"/>
        </w:rPr>
        <w:t>.</w:t>
      </w:r>
      <w:r w:rsidR="00582FAD">
        <w:rPr>
          <w:rFonts w:ascii="Times New Roman" w:hAnsi="Times New Roman"/>
          <w:sz w:val="28"/>
          <w:szCs w:val="28"/>
          <w:vertAlign w:val="superscript"/>
        </w:rPr>
        <w:t>.</w:t>
      </w:r>
      <w:r w:rsidR="00582FAD" w:rsidRPr="00582FAD">
        <w:rPr>
          <w:rFonts w:ascii="Times New Roman" w:hAnsi="Times New Roman"/>
          <w:sz w:val="28"/>
          <w:szCs w:val="28"/>
        </w:rPr>
        <w:t xml:space="preserve">, </w:t>
      </w:r>
      <w:hyperlink r:id="rId11" w:history="1">
        <w:r w:rsidR="00582FAD" w:rsidRPr="00582FAD">
          <w:rPr>
            <w:rFonts w:ascii="Times New Roman" w:hAnsi="Times New Roman"/>
            <w:color w:val="2F4A8B"/>
            <w:sz w:val="28"/>
            <w:szCs w:val="28"/>
          </w:rPr>
          <w:t>Barry</w:t>
        </w:r>
        <w:r w:rsidR="00582FAD">
          <w:rPr>
            <w:rFonts w:ascii="Times New Roman" w:hAnsi="Times New Roman"/>
            <w:color w:val="2F4A8B"/>
            <w:sz w:val="28"/>
            <w:szCs w:val="28"/>
          </w:rPr>
          <w:t>,</w:t>
        </w:r>
        <w:r w:rsidR="00582FAD" w:rsidRPr="00582FAD">
          <w:rPr>
            <w:rFonts w:ascii="Times New Roman" w:hAnsi="Times New Roman"/>
            <w:color w:val="2F4A8B"/>
            <w:sz w:val="28"/>
            <w:szCs w:val="28"/>
          </w:rPr>
          <w:t xml:space="preserve"> S</w:t>
        </w:r>
      </w:hyperlink>
      <w:r w:rsidR="00582FAD">
        <w:rPr>
          <w:rFonts w:ascii="Times New Roman" w:hAnsi="Times New Roman"/>
          <w:sz w:val="28"/>
          <w:szCs w:val="28"/>
          <w:vertAlign w:val="superscript"/>
        </w:rPr>
        <w:t>.</w:t>
      </w:r>
      <w:r w:rsidR="00582FAD" w:rsidRPr="00582FAD">
        <w:rPr>
          <w:rFonts w:ascii="Times New Roman" w:hAnsi="Times New Roman"/>
          <w:sz w:val="28"/>
          <w:szCs w:val="28"/>
        </w:rPr>
        <w:t xml:space="preserve">, </w:t>
      </w:r>
      <w:r w:rsidR="00582FAD">
        <w:rPr>
          <w:rFonts w:ascii="Times New Roman" w:hAnsi="Times New Roman"/>
          <w:sz w:val="28"/>
          <w:szCs w:val="28"/>
        </w:rPr>
        <w:t>and S.</w:t>
      </w:r>
      <w:hyperlink r:id="rId12" w:history="1">
        <w:r w:rsidR="00582FAD" w:rsidRPr="00582FAD">
          <w:rPr>
            <w:rFonts w:ascii="Times New Roman" w:hAnsi="Times New Roman"/>
            <w:color w:val="2F4A8B"/>
            <w:sz w:val="28"/>
            <w:szCs w:val="28"/>
          </w:rPr>
          <w:t>Thomas</w:t>
        </w:r>
        <w:r w:rsidR="00A96F0D">
          <w:rPr>
            <w:rFonts w:ascii="Times New Roman" w:hAnsi="Times New Roman"/>
            <w:color w:val="2F4A8B"/>
            <w:sz w:val="28"/>
            <w:szCs w:val="28"/>
          </w:rPr>
          <w:t xml:space="preserve"> (2016),</w:t>
        </w:r>
        <w:r w:rsidR="00582FAD" w:rsidRPr="00582FAD">
          <w:rPr>
            <w:rFonts w:ascii="Times New Roman" w:hAnsi="Times New Roman"/>
            <w:color w:val="2F4A8B"/>
            <w:sz w:val="28"/>
            <w:szCs w:val="28"/>
          </w:rPr>
          <w:t xml:space="preserve"> </w:t>
        </w:r>
      </w:hyperlink>
      <w:r w:rsidR="00D42378">
        <w:rPr>
          <w:rFonts w:ascii="Times New Roman" w:hAnsi="Times New Roman"/>
          <w:sz w:val="28"/>
          <w:szCs w:val="28"/>
        </w:rPr>
        <w:t>‘</w:t>
      </w:r>
      <w:r w:rsidR="00D42378" w:rsidRPr="00D42378">
        <w:rPr>
          <w:rFonts w:ascii="Times New Roman" w:hAnsi="Times New Roman"/>
          <w:sz w:val="28"/>
          <w:szCs w:val="28"/>
        </w:rPr>
        <w:t>From universal health insurance to universal healthcare? The shifting health policy landscape in Ir</w:t>
      </w:r>
      <w:r w:rsidR="00D42378">
        <w:rPr>
          <w:rFonts w:ascii="Times New Roman" w:hAnsi="Times New Roman"/>
          <w:sz w:val="28"/>
          <w:szCs w:val="28"/>
        </w:rPr>
        <w:t xml:space="preserve">eland since the economic crisis’, </w:t>
      </w:r>
      <w:r>
        <w:rPr>
          <w:rFonts w:ascii="Arial" w:hAnsi="Arial" w:cs="Arial"/>
          <w:i/>
        </w:rPr>
        <w:pict w14:anchorId="43548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75pt">
            <v:imagedata r:id="rId13" o:title=""/>
          </v:shape>
        </w:pict>
      </w:r>
      <w:r>
        <w:rPr>
          <w:rFonts w:ascii="Arial" w:hAnsi="Arial" w:cs="Arial"/>
          <w:i/>
        </w:rPr>
        <w:pict w14:anchorId="1DDBE98A">
          <v:shape id="_x0000_i1026" type="#_x0000_t75" style="width:1in;height:17.75pt">
            <v:imagedata r:id="rId14" o:title=""/>
          </v:shape>
        </w:pict>
      </w:r>
      <w:r w:rsidR="00D42378" w:rsidRPr="00D42378">
        <w:rPr>
          <w:rFonts w:ascii="Arial" w:hAnsi="Arial" w:cs="Arial"/>
          <w:i/>
          <w:vanish/>
          <w:color w:val="14376C"/>
        </w:rPr>
        <w:t>See comment in PubMed Commons below</w:t>
      </w:r>
      <w:hyperlink r:id="rId15" w:tooltip="Health policy (Amsterdam, Netherlands)." w:history="1">
        <w:r w:rsidR="00D42378" w:rsidRPr="00D42378">
          <w:rPr>
            <w:rFonts w:ascii="Times New Roman" w:hAnsi="Times New Roman"/>
            <w:i/>
            <w:color w:val="2F4A8B"/>
            <w:sz w:val="28"/>
            <w:szCs w:val="28"/>
          </w:rPr>
          <w:t>Health Policy.</w:t>
        </w:r>
      </w:hyperlink>
      <w:r w:rsidR="00D42378" w:rsidRPr="00D42378">
        <w:rPr>
          <w:rFonts w:ascii="Times New Roman" w:hAnsi="Times New Roman"/>
          <w:sz w:val="28"/>
          <w:szCs w:val="28"/>
        </w:rPr>
        <w:t xml:space="preserve"> Mar;</w:t>
      </w:r>
      <w:r w:rsidR="00D42378">
        <w:rPr>
          <w:rFonts w:ascii="Times New Roman" w:hAnsi="Times New Roman"/>
          <w:sz w:val="28"/>
          <w:szCs w:val="28"/>
        </w:rPr>
        <w:t xml:space="preserve"> </w:t>
      </w:r>
      <w:r w:rsidR="00D42378" w:rsidRPr="00D42378">
        <w:rPr>
          <w:rFonts w:ascii="Times New Roman" w:hAnsi="Times New Roman"/>
          <w:sz w:val="28"/>
          <w:szCs w:val="28"/>
        </w:rPr>
        <w:t>120(3):235-40.</w:t>
      </w:r>
    </w:p>
    <w:p w:rsidR="00AF2D0B" w:rsidRPr="00D42378" w:rsidRDefault="00AF2D0B" w:rsidP="005522FB">
      <w:pPr>
        <w:pStyle w:val="NoSpacing"/>
        <w:rPr>
          <w:rFonts w:ascii="Times New Roman" w:hAnsi="Times New Roman" w:cs="Times New Roman"/>
          <w:sz w:val="28"/>
          <w:szCs w:val="28"/>
        </w:rPr>
      </w:pPr>
    </w:p>
    <w:p w:rsidR="00761887" w:rsidRDefault="00761887" w:rsidP="00761887">
      <w:pPr>
        <w:widowControl/>
        <w:rPr>
          <w:rFonts w:ascii="Arial" w:eastAsiaTheme="minorHAnsi" w:hAnsi="Arial" w:cs="Arial"/>
          <w:sz w:val="24"/>
          <w:szCs w:val="24"/>
        </w:rPr>
      </w:pPr>
      <w:r>
        <w:rPr>
          <w:rFonts w:ascii="Times New Roman" w:hAnsi="Times New Roman"/>
          <w:sz w:val="28"/>
          <w:szCs w:val="28"/>
        </w:rPr>
        <w:t xml:space="preserve">Busse, R (2004), </w:t>
      </w:r>
      <w:r w:rsidR="00582FAD">
        <w:rPr>
          <w:rFonts w:ascii="Times New Roman" w:hAnsi="Times New Roman"/>
          <w:sz w:val="28"/>
          <w:szCs w:val="28"/>
        </w:rPr>
        <w:t>‘</w:t>
      </w:r>
      <w:r w:rsidR="007A2BD2">
        <w:rPr>
          <w:rFonts w:ascii="Times New Roman" w:eastAsiaTheme="minorHAnsi" w:hAnsi="Times New Roman"/>
          <w:sz w:val="28"/>
          <w:szCs w:val="28"/>
        </w:rPr>
        <w:t>Disease management programs in Germany's statutory health insurance s</w:t>
      </w:r>
      <w:r w:rsidRPr="00582FAD">
        <w:rPr>
          <w:rFonts w:ascii="Times New Roman" w:eastAsiaTheme="minorHAnsi" w:hAnsi="Times New Roman"/>
          <w:sz w:val="28"/>
          <w:szCs w:val="28"/>
        </w:rPr>
        <w:t>ystem</w:t>
      </w:r>
      <w:r w:rsidR="00582FAD" w:rsidRPr="00582FAD">
        <w:rPr>
          <w:rFonts w:ascii="Times New Roman" w:eastAsiaTheme="minorHAnsi" w:hAnsi="Times New Roman"/>
          <w:sz w:val="28"/>
          <w:szCs w:val="28"/>
        </w:rPr>
        <w:t>’</w:t>
      </w:r>
      <w:r w:rsidR="00D8110E" w:rsidRPr="00582FAD">
        <w:rPr>
          <w:rFonts w:ascii="Times New Roman" w:eastAsiaTheme="minorHAnsi" w:hAnsi="Times New Roman"/>
          <w:sz w:val="28"/>
          <w:szCs w:val="28"/>
        </w:rPr>
        <w:t>,</w:t>
      </w:r>
      <w:r w:rsidR="00D8110E">
        <w:rPr>
          <w:rFonts w:ascii="Arial" w:hAnsi="Arial" w:cs="Arial"/>
          <w:sz w:val="24"/>
          <w:szCs w:val="24"/>
        </w:rPr>
        <w:t xml:space="preserve"> </w:t>
      </w:r>
      <w:r w:rsidR="00D8110E" w:rsidRPr="0048712F">
        <w:rPr>
          <w:rFonts w:ascii="Times New Roman" w:eastAsiaTheme="minorHAnsi" w:hAnsi="Times New Roman"/>
          <w:i/>
          <w:iCs/>
          <w:sz w:val="28"/>
          <w:szCs w:val="28"/>
        </w:rPr>
        <w:t xml:space="preserve">Health Affairs </w:t>
      </w:r>
      <w:r w:rsidR="00D8110E" w:rsidRPr="0048712F">
        <w:rPr>
          <w:rFonts w:ascii="Times New Roman" w:eastAsiaTheme="minorHAnsi" w:hAnsi="Times New Roman"/>
          <w:sz w:val="28"/>
          <w:szCs w:val="28"/>
        </w:rPr>
        <w:t>23</w:t>
      </w:r>
      <w:r w:rsidR="00D8110E">
        <w:rPr>
          <w:rFonts w:ascii="Arial" w:eastAsiaTheme="minorHAnsi" w:hAnsi="Arial" w:cs="Arial"/>
          <w:sz w:val="24"/>
          <w:szCs w:val="24"/>
        </w:rPr>
        <w:t>, no.3:56-67.</w:t>
      </w:r>
    </w:p>
    <w:p w:rsidR="000C3C74" w:rsidRDefault="000C3C74" w:rsidP="005522FB">
      <w:pPr>
        <w:pStyle w:val="NoSpacing"/>
        <w:rPr>
          <w:rFonts w:ascii="Times New Roman" w:hAnsi="Times New Roman" w:cs="Times New Roman"/>
          <w:sz w:val="28"/>
          <w:szCs w:val="28"/>
        </w:rPr>
      </w:pPr>
    </w:p>
    <w:p w:rsidR="00DB28E8" w:rsidRDefault="00DB28E8"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Busse, R. and M. Blumel, 2014. </w:t>
      </w:r>
      <w:r w:rsidRPr="00DB28E8">
        <w:rPr>
          <w:rFonts w:ascii="Times New Roman" w:hAnsi="Times New Roman" w:cs="Times New Roman"/>
          <w:i/>
          <w:sz w:val="28"/>
          <w:szCs w:val="28"/>
        </w:rPr>
        <w:t>Germany: Health System Review</w:t>
      </w:r>
      <w:r>
        <w:rPr>
          <w:rFonts w:ascii="Times New Roman" w:hAnsi="Times New Roman" w:cs="Times New Roman"/>
          <w:sz w:val="28"/>
          <w:szCs w:val="28"/>
        </w:rPr>
        <w:t xml:space="preserve">. </w:t>
      </w:r>
      <w:r w:rsidR="009B74B6">
        <w:rPr>
          <w:rFonts w:ascii="Times New Roman" w:hAnsi="Times New Roman" w:cs="Times New Roman"/>
          <w:sz w:val="28"/>
          <w:szCs w:val="28"/>
        </w:rPr>
        <w:t xml:space="preserve">Health Systems in Transition Vol 16, No. 2, </w:t>
      </w:r>
      <w:r>
        <w:rPr>
          <w:rFonts w:ascii="Times New Roman" w:hAnsi="Times New Roman" w:cs="Times New Roman"/>
          <w:sz w:val="28"/>
          <w:szCs w:val="28"/>
        </w:rPr>
        <w:t>European Observatory on Health Systems and Policies, Brussels.</w:t>
      </w:r>
    </w:p>
    <w:p w:rsidR="00DD0576" w:rsidRDefault="00DD0576" w:rsidP="005522FB">
      <w:pPr>
        <w:pStyle w:val="NoSpacing"/>
        <w:rPr>
          <w:rFonts w:ascii="Times New Roman" w:hAnsi="Times New Roman" w:cs="Times New Roman"/>
          <w:sz w:val="28"/>
          <w:szCs w:val="28"/>
        </w:rPr>
      </w:pPr>
    </w:p>
    <w:p w:rsidR="00DD0576" w:rsidRPr="00DD0576" w:rsidRDefault="00DD0576" w:rsidP="00DD0576">
      <w:pPr>
        <w:widowControl/>
        <w:shd w:val="clear" w:color="auto" w:fill="FFFFFF"/>
        <w:autoSpaceDE/>
        <w:autoSpaceDN/>
        <w:adjustRightInd/>
        <w:rPr>
          <w:rFonts w:ascii="Times New Roman" w:hAnsi="Times New Roman"/>
          <w:sz w:val="28"/>
          <w:szCs w:val="28"/>
        </w:rPr>
      </w:pPr>
      <w:r>
        <w:rPr>
          <w:rFonts w:ascii="Times New Roman" w:hAnsi="Times New Roman"/>
          <w:sz w:val="28"/>
          <w:szCs w:val="28"/>
        </w:rPr>
        <w:t>Connolly, S., and M.-A. Wren (2016), ‘</w:t>
      </w:r>
      <w:r w:rsidRPr="00DD0576">
        <w:rPr>
          <w:rFonts w:ascii="Times New Roman" w:hAnsi="Times New Roman"/>
          <w:sz w:val="28"/>
          <w:szCs w:val="28"/>
        </w:rPr>
        <w:t>The 2011 proposal for Universal Health Insurance in Ireland: Potential implications for healthca</w:t>
      </w:r>
      <w:r>
        <w:rPr>
          <w:rFonts w:ascii="Times New Roman" w:hAnsi="Times New Roman"/>
          <w:sz w:val="28"/>
          <w:szCs w:val="28"/>
        </w:rPr>
        <w:t xml:space="preserve">re expenditure’, </w:t>
      </w:r>
      <w:r w:rsidR="00F075F9">
        <w:rPr>
          <w:rFonts w:ascii="Times New Roman" w:hAnsi="Times New Roman"/>
          <w:i/>
          <w:sz w:val="28"/>
          <w:szCs w:val="28"/>
        </w:rPr>
        <w:pict w14:anchorId="189B1D2A">
          <v:shape id="_x0000_i1027" type="#_x0000_t75" style="width:1in;height:17.75pt">
            <v:imagedata r:id="rId16" o:title=""/>
          </v:shape>
        </w:pict>
      </w:r>
      <w:r w:rsidR="00F075F9">
        <w:rPr>
          <w:rFonts w:ascii="Times New Roman" w:hAnsi="Times New Roman"/>
          <w:i/>
          <w:sz w:val="28"/>
          <w:szCs w:val="28"/>
        </w:rPr>
        <w:pict w14:anchorId="11BA996B">
          <v:shape id="_x0000_i1028" type="#_x0000_t75" style="width:1in;height:17.75pt">
            <v:imagedata r:id="rId14" o:title=""/>
          </v:shape>
        </w:pict>
      </w:r>
      <w:r w:rsidRPr="00DD0576">
        <w:rPr>
          <w:rFonts w:ascii="Times New Roman" w:hAnsi="Times New Roman"/>
          <w:i/>
          <w:vanish/>
          <w:color w:val="14376C"/>
          <w:sz w:val="28"/>
          <w:szCs w:val="28"/>
        </w:rPr>
        <w:t>See comment in PubMed Commons below</w:t>
      </w:r>
      <w:hyperlink r:id="rId17" w:tooltip="Health policy (Amsterdam, Netherlands)." w:history="1">
        <w:r w:rsidRPr="00DD0576">
          <w:rPr>
            <w:rFonts w:ascii="Times New Roman" w:hAnsi="Times New Roman"/>
            <w:i/>
            <w:color w:val="2F4A8B"/>
            <w:sz w:val="28"/>
            <w:szCs w:val="28"/>
          </w:rPr>
          <w:t>Health Policy.</w:t>
        </w:r>
      </w:hyperlink>
      <w:r w:rsidRPr="00DD0576">
        <w:rPr>
          <w:rFonts w:ascii="Times New Roman" w:hAnsi="Times New Roman"/>
          <w:sz w:val="28"/>
          <w:szCs w:val="28"/>
        </w:rPr>
        <w:t xml:space="preserve"> 2016 Jul;</w:t>
      </w:r>
      <w:r w:rsidR="00FD7402">
        <w:rPr>
          <w:rFonts w:ascii="Times New Roman" w:hAnsi="Times New Roman"/>
          <w:sz w:val="28"/>
          <w:szCs w:val="28"/>
        </w:rPr>
        <w:t xml:space="preserve"> </w:t>
      </w:r>
      <w:r w:rsidRPr="00DD0576">
        <w:rPr>
          <w:rFonts w:ascii="Times New Roman" w:hAnsi="Times New Roman"/>
          <w:sz w:val="28"/>
          <w:szCs w:val="28"/>
        </w:rPr>
        <w:t>120(7):790-6</w:t>
      </w:r>
      <w:r>
        <w:rPr>
          <w:rFonts w:ascii="Times New Roman" w:hAnsi="Times New Roman"/>
          <w:sz w:val="28"/>
          <w:szCs w:val="28"/>
        </w:rPr>
        <w:t>.</w:t>
      </w:r>
    </w:p>
    <w:p w:rsidR="00DD0576" w:rsidRPr="00DD0576" w:rsidRDefault="00DD0576" w:rsidP="005522FB">
      <w:pPr>
        <w:pStyle w:val="NoSpacing"/>
        <w:rPr>
          <w:rFonts w:ascii="Times New Roman" w:hAnsi="Times New Roman" w:cs="Times New Roman"/>
          <w:sz w:val="28"/>
          <w:szCs w:val="28"/>
        </w:rPr>
      </w:pPr>
    </w:p>
    <w:p w:rsidR="0053702F" w:rsidRDefault="0053702F" w:rsidP="005522FB">
      <w:pPr>
        <w:pStyle w:val="NoSpacing"/>
        <w:rPr>
          <w:rFonts w:ascii="Times New Roman" w:hAnsi="Times New Roman" w:cs="Times New Roman"/>
          <w:sz w:val="28"/>
          <w:szCs w:val="28"/>
        </w:rPr>
      </w:pPr>
      <w:r>
        <w:rPr>
          <w:rFonts w:ascii="Times New Roman" w:hAnsi="Times New Roman" w:cs="Times New Roman"/>
          <w:sz w:val="28"/>
          <w:szCs w:val="28"/>
        </w:rPr>
        <w:t>Cumbo, J. (2017), ‘</w:t>
      </w:r>
      <w:r w:rsidRPr="0053702F">
        <w:rPr>
          <w:rStyle w:val="article-classifiergap"/>
          <w:rFonts w:ascii="Times New Roman" w:hAnsi="Times New Roman" w:cs="Times New Roman"/>
          <w:bCs/>
          <w:color w:val="333333"/>
          <w:sz w:val="28"/>
          <w:szCs w:val="28"/>
          <w:lang w:val="en-GB"/>
        </w:rPr>
        <w:t>MPs slam ‘freeriding’ gig economy companies</w:t>
      </w:r>
      <w:r w:rsidR="006E5386">
        <w:rPr>
          <w:rStyle w:val="article-classifiergap"/>
          <w:rFonts w:ascii="Times New Roman" w:hAnsi="Times New Roman" w:cs="Times New Roman"/>
          <w:bCs/>
          <w:color w:val="333333"/>
          <w:sz w:val="28"/>
          <w:szCs w:val="28"/>
          <w:lang w:val="en-GB"/>
        </w:rPr>
        <w:t xml:space="preserve">.” </w:t>
      </w:r>
      <w:r w:rsidR="006E5386" w:rsidRPr="006E5386">
        <w:rPr>
          <w:rStyle w:val="article-classifiergap"/>
          <w:rFonts w:ascii="Times New Roman" w:hAnsi="Times New Roman" w:cs="Times New Roman"/>
          <w:bCs/>
          <w:i/>
          <w:color w:val="333333"/>
          <w:sz w:val="28"/>
          <w:szCs w:val="28"/>
          <w:lang w:val="en-GB"/>
        </w:rPr>
        <w:t>Financial Times</w:t>
      </w:r>
      <w:r w:rsidR="006E5386">
        <w:rPr>
          <w:rStyle w:val="article-classifiergap"/>
          <w:rFonts w:ascii="Times New Roman" w:hAnsi="Times New Roman" w:cs="Times New Roman"/>
          <w:bCs/>
          <w:color w:val="333333"/>
          <w:sz w:val="28"/>
          <w:szCs w:val="28"/>
          <w:lang w:val="en-GB"/>
        </w:rPr>
        <w:t xml:space="preserve"> (1 May).</w:t>
      </w:r>
    </w:p>
    <w:p w:rsidR="007472B1" w:rsidRDefault="007472B1" w:rsidP="007472B1">
      <w:pPr>
        <w:widowControl/>
        <w:rPr>
          <w:rFonts w:ascii="Times New Roman" w:eastAsiaTheme="minorHAnsi" w:hAnsi="Times New Roman"/>
          <w:sz w:val="28"/>
          <w:szCs w:val="28"/>
        </w:rPr>
      </w:pPr>
    </w:p>
    <w:p w:rsidR="007472B1" w:rsidRPr="007472B1" w:rsidRDefault="007472B1" w:rsidP="007472B1">
      <w:pPr>
        <w:widowControl/>
        <w:rPr>
          <w:rFonts w:ascii="Times New Roman" w:eastAsiaTheme="minorHAnsi" w:hAnsi="Times New Roman"/>
          <w:color w:val="000000"/>
          <w:sz w:val="28"/>
          <w:szCs w:val="28"/>
        </w:rPr>
      </w:pPr>
      <w:r w:rsidRPr="007472B1">
        <w:rPr>
          <w:rFonts w:ascii="Times New Roman" w:eastAsiaTheme="minorHAnsi" w:hAnsi="Times New Roman"/>
          <w:color w:val="000000"/>
          <w:sz w:val="28"/>
          <w:szCs w:val="28"/>
        </w:rPr>
        <w:t>de Belvis</w:t>
      </w:r>
      <w:r w:rsidRPr="007472B1">
        <w:rPr>
          <w:rFonts w:ascii="Times New Roman" w:eastAsiaTheme="minorHAnsi" w:hAnsi="Times New Roman"/>
          <w:color w:val="000066"/>
          <w:sz w:val="28"/>
          <w:szCs w:val="28"/>
        </w:rPr>
        <w:t>a</w:t>
      </w:r>
      <w:r>
        <w:rPr>
          <w:rFonts w:ascii="Times New Roman" w:eastAsiaTheme="minorHAnsi" w:hAnsi="Times New Roman"/>
          <w:color w:val="000000"/>
          <w:sz w:val="28"/>
          <w:szCs w:val="28"/>
        </w:rPr>
        <w:t xml:space="preserve"> A. G</w:t>
      </w:r>
      <w:r>
        <w:rPr>
          <w:rFonts w:ascii="Cambria Math" w:eastAsia="MTSY" w:hAnsi="Cambria Math" w:cs="Cambria Math"/>
          <w:color w:val="000066"/>
          <w:sz w:val="28"/>
          <w:szCs w:val="28"/>
        </w:rPr>
        <w:t>.,</w:t>
      </w:r>
      <w:r>
        <w:rPr>
          <w:rFonts w:ascii="Times New Roman" w:eastAsiaTheme="minorHAnsi" w:hAnsi="Times New Roman"/>
          <w:color w:val="000000"/>
          <w:sz w:val="28"/>
          <w:szCs w:val="28"/>
        </w:rPr>
        <w:t xml:space="preserve"> </w:t>
      </w:r>
      <w:r w:rsidRPr="007472B1">
        <w:rPr>
          <w:rFonts w:ascii="Times New Roman" w:eastAsiaTheme="minorHAnsi" w:hAnsi="Times New Roman"/>
          <w:color w:val="000000"/>
          <w:sz w:val="28"/>
          <w:szCs w:val="28"/>
        </w:rPr>
        <w:t xml:space="preserve"> Ferrè</w:t>
      </w:r>
      <w:r w:rsidRPr="007472B1">
        <w:rPr>
          <w:rFonts w:ascii="Times New Roman" w:eastAsiaTheme="minorHAnsi" w:hAnsi="Times New Roman"/>
          <w:color w:val="000066"/>
          <w:sz w:val="28"/>
          <w:szCs w:val="28"/>
        </w:rPr>
        <w:t>b</w:t>
      </w:r>
      <w:r>
        <w:rPr>
          <w:rFonts w:ascii="Times New Roman" w:eastAsiaTheme="minorHAnsi" w:hAnsi="Times New Roman"/>
          <w:color w:val="000066"/>
          <w:sz w:val="28"/>
          <w:szCs w:val="28"/>
        </w:rPr>
        <w:t xml:space="preserve"> F.</w:t>
      </w:r>
      <w:r>
        <w:rPr>
          <w:rFonts w:ascii="Times New Roman" w:eastAsiaTheme="minorHAnsi" w:hAnsi="Times New Roman"/>
          <w:color w:val="000000"/>
          <w:sz w:val="28"/>
          <w:szCs w:val="28"/>
        </w:rPr>
        <w:t xml:space="preserve">, </w:t>
      </w:r>
      <w:r w:rsidRPr="007472B1">
        <w:rPr>
          <w:rFonts w:ascii="Times New Roman" w:eastAsiaTheme="minorHAnsi" w:hAnsi="Times New Roman"/>
          <w:color w:val="000000"/>
          <w:sz w:val="28"/>
          <w:szCs w:val="28"/>
        </w:rPr>
        <w:t>Specchia</w:t>
      </w:r>
      <w:r w:rsidRPr="007472B1">
        <w:rPr>
          <w:rFonts w:ascii="Times New Roman" w:eastAsiaTheme="minorHAnsi" w:hAnsi="Times New Roman"/>
          <w:color w:val="000066"/>
          <w:sz w:val="28"/>
          <w:szCs w:val="28"/>
        </w:rPr>
        <w:t>a</w:t>
      </w:r>
      <w:r>
        <w:rPr>
          <w:rFonts w:ascii="Times New Roman" w:eastAsiaTheme="minorHAnsi" w:hAnsi="Times New Roman"/>
          <w:color w:val="000000"/>
          <w:sz w:val="28"/>
          <w:szCs w:val="28"/>
        </w:rPr>
        <w:t xml:space="preserve"> M. L., </w:t>
      </w:r>
      <w:r w:rsidRPr="007472B1">
        <w:rPr>
          <w:rFonts w:ascii="Times New Roman" w:eastAsiaTheme="minorHAnsi" w:hAnsi="Times New Roman"/>
          <w:color w:val="000000"/>
          <w:sz w:val="28"/>
          <w:szCs w:val="28"/>
        </w:rPr>
        <w:t>Valerio</w:t>
      </w:r>
      <w:r w:rsidRPr="007472B1">
        <w:rPr>
          <w:rFonts w:ascii="Times New Roman" w:eastAsiaTheme="minorHAnsi" w:hAnsi="Times New Roman"/>
          <w:color w:val="000066"/>
          <w:sz w:val="28"/>
          <w:szCs w:val="28"/>
        </w:rPr>
        <w:t>a</w:t>
      </w:r>
      <w:r>
        <w:rPr>
          <w:rFonts w:ascii="Times New Roman" w:eastAsiaTheme="minorHAnsi" w:hAnsi="Times New Roman"/>
          <w:color w:val="000066"/>
          <w:sz w:val="28"/>
          <w:szCs w:val="28"/>
        </w:rPr>
        <w:t xml:space="preserve"> L.</w:t>
      </w:r>
      <w:r w:rsidRPr="007472B1">
        <w:rPr>
          <w:rFonts w:ascii="Times New Roman" w:eastAsiaTheme="minorHAnsi" w:hAnsi="Times New Roman"/>
          <w:color w:val="000000"/>
          <w:sz w:val="28"/>
          <w:szCs w:val="28"/>
        </w:rPr>
        <w:t>,</w:t>
      </w:r>
    </w:p>
    <w:p w:rsidR="007472B1" w:rsidRPr="006D3780" w:rsidRDefault="007472B1" w:rsidP="007472B1">
      <w:pPr>
        <w:pStyle w:val="NoSpacing"/>
        <w:rPr>
          <w:rFonts w:ascii="Times New Roman" w:hAnsi="Times New Roman" w:cs="Times New Roman"/>
          <w:sz w:val="28"/>
          <w:szCs w:val="28"/>
        </w:rPr>
      </w:pPr>
      <w:r w:rsidRPr="007472B1">
        <w:rPr>
          <w:rFonts w:ascii="Times New Roman" w:hAnsi="Times New Roman" w:cs="Times New Roman"/>
          <w:color w:val="000000"/>
          <w:sz w:val="28"/>
          <w:szCs w:val="28"/>
        </w:rPr>
        <w:t>Fattore</w:t>
      </w:r>
      <w:r w:rsidRPr="007472B1">
        <w:rPr>
          <w:rFonts w:ascii="Times New Roman" w:hAnsi="Times New Roman" w:cs="Times New Roman"/>
          <w:color w:val="000066"/>
          <w:sz w:val="28"/>
          <w:szCs w:val="28"/>
        </w:rPr>
        <w:t>b</w:t>
      </w:r>
      <w:r>
        <w:rPr>
          <w:rFonts w:ascii="Times New Roman" w:hAnsi="Times New Roman" w:cs="Times New Roman"/>
          <w:color w:val="000066"/>
          <w:sz w:val="28"/>
          <w:szCs w:val="28"/>
        </w:rPr>
        <w:t xml:space="preserve"> G.</w:t>
      </w:r>
      <w:r w:rsidRPr="007472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and W. Ricciardi (2012), </w:t>
      </w:r>
      <w:r w:rsidR="006D3780">
        <w:rPr>
          <w:rFonts w:ascii="Times New Roman" w:hAnsi="Times New Roman" w:cs="Times New Roman"/>
          <w:color w:val="000000"/>
          <w:sz w:val="28"/>
          <w:szCs w:val="28"/>
        </w:rPr>
        <w:t>‘</w:t>
      </w:r>
      <w:r w:rsidR="006D3780" w:rsidRPr="006D3780">
        <w:rPr>
          <w:rFonts w:ascii="Times New Roman" w:hAnsi="Times New Roman" w:cs="Times New Roman"/>
          <w:sz w:val="28"/>
          <w:szCs w:val="28"/>
        </w:rPr>
        <w:t>The financial crisis in Italy: Implications for the healthcare sector</w:t>
      </w:r>
      <w:r w:rsidR="006D3780">
        <w:rPr>
          <w:rFonts w:ascii="Times New Roman" w:hAnsi="Times New Roman" w:cs="Times New Roman"/>
          <w:sz w:val="28"/>
          <w:szCs w:val="28"/>
        </w:rPr>
        <w:t xml:space="preserve">.’ </w:t>
      </w:r>
      <w:r w:rsidR="006D3780" w:rsidRPr="006D3780">
        <w:rPr>
          <w:rFonts w:ascii="Times New Roman" w:hAnsi="Times New Roman" w:cs="Times New Roman"/>
          <w:i/>
          <w:sz w:val="28"/>
          <w:szCs w:val="28"/>
        </w:rPr>
        <w:t>Health Policy</w:t>
      </w:r>
      <w:r w:rsidR="006D3780">
        <w:rPr>
          <w:rFonts w:ascii="Times New Roman" w:hAnsi="Times New Roman" w:cs="Times New Roman"/>
          <w:sz w:val="28"/>
          <w:szCs w:val="28"/>
        </w:rPr>
        <w:t xml:space="preserve"> 106(1): 10-16.</w:t>
      </w:r>
    </w:p>
    <w:p w:rsidR="00DB28E8" w:rsidRPr="006D3780" w:rsidRDefault="00DB28E8" w:rsidP="005522FB">
      <w:pPr>
        <w:pStyle w:val="NoSpacing"/>
        <w:rPr>
          <w:rFonts w:ascii="Times New Roman" w:hAnsi="Times New Roman" w:cs="Times New Roman"/>
          <w:sz w:val="28"/>
          <w:szCs w:val="28"/>
        </w:rPr>
      </w:pPr>
    </w:p>
    <w:p w:rsidR="000C3C74" w:rsidRDefault="000C3C74"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De </w:t>
      </w:r>
      <w:r w:rsidR="000F3DD0">
        <w:rPr>
          <w:rFonts w:ascii="Times New Roman" w:hAnsi="Times New Roman" w:cs="Times New Roman"/>
          <w:sz w:val="28"/>
          <w:szCs w:val="28"/>
        </w:rPr>
        <w:t>Roo</w:t>
      </w:r>
      <w:r w:rsidR="00FC4498">
        <w:rPr>
          <w:rFonts w:ascii="Times New Roman" w:hAnsi="Times New Roman" w:cs="Times New Roman"/>
          <w:sz w:val="28"/>
          <w:szCs w:val="28"/>
        </w:rPr>
        <w:t>,</w:t>
      </w:r>
      <w:r w:rsidR="000F3DD0">
        <w:rPr>
          <w:rFonts w:ascii="Times New Roman" w:hAnsi="Times New Roman" w:cs="Times New Roman"/>
          <w:sz w:val="28"/>
          <w:szCs w:val="28"/>
        </w:rPr>
        <w:t xml:space="preserve"> </w:t>
      </w:r>
      <w:r w:rsidR="00FC4498">
        <w:rPr>
          <w:rFonts w:ascii="Times New Roman" w:hAnsi="Times New Roman" w:cs="Times New Roman"/>
          <w:sz w:val="28"/>
          <w:szCs w:val="28"/>
        </w:rPr>
        <w:t>A.</w:t>
      </w:r>
      <w:r>
        <w:rPr>
          <w:rFonts w:ascii="Times New Roman" w:hAnsi="Times New Roman" w:cs="Times New Roman"/>
          <w:sz w:val="28"/>
          <w:szCs w:val="28"/>
        </w:rPr>
        <w:t xml:space="preserve"> </w:t>
      </w:r>
      <w:r w:rsidR="00FC4498">
        <w:rPr>
          <w:rFonts w:ascii="Times New Roman" w:hAnsi="Times New Roman" w:cs="Times New Roman"/>
          <w:sz w:val="28"/>
          <w:szCs w:val="28"/>
        </w:rPr>
        <w:t>(1995),</w:t>
      </w:r>
      <w:r>
        <w:rPr>
          <w:rFonts w:ascii="Times New Roman" w:hAnsi="Times New Roman" w:cs="Times New Roman"/>
          <w:sz w:val="28"/>
          <w:szCs w:val="28"/>
        </w:rPr>
        <w:t xml:space="preserve"> </w:t>
      </w:r>
      <w:r w:rsidR="00FC4498">
        <w:rPr>
          <w:rFonts w:ascii="Times New Roman" w:hAnsi="Times New Roman" w:cs="Times New Roman"/>
          <w:sz w:val="28"/>
          <w:szCs w:val="28"/>
        </w:rPr>
        <w:t>‘</w:t>
      </w:r>
      <w:r w:rsidR="000F3DD0">
        <w:rPr>
          <w:rFonts w:ascii="Times New Roman" w:hAnsi="Times New Roman" w:cs="Times New Roman"/>
          <w:sz w:val="28"/>
          <w:szCs w:val="28"/>
        </w:rPr>
        <w:t xml:space="preserve">Contracting and solidarity: Market-oriented changes in </w:t>
      </w:r>
      <w:r w:rsidR="00FC4498">
        <w:rPr>
          <w:rFonts w:ascii="Times New Roman" w:hAnsi="Times New Roman" w:cs="Times New Roman"/>
          <w:sz w:val="28"/>
          <w:szCs w:val="28"/>
        </w:rPr>
        <w:t>Dutch health insurance schemes’, in</w:t>
      </w:r>
      <w:r w:rsidR="000F3DD0">
        <w:rPr>
          <w:rFonts w:ascii="Times New Roman" w:hAnsi="Times New Roman" w:cs="Times New Roman"/>
          <w:sz w:val="28"/>
          <w:szCs w:val="28"/>
        </w:rPr>
        <w:t xml:space="preserve"> R</w:t>
      </w:r>
      <w:r w:rsidR="00FC4498">
        <w:rPr>
          <w:rFonts w:ascii="Times New Roman" w:hAnsi="Times New Roman" w:cs="Times New Roman"/>
          <w:sz w:val="28"/>
          <w:szCs w:val="28"/>
        </w:rPr>
        <w:t>.</w:t>
      </w:r>
      <w:r w:rsidR="000F3DD0">
        <w:rPr>
          <w:rFonts w:ascii="Times New Roman" w:hAnsi="Times New Roman" w:cs="Times New Roman"/>
          <w:sz w:val="28"/>
          <w:szCs w:val="28"/>
        </w:rPr>
        <w:t>B</w:t>
      </w:r>
      <w:r w:rsidR="00FC4498">
        <w:rPr>
          <w:rFonts w:ascii="Times New Roman" w:hAnsi="Times New Roman" w:cs="Times New Roman"/>
          <w:sz w:val="28"/>
          <w:szCs w:val="28"/>
        </w:rPr>
        <w:t>. Saltman and</w:t>
      </w:r>
      <w:r w:rsidR="000F3DD0">
        <w:rPr>
          <w:rFonts w:ascii="Times New Roman" w:hAnsi="Times New Roman" w:cs="Times New Roman"/>
          <w:sz w:val="28"/>
          <w:szCs w:val="28"/>
        </w:rPr>
        <w:t xml:space="preserve"> C</w:t>
      </w:r>
      <w:r w:rsidR="00FC4498">
        <w:rPr>
          <w:rFonts w:ascii="Times New Roman" w:hAnsi="Times New Roman" w:cs="Times New Roman"/>
          <w:sz w:val="28"/>
          <w:szCs w:val="28"/>
        </w:rPr>
        <w:t>. von Otter (eds),</w:t>
      </w:r>
      <w:r w:rsidR="000F3DD0">
        <w:rPr>
          <w:rFonts w:ascii="Times New Roman" w:hAnsi="Times New Roman" w:cs="Times New Roman"/>
          <w:sz w:val="28"/>
          <w:szCs w:val="28"/>
        </w:rPr>
        <w:t xml:space="preserve"> </w:t>
      </w:r>
      <w:r w:rsidR="000F3DD0" w:rsidRPr="00FC4498">
        <w:rPr>
          <w:rFonts w:ascii="Times New Roman" w:hAnsi="Times New Roman" w:cs="Times New Roman"/>
          <w:i/>
          <w:sz w:val="28"/>
          <w:szCs w:val="28"/>
        </w:rPr>
        <w:t>Implementing Planned Markets in Health Care: Balancing Social and Economic Responsibility</w:t>
      </w:r>
      <w:r w:rsidR="00FC4498">
        <w:rPr>
          <w:rFonts w:ascii="Times New Roman" w:hAnsi="Times New Roman" w:cs="Times New Roman"/>
          <w:sz w:val="28"/>
          <w:szCs w:val="28"/>
        </w:rPr>
        <w:t xml:space="preserve">, Buckingham, UK: Open University Press, </w:t>
      </w:r>
      <w:r w:rsidR="000F3DD0">
        <w:rPr>
          <w:rFonts w:ascii="Times New Roman" w:hAnsi="Times New Roman" w:cs="Times New Roman"/>
          <w:sz w:val="28"/>
          <w:szCs w:val="28"/>
        </w:rPr>
        <w:t>45-64.</w:t>
      </w:r>
    </w:p>
    <w:p w:rsidR="00AA5D46" w:rsidRDefault="00AA5D46" w:rsidP="005522FB">
      <w:pPr>
        <w:pStyle w:val="NoSpacing"/>
        <w:rPr>
          <w:rFonts w:ascii="Times New Roman" w:hAnsi="Times New Roman" w:cs="Times New Roman"/>
          <w:sz w:val="28"/>
          <w:szCs w:val="28"/>
        </w:rPr>
      </w:pPr>
    </w:p>
    <w:p w:rsidR="00AA5D46" w:rsidRDefault="00AA5D46"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Donnan, S., Tetlow G. and S. Fleming (2017), ‘Spring breaks through the storm.” </w:t>
      </w:r>
      <w:r w:rsidRPr="000D04D5">
        <w:rPr>
          <w:rFonts w:ascii="Times New Roman" w:hAnsi="Times New Roman" w:cs="Times New Roman"/>
          <w:i/>
          <w:sz w:val="28"/>
          <w:szCs w:val="28"/>
        </w:rPr>
        <w:t>Financial Times</w:t>
      </w:r>
      <w:r>
        <w:rPr>
          <w:rFonts w:ascii="Times New Roman" w:hAnsi="Times New Roman" w:cs="Times New Roman"/>
          <w:sz w:val="28"/>
          <w:szCs w:val="28"/>
        </w:rPr>
        <w:t xml:space="preserve"> (22 April).</w:t>
      </w:r>
    </w:p>
    <w:p w:rsidR="00D0189E" w:rsidRDefault="00D0189E" w:rsidP="005522FB">
      <w:pPr>
        <w:pStyle w:val="NoSpacing"/>
        <w:rPr>
          <w:rFonts w:ascii="Times New Roman" w:hAnsi="Times New Roman" w:cs="Times New Roman"/>
          <w:sz w:val="28"/>
          <w:szCs w:val="28"/>
        </w:rPr>
      </w:pPr>
    </w:p>
    <w:p w:rsidR="00D0189E" w:rsidRDefault="004F63CC" w:rsidP="005522FB">
      <w:pPr>
        <w:pStyle w:val="NoSpacing"/>
        <w:rPr>
          <w:rFonts w:ascii="Times New Roman" w:hAnsi="Times New Roman" w:cs="Times New Roman"/>
          <w:sz w:val="28"/>
          <w:szCs w:val="28"/>
        </w:rPr>
      </w:pPr>
      <w:r>
        <w:rPr>
          <w:rFonts w:ascii="Times New Roman" w:hAnsi="Times New Roman" w:cs="Times New Roman"/>
          <w:sz w:val="28"/>
          <w:szCs w:val="28"/>
        </w:rPr>
        <w:lastRenderedPageBreak/>
        <w:t>Ferguson, N.</w:t>
      </w:r>
      <w:r w:rsidR="00D0189E">
        <w:rPr>
          <w:rFonts w:ascii="Times New Roman" w:hAnsi="Times New Roman" w:cs="Times New Roman"/>
          <w:sz w:val="28"/>
          <w:szCs w:val="28"/>
        </w:rPr>
        <w:t xml:space="preserve"> </w:t>
      </w:r>
      <w:r>
        <w:rPr>
          <w:rFonts w:ascii="Times New Roman" w:hAnsi="Times New Roman" w:cs="Times New Roman"/>
          <w:sz w:val="28"/>
          <w:szCs w:val="28"/>
        </w:rPr>
        <w:t>(</w:t>
      </w:r>
      <w:r w:rsidR="00D0189E">
        <w:rPr>
          <w:rFonts w:ascii="Times New Roman" w:hAnsi="Times New Roman" w:cs="Times New Roman"/>
          <w:sz w:val="28"/>
          <w:szCs w:val="28"/>
        </w:rPr>
        <w:t>2012</w:t>
      </w:r>
      <w:r>
        <w:rPr>
          <w:rFonts w:ascii="Times New Roman" w:hAnsi="Times New Roman" w:cs="Times New Roman"/>
          <w:sz w:val="28"/>
          <w:szCs w:val="28"/>
        </w:rPr>
        <w:t>)</w:t>
      </w:r>
      <w:r w:rsidR="00D0189E">
        <w:rPr>
          <w:rFonts w:ascii="Times New Roman" w:hAnsi="Times New Roman" w:cs="Times New Roman"/>
          <w:sz w:val="28"/>
          <w:szCs w:val="28"/>
        </w:rPr>
        <w:t xml:space="preserve">. </w:t>
      </w:r>
      <w:r w:rsidR="00D0189E" w:rsidRPr="004F63CC">
        <w:rPr>
          <w:rFonts w:ascii="Times New Roman" w:hAnsi="Times New Roman" w:cs="Times New Roman"/>
          <w:i/>
          <w:sz w:val="28"/>
          <w:szCs w:val="28"/>
        </w:rPr>
        <w:t>The Great Degeneration: How Insti</w:t>
      </w:r>
      <w:r>
        <w:rPr>
          <w:rFonts w:ascii="Times New Roman" w:hAnsi="Times New Roman" w:cs="Times New Roman"/>
          <w:i/>
          <w:sz w:val="28"/>
          <w:szCs w:val="28"/>
        </w:rPr>
        <w:t xml:space="preserve">tutions Decay and Economies Die, </w:t>
      </w:r>
      <w:r w:rsidRPr="004F63CC">
        <w:rPr>
          <w:rFonts w:ascii="Times New Roman" w:hAnsi="Times New Roman" w:cs="Times New Roman"/>
          <w:sz w:val="28"/>
          <w:szCs w:val="28"/>
        </w:rPr>
        <w:t>London:</w:t>
      </w:r>
      <w:r>
        <w:rPr>
          <w:rFonts w:ascii="Times New Roman" w:hAnsi="Times New Roman" w:cs="Times New Roman"/>
          <w:sz w:val="28"/>
          <w:szCs w:val="28"/>
        </w:rPr>
        <w:t xml:space="preserve"> Allen Lane.</w:t>
      </w:r>
    </w:p>
    <w:p w:rsidR="00E10869" w:rsidRDefault="00E10869" w:rsidP="005522FB">
      <w:pPr>
        <w:pStyle w:val="NoSpacing"/>
        <w:rPr>
          <w:rFonts w:ascii="Times New Roman" w:hAnsi="Times New Roman" w:cs="Times New Roman"/>
          <w:sz w:val="28"/>
          <w:szCs w:val="28"/>
        </w:rPr>
      </w:pPr>
    </w:p>
    <w:p w:rsidR="00E10869" w:rsidRDefault="00E10869"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Forsyth, R.W. (2017), ‘Trump’s tax challenge.” </w:t>
      </w:r>
      <w:r w:rsidRPr="00E10869">
        <w:rPr>
          <w:rFonts w:ascii="Times New Roman" w:hAnsi="Times New Roman" w:cs="Times New Roman"/>
          <w:i/>
          <w:sz w:val="28"/>
          <w:szCs w:val="28"/>
        </w:rPr>
        <w:t>Barrons</w:t>
      </w:r>
      <w:r>
        <w:rPr>
          <w:rFonts w:ascii="Times New Roman" w:hAnsi="Times New Roman" w:cs="Times New Roman"/>
          <w:sz w:val="28"/>
          <w:szCs w:val="28"/>
        </w:rPr>
        <w:t xml:space="preserve"> (1 May) pp. 5-6.</w:t>
      </w:r>
    </w:p>
    <w:p w:rsidR="00E91860" w:rsidRDefault="00E91860" w:rsidP="005522FB">
      <w:pPr>
        <w:pStyle w:val="NoSpacing"/>
        <w:rPr>
          <w:rFonts w:ascii="Times New Roman" w:hAnsi="Times New Roman" w:cs="Times New Roman"/>
          <w:sz w:val="28"/>
          <w:szCs w:val="28"/>
        </w:rPr>
      </w:pPr>
    </w:p>
    <w:p w:rsidR="00E91860" w:rsidRPr="00E91860" w:rsidRDefault="00E91860" w:rsidP="00E91860">
      <w:pPr>
        <w:pStyle w:val="Default"/>
      </w:pPr>
      <w:r>
        <w:rPr>
          <w:rFonts w:ascii="Times New Roman" w:hAnsi="Times New Roman" w:cs="Times New Roman"/>
          <w:sz w:val="28"/>
          <w:szCs w:val="28"/>
        </w:rPr>
        <w:t>Gainsbury, S., and J. Appleby (2017), ‘</w:t>
      </w:r>
      <w:r w:rsidRPr="00E91860">
        <w:rPr>
          <w:rFonts w:ascii="Times New Roman" w:hAnsi="Times New Roman" w:cs="Times New Roman"/>
          <w:bCs/>
          <w:sz w:val="28"/>
          <w:szCs w:val="28"/>
        </w:rPr>
        <w:t>NHS funding choices and the 2017 General Election</w:t>
      </w:r>
      <w:r>
        <w:rPr>
          <w:rFonts w:ascii="Times New Roman" w:hAnsi="Times New Roman" w:cs="Times New Roman"/>
          <w:bCs/>
          <w:sz w:val="28"/>
          <w:szCs w:val="28"/>
        </w:rPr>
        <w:t>,’ Briefing May 2017, Nuffield Trust, London, www.nuffieldtrust.org.uk.</w:t>
      </w:r>
    </w:p>
    <w:p w:rsidR="00466775" w:rsidRPr="00E91860" w:rsidRDefault="00466775" w:rsidP="005522FB">
      <w:pPr>
        <w:pStyle w:val="NoSpacing"/>
        <w:rPr>
          <w:rFonts w:ascii="Times New Roman" w:hAnsi="Times New Roman" w:cs="Times New Roman"/>
          <w:sz w:val="28"/>
          <w:szCs w:val="28"/>
        </w:rPr>
      </w:pPr>
    </w:p>
    <w:p w:rsidR="00466775" w:rsidRDefault="00466775" w:rsidP="005522FB">
      <w:pPr>
        <w:pStyle w:val="NoSpacing"/>
        <w:rPr>
          <w:rFonts w:ascii="Times New Roman" w:hAnsi="Times New Roman" w:cs="Times New Roman"/>
          <w:sz w:val="28"/>
          <w:szCs w:val="28"/>
        </w:rPr>
      </w:pPr>
      <w:r>
        <w:rPr>
          <w:rFonts w:ascii="Times New Roman" w:hAnsi="Times New Roman" w:cs="Times New Roman"/>
          <w:sz w:val="28"/>
          <w:szCs w:val="28"/>
        </w:rPr>
        <w:t>Giles</w:t>
      </w:r>
      <w:r w:rsidR="00486404">
        <w:rPr>
          <w:rFonts w:ascii="Times New Roman" w:hAnsi="Times New Roman" w:cs="Times New Roman"/>
          <w:sz w:val="28"/>
          <w:szCs w:val="28"/>
        </w:rPr>
        <w:t>, C.</w:t>
      </w:r>
      <w:r>
        <w:rPr>
          <w:rFonts w:ascii="Times New Roman" w:hAnsi="Times New Roman" w:cs="Times New Roman"/>
          <w:sz w:val="28"/>
          <w:szCs w:val="28"/>
        </w:rPr>
        <w:t xml:space="preserve"> </w:t>
      </w:r>
      <w:r w:rsidR="00486404">
        <w:rPr>
          <w:rFonts w:ascii="Times New Roman" w:hAnsi="Times New Roman" w:cs="Times New Roman"/>
          <w:sz w:val="28"/>
          <w:szCs w:val="28"/>
        </w:rPr>
        <w:t>(2017), ‘</w:t>
      </w:r>
      <w:r>
        <w:rPr>
          <w:rFonts w:ascii="Times New Roman" w:hAnsi="Times New Roman" w:cs="Times New Roman"/>
          <w:sz w:val="28"/>
          <w:szCs w:val="28"/>
        </w:rPr>
        <w:t>OECD warns of need to e</w:t>
      </w:r>
      <w:r w:rsidR="00486404">
        <w:rPr>
          <w:rFonts w:ascii="Times New Roman" w:hAnsi="Times New Roman" w:cs="Times New Roman"/>
          <w:sz w:val="28"/>
          <w:szCs w:val="28"/>
        </w:rPr>
        <w:t>scape global ‘low-growth trap’’,</w:t>
      </w:r>
      <w:r>
        <w:rPr>
          <w:rFonts w:ascii="Times New Roman" w:hAnsi="Times New Roman" w:cs="Times New Roman"/>
          <w:sz w:val="28"/>
          <w:szCs w:val="28"/>
        </w:rPr>
        <w:t xml:space="preserve"> </w:t>
      </w:r>
      <w:r w:rsidRPr="00486404">
        <w:rPr>
          <w:rFonts w:ascii="Times New Roman" w:hAnsi="Times New Roman" w:cs="Times New Roman"/>
          <w:i/>
          <w:sz w:val="28"/>
          <w:szCs w:val="28"/>
        </w:rPr>
        <w:t>Financial Times</w:t>
      </w:r>
      <w:r>
        <w:rPr>
          <w:rFonts w:ascii="Times New Roman" w:hAnsi="Times New Roman" w:cs="Times New Roman"/>
          <w:sz w:val="28"/>
          <w:szCs w:val="28"/>
        </w:rPr>
        <w:t xml:space="preserve"> (7 March).</w:t>
      </w:r>
    </w:p>
    <w:p w:rsidR="006B1CC6" w:rsidRDefault="006B1CC6" w:rsidP="005522FB">
      <w:pPr>
        <w:pStyle w:val="NoSpacing"/>
        <w:rPr>
          <w:rFonts w:ascii="Times New Roman" w:hAnsi="Times New Roman" w:cs="Times New Roman"/>
          <w:sz w:val="28"/>
          <w:szCs w:val="28"/>
        </w:rPr>
      </w:pPr>
    </w:p>
    <w:p w:rsidR="006B1CC6" w:rsidRDefault="006B1CC6"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Greer, S., Wismar, M., and J. Figueras, eds., 2015. </w:t>
      </w:r>
      <w:r w:rsidRPr="006B1CC6">
        <w:rPr>
          <w:rFonts w:ascii="Times New Roman" w:hAnsi="Times New Roman" w:cs="Times New Roman"/>
          <w:i/>
          <w:sz w:val="28"/>
          <w:szCs w:val="28"/>
        </w:rPr>
        <w:t>Strengthening Health System Governance: Better Policies, Stronger Performance.</w:t>
      </w:r>
      <w:r>
        <w:rPr>
          <w:rFonts w:ascii="Times New Roman" w:hAnsi="Times New Roman" w:cs="Times New Roman"/>
          <w:sz w:val="28"/>
          <w:szCs w:val="28"/>
        </w:rPr>
        <w:t xml:space="preserve"> Open University Press/McGraw-Hill Education, Basingstoke, UK.</w:t>
      </w:r>
    </w:p>
    <w:p w:rsidR="0053309B" w:rsidRDefault="0053309B" w:rsidP="0053309B">
      <w:pPr>
        <w:rPr>
          <w:rFonts w:ascii="Times New Roman" w:eastAsiaTheme="minorHAnsi" w:hAnsi="Times New Roman"/>
          <w:sz w:val="28"/>
          <w:szCs w:val="28"/>
        </w:rPr>
      </w:pPr>
    </w:p>
    <w:p w:rsidR="0053309B" w:rsidRPr="0053309B" w:rsidRDefault="0053309B" w:rsidP="0053309B">
      <w:pPr>
        <w:rPr>
          <w:rFonts w:ascii="Times New Roman" w:hAnsi="Times New Roman"/>
          <w:sz w:val="28"/>
          <w:szCs w:val="28"/>
        </w:rPr>
      </w:pPr>
      <w:r w:rsidRPr="00F31F9B">
        <w:rPr>
          <w:rFonts w:ascii="Times New Roman" w:hAnsi="Times New Roman"/>
          <w:sz w:val="24"/>
          <w:szCs w:val="24"/>
        </w:rPr>
        <w:t>G</w:t>
      </w:r>
      <w:r w:rsidRPr="0053309B">
        <w:rPr>
          <w:rFonts w:ascii="Times New Roman" w:hAnsi="Times New Roman"/>
          <w:sz w:val="28"/>
          <w:szCs w:val="28"/>
        </w:rPr>
        <w:t xml:space="preserve">öpffartha, D. and K.-D. Henke, 2013.  “The German Central Health Fund—Recent developments in health care financing in Germany.”  </w:t>
      </w:r>
      <w:r w:rsidRPr="0053309B">
        <w:rPr>
          <w:rFonts w:ascii="Times New Roman" w:hAnsi="Times New Roman"/>
          <w:i/>
          <w:sz w:val="28"/>
          <w:szCs w:val="28"/>
        </w:rPr>
        <w:t>Health Policy.</w:t>
      </w:r>
      <w:r w:rsidRPr="0053309B">
        <w:rPr>
          <w:rFonts w:ascii="Times New Roman" w:hAnsi="Times New Roman"/>
          <w:sz w:val="28"/>
          <w:szCs w:val="28"/>
        </w:rPr>
        <w:t xml:space="preserve"> 109: 246– 252</w:t>
      </w:r>
      <w:r w:rsidR="007971D3">
        <w:rPr>
          <w:rFonts w:ascii="Times New Roman" w:hAnsi="Times New Roman"/>
          <w:sz w:val="28"/>
          <w:szCs w:val="28"/>
        </w:rPr>
        <w:t>.</w:t>
      </w:r>
    </w:p>
    <w:p w:rsidR="0053309B" w:rsidRDefault="0053309B" w:rsidP="005522FB">
      <w:pPr>
        <w:pStyle w:val="NoSpacing"/>
        <w:rPr>
          <w:rFonts w:ascii="Times New Roman" w:hAnsi="Times New Roman" w:cs="Times New Roman"/>
          <w:sz w:val="28"/>
          <w:szCs w:val="28"/>
        </w:rPr>
      </w:pPr>
    </w:p>
    <w:p w:rsidR="007B6370" w:rsidRDefault="007B6370" w:rsidP="007B6370">
      <w:pPr>
        <w:rPr>
          <w:rFonts w:ascii="Times New Roman" w:hAnsi="Times New Roman"/>
          <w:sz w:val="28"/>
          <w:szCs w:val="28"/>
        </w:rPr>
      </w:pPr>
      <w:r w:rsidRPr="007B6370">
        <w:rPr>
          <w:rFonts w:ascii="Times New Roman" w:hAnsi="Times New Roman"/>
          <w:sz w:val="28"/>
          <w:szCs w:val="28"/>
        </w:rPr>
        <w:t>Hagen,</w:t>
      </w:r>
      <w:r>
        <w:rPr>
          <w:rFonts w:ascii="Times New Roman" w:hAnsi="Times New Roman"/>
          <w:sz w:val="28"/>
          <w:szCs w:val="28"/>
        </w:rPr>
        <w:t xml:space="preserve"> T., </w:t>
      </w:r>
      <w:r w:rsidRPr="007B6370">
        <w:rPr>
          <w:rFonts w:ascii="Times New Roman" w:hAnsi="Times New Roman"/>
          <w:sz w:val="28"/>
          <w:szCs w:val="28"/>
        </w:rPr>
        <w:t>Saltman,</w:t>
      </w:r>
      <w:r>
        <w:rPr>
          <w:rFonts w:ascii="Times New Roman" w:hAnsi="Times New Roman"/>
          <w:sz w:val="28"/>
          <w:szCs w:val="28"/>
        </w:rPr>
        <w:t xml:space="preserve"> R.B., </w:t>
      </w:r>
      <w:r w:rsidRPr="007B6370">
        <w:rPr>
          <w:rFonts w:ascii="Times New Roman" w:hAnsi="Times New Roman"/>
          <w:sz w:val="28"/>
          <w:szCs w:val="28"/>
        </w:rPr>
        <w:t>an</w:t>
      </w:r>
      <w:r>
        <w:rPr>
          <w:rFonts w:ascii="Times New Roman" w:hAnsi="Times New Roman"/>
          <w:sz w:val="28"/>
          <w:szCs w:val="28"/>
        </w:rPr>
        <w:t>d K. Vrangbaek (</w:t>
      </w:r>
      <w:r w:rsidRPr="007B6370">
        <w:rPr>
          <w:rFonts w:ascii="Times New Roman" w:hAnsi="Times New Roman"/>
          <w:sz w:val="28"/>
          <w:szCs w:val="28"/>
        </w:rPr>
        <w:t>2015</w:t>
      </w:r>
      <w:r>
        <w:rPr>
          <w:rFonts w:ascii="Times New Roman" w:hAnsi="Times New Roman"/>
          <w:sz w:val="28"/>
          <w:szCs w:val="28"/>
        </w:rPr>
        <w:t>), ‘</w:t>
      </w:r>
      <w:r w:rsidRPr="007B6370">
        <w:rPr>
          <w:rFonts w:ascii="Times New Roman" w:hAnsi="Times New Roman"/>
          <w:sz w:val="28"/>
          <w:szCs w:val="28"/>
        </w:rPr>
        <w:t>New Strategies for Elde</w:t>
      </w:r>
      <w:r>
        <w:rPr>
          <w:rFonts w:ascii="Times New Roman" w:hAnsi="Times New Roman"/>
          <w:sz w:val="28"/>
          <w:szCs w:val="28"/>
        </w:rPr>
        <w:t>rly Care in Denmark and Norway’,</w:t>
      </w:r>
      <w:r w:rsidRPr="007B6370">
        <w:rPr>
          <w:rFonts w:ascii="Times New Roman" w:hAnsi="Times New Roman"/>
          <w:i/>
          <w:sz w:val="28"/>
          <w:szCs w:val="28"/>
        </w:rPr>
        <w:t xml:space="preserve"> Eurohealth</w:t>
      </w:r>
      <w:r w:rsidRPr="007B6370">
        <w:rPr>
          <w:rFonts w:ascii="Times New Roman" w:hAnsi="Times New Roman"/>
          <w:sz w:val="28"/>
          <w:szCs w:val="28"/>
        </w:rPr>
        <w:t xml:space="preserve"> 21 (2): 23-26.</w:t>
      </w:r>
    </w:p>
    <w:p w:rsidR="00B80A67" w:rsidRDefault="00B80A67" w:rsidP="007B6370">
      <w:pPr>
        <w:rPr>
          <w:rFonts w:ascii="Times New Roman" w:hAnsi="Times New Roman"/>
          <w:sz w:val="28"/>
          <w:szCs w:val="28"/>
        </w:rPr>
      </w:pPr>
    </w:p>
    <w:p w:rsidR="00B80A67" w:rsidRDefault="00B80A67" w:rsidP="007B6370">
      <w:pPr>
        <w:rPr>
          <w:rFonts w:ascii="Times New Roman" w:hAnsi="Times New Roman"/>
          <w:sz w:val="28"/>
          <w:szCs w:val="28"/>
        </w:rPr>
      </w:pPr>
      <w:r>
        <w:rPr>
          <w:rFonts w:ascii="Times New Roman" w:hAnsi="Times New Roman"/>
          <w:sz w:val="28"/>
          <w:szCs w:val="28"/>
        </w:rPr>
        <w:t>Ip, G</w:t>
      </w:r>
      <w:r w:rsidR="008C5B8D">
        <w:rPr>
          <w:rFonts w:ascii="Times New Roman" w:hAnsi="Times New Roman"/>
          <w:sz w:val="28"/>
          <w:szCs w:val="28"/>
        </w:rPr>
        <w:t>.</w:t>
      </w:r>
      <w:r>
        <w:rPr>
          <w:rFonts w:ascii="Times New Roman" w:hAnsi="Times New Roman"/>
          <w:sz w:val="28"/>
          <w:szCs w:val="28"/>
        </w:rPr>
        <w:t xml:space="preserve"> (2017), ‘Round two will challenge ideas on nation’s workers.’ </w:t>
      </w:r>
      <w:r w:rsidRPr="00B80A67">
        <w:rPr>
          <w:rFonts w:ascii="Times New Roman" w:hAnsi="Times New Roman"/>
          <w:i/>
          <w:sz w:val="28"/>
          <w:szCs w:val="28"/>
        </w:rPr>
        <w:t>Wall Street</w:t>
      </w:r>
      <w:r>
        <w:rPr>
          <w:rFonts w:ascii="Times New Roman" w:hAnsi="Times New Roman"/>
          <w:sz w:val="28"/>
          <w:szCs w:val="28"/>
        </w:rPr>
        <w:t xml:space="preserve"> </w:t>
      </w:r>
      <w:r w:rsidRPr="00B80A67">
        <w:rPr>
          <w:rFonts w:ascii="Times New Roman" w:hAnsi="Times New Roman"/>
          <w:i/>
          <w:sz w:val="28"/>
          <w:szCs w:val="28"/>
        </w:rPr>
        <w:t>Journal</w:t>
      </w:r>
      <w:r>
        <w:rPr>
          <w:rFonts w:ascii="Times New Roman" w:hAnsi="Times New Roman"/>
          <w:sz w:val="28"/>
          <w:szCs w:val="28"/>
        </w:rPr>
        <w:t xml:space="preserve"> (24 April).</w:t>
      </w:r>
    </w:p>
    <w:p w:rsidR="00DE0E61" w:rsidRDefault="00DE0E61" w:rsidP="007B6370">
      <w:pPr>
        <w:rPr>
          <w:rFonts w:ascii="Times New Roman" w:hAnsi="Times New Roman"/>
          <w:sz w:val="28"/>
          <w:szCs w:val="28"/>
        </w:rPr>
      </w:pPr>
    </w:p>
    <w:p w:rsidR="00DE0E61" w:rsidRPr="00DE0E61" w:rsidRDefault="00DE0E61" w:rsidP="007B6370">
      <w:pPr>
        <w:rPr>
          <w:rFonts w:ascii="Times New Roman" w:hAnsi="Times New Roman"/>
          <w:sz w:val="28"/>
          <w:szCs w:val="28"/>
        </w:rPr>
      </w:pPr>
      <w:r>
        <w:rPr>
          <w:rFonts w:ascii="Times New Roman" w:hAnsi="Times New Roman"/>
          <w:sz w:val="28"/>
          <w:szCs w:val="28"/>
        </w:rPr>
        <w:t>Jackson, G. (2017), ‘</w:t>
      </w:r>
      <w:r w:rsidRPr="00DE0E61">
        <w:rPr>
          <w:rStyle w:val="article-classifiergap"/>
          <w:rFonts w:ascii="Times New Roman" w:hAnsi="Times New Roman"/>
          <w:bCs/>
          <w:color w:val="333333"/>
          <w:sz w:val="28"/>
          <w:szCs w:val="28"/>
          <w:lang w:val="en-GB"/>
        </w:rPr>
        <w:t>UK economy slows more than expected in first quarter of 2017</w:t>
      </w:r>
      <w:r>
        <w:rPr>
          <w:rStyle w:val="article-classifiergap"/>
          <w:rFonts w:ascii="Times New Roman" w:hAnsi="Times New Roman"/>
          <w:bCs/>
          <w:color w:val="333333"/>
          <w:sz w:val="28"/>
          <w:szCs w:val="28"/>
          <w:lang w:val="en-GB"/>
        </w:rPr>
        <w:t xml:space="preserve">,’ </w:t>
      </w:r>
      <w:r w:rsidRPr="00DE0E61">
        <w:rPr>
          <w:rStyle w:val="article-classifiergap"/>
          <w:rFonts w:ascii="Times New Roman" w:hAnsi="Times New Roman"/>
          <w:bCs/>
          <w:i/>
          <w:color w:val="333333"/>
          <w:sz w:val="28"/>
          <w:szCs w:val="28"/>
          <w:lang w:val="en-GB"/>
        </w:rPr>
        <w:t xml:space="preserve">Financial Times </w:t>
      </w:r>
      <w:r>
        <w:rPr>
          <w:rStyle w:val="article-classifiergap"/>
          <w:rFonts w:ascii="Times New Roman" w:hAnsi="Times New Roman"/>
          <w:bCs/>
          <w:color w:val="333333"/>
          <w:sz w:val="28"/>
          <w:szCs w:val="28"/>
          <w:lang w:val="en-GB"/>
        </w:rPr>
        <w:t>(25 May).</w:t>
      </w:r>
    </w:p>
    <w:p w:rsidR="00837391" w:rsidRPr="007B6370" w:rsidRDefault="00837391" w:rsidP="005522FB">
      <w:pPr>
        <w:pStyle w:val="NoSpacing"/>
        <w:rPr>
          <w:rFonts w:ascii="Times New Roman" w:hAnsi="Times New Roman" w:cs="Times New Roman"/>
          <w:sz w:val="28"/>
          <w:szCs w:val="28"/>
        </w:rPr>
      </w:pPr>
    </w:p>
    <w:p w:rsidR="00837391" w:rsidRDefault="00837391" w:rsidP="005522FB">
      <w:pPr>
        <w:pStyle w:val="NoSpacing"/>
        <w:rPr>
          <w:rFonts w:ascii="Times New Roman" w:hAnsi="Times New Roman" w:cs="Times New Roman"/>
          <w:sz w:val="28"/>
          <w:szCs w:val="28"/>
        </w:rPr>
      </w:pPr>
      <w:r>
        <w:rPr>
          <w:rFonts w:ascii="Times New Roman" w:hAnsi="Times New Roman" w:cs="Times New Roman"/>
          <w:sz w:val="28"/>
          <w:szCs w:val="28"/>
        </w:rPr>
        <w:t>Jacques</w:t>
      </w:r>
      <w:r w:rsidR="00B34E9F">
        <w:rPr>
          <w:rFonts w:ascii="Times New Roman" w:hAnsi="Times New Roman" w:cs="Times New Roman"/>
          <w:sz w:val="28"/>
          <w:szCs w:val="28"/>
        </w:rPr>
        <w:t>, M.</w:t>
      </w:r>
      <w:r>
        <w:rPr>
          <w:rFonts w:ascii="Times New Roman" w:hAnsi="Times New Roman" w:cs="Times New Roman"/>
          <w:sz w:val="28"/>
          <w:szCs w:val="28"/>
        </w:rPr>
        <w:t xml:space="preserve"> </w:t>
      </w:r>
      <w:r w:rsidR="00B34E9F">
        <w:rPr>
          <w:rFonts w:ascii="Times New Roman" w:hAnsi="Times New Roman" w:cs="Times New Roman"/>
          <w:sz w:val="28"/>
          <w:szCs w:val="28"/>
        </w:rPr>
        <w:t xml:space="preserve">(2012), </w:t>
      </w:r>
      <w:r w:rsidR="00B34E9F">
        <w:rPr>
          <w:rFonts w:ascii="Times New Roman" w:hAnsi="Times New Roman" w:cs="Times New Roman"/>
          <w:i/>
          <w:sz w:val="28"/>
          <w:szCs w:val="28"/>
        </w:rPr>
        <w:t>When China Rules the World</w:t>
      </w:r>
      <w:r w:rsidR="00B34E9F" w:rsidRPr="00B34E9F">
        <w:rPr>
          <w:rFonts w:ascii="Times New Roman" w:hAnsi="Times New Roman" w:cs="Times New Roman"/>
          <w:sz w:val="28"/>
          <w:szCs w:val="28"/>
        </w:rPr>
        <w:t>,</w:t>
      </w:r>
      <w:r w:rsidRPr="00B34E9F">
        <w:rPr>
          <w:rFonts w:ascii="Times New Roman" w:hAnsi="Times New Roman" w:cs="Times New Roman"/>
          <w:sz w:val="28"/>
          <w:szCs w:val="28"/>
        </w:rPr>
        <w:t xml:space="preserve"> </w:t>
      </w:r>
      <w:r w:rsidR="00B34E9F">
        <w:rPr>
          <w:rFonts w:ascii="Times New Roman" w:hAnsi="Times New Roman" w:cs="Times New Roman"/>
          <w:sz w:val="28"/>
          <w:szCs w:val="28"/>
        </w:rPr>
        <w:t>New York: Penguin Books.</w:t>
      </w:r>
    </w:p>
    <w:p w:rsidR="00422943" w:rsidRDefault="00422943" w:rsidP="005522FB">
      <w:pPr>
        <w:pStyle w:val="NoSpacing"/>
        <w:rPr>
          <w:rFonts w:ascii="Times New Roman" w:hAnsi="Times New Roman" w:cs="Times New Roman"/>
          <w:sz w:val="28"/>
          <w:szCs w:val="28"/>
        </w:rPr>
      </w:pPr>
    </w:p>
    <w:p w:rsidR="00422943" w:rsidRDefault="00422943"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Johansson, L. (1997), ‘Decentralization from acute to home care settings in Sweden,’ </w:t>
      </w:r>
      <w:r w:rsidRPr="00422943">
        <w:rPr>
          <w:rFonts w:ascii="Times New Roman" w:hAnsi="Times New Roman" w:cs="Times New Roman"/>
          <w:i/>
          <w:sz w:val="28"/>
          <w:szCs w:val="28"/>
        </w:rPr>
        <w:t>Health Policy</w:t>
      </w:r>
      <w:r>
        <w:rPr>
          <w:rFonts w:ascii="Times New Roman" w:hAnsi="Times New Roman" w:cs="Times New Roman"/>
          <w:sz w:val="28"/>
          <w:szCs w:val="28"/>
        </w:rPr>
        <w:t xml:space="preserve"> 41 (Supplement): S131-S144.</w:t>
      </w:r>
    </w:p>
    <w:p w:rsidR="00CF1D80" w:rsidRDefault="00CF1D80" w:rsidP="005522FB">
      <w:pPr>
        <w:pStyle w:val="NoSpacing"/>
        <w:rPr>
          <w:rFonts w:ascii="Times New Roman" w:hAnsi="Times New Roman" w:cs="Times New Roman"/>
          <w:sz w:val="28"/>
          <w:szCs w:val="28"/>
        </w:rPr>
      </w:pPr>
    </w:p>
    <w:p w:rsidR="00CF1D80" w:rsidRDefault="00CF1D80"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Jones, C. (2017), ‘Paris and Berlin buoy Eurozone with upbeat business data,” </w:t>
      </w:r>
      <w:r w:rsidRPr="00CF1D80">
        <w:rPr>
          <w:rFonts w:ascii="Times New Roman" w:hAnsi="Times New Roman" w:cs="Times New Roman"/>
          <w:i/>
          <w:sz w:val="28"/>
          <w:szCs w:val="28"/>
        </w:rPr>
        <w:t>Financial Times</w:t>
      </w:r>
      <w:r>
        <w:rPr>
          <w:rFonts w:ascii="Times New Roman" w:hAnsi="Times New Roman" w:cs="Times New Roman"/>
          <w:sz w:val="28"/>
          <w:szCs w:val="28"/>
        </w:rPr>
        <w:t xml:space="preserve"> (24 May).</w:t>
      </w:r>
    </w:p>
    <w:p w:rsidR="009D3B76" w:rsidRDefault="009D3B76" w:rsidP="005522FB">
      <w:pPr>
        <w:pStyle w:val="NoSpacing"/>
        <w:rPr>
          <w:rFonts w:ascii="Times New Roman" w:hAnsi="Times New Roman" w:cs="Times New Roman"/>
          <w:sz w:val="28"/>
          <w:szCs w:val="28"/>
        </w:rPr>
      </w:pPr>
    </w:p>
    <w:p w:rsidR="009D3B76" w:rsidRDefault="009D3B76" w:rsidP="005522FB">
      <w:pPr>
        <w:pStyle w:val="NoSpacing"/>
        <w:rPr>
          <w:rFonts w:ascii="Times New Roman" w:hAnsi="Times New Roman" w:cs="Times New Roman"/>
          <w:sz w:val="28"/>
          <w:szCs w:val="28"/>
        </w:rPr>
      </w:pPr>
      <w:r>
        <w:rPr>
          <w:rFonts w:ascii="Times New Roman" w:hAnsi="Times New Roman" w:cs="Times New Roman"/>
          <w:sz w:val="28"/>
          <w:szCs w:val="28"/>
        </w:rPr>
        <w:t>King</w:t>
      </w:r>
      <w:r w:rsidR="001E186A">
        <w:rPr>
          <w:rFonts w:ascii="Times New Roman" w:hAnsi="Times New Roman" w:cs="Times New Roman"/>
          <w:sz w:val="28"/>
          <w:szCs w:val="28"/>
        </w:rPr>
        <w:t>,</w:t>
      </w:r>
      <w:r>
        <w:rPr>
          <w:rFonts w:ascii="Times New Roman" w:hAnsi="Times New Roman" w:cs="Times New Roman"/>
          <w:sz w:val="28"/>
          <w:szCs w:val="28"/>
        </w:rPr>
        <w:t xml:space="preserve"> S</w:t>
      </w:r>
      <w:r w:rsidR="001E186A">
        <w:rPr>
          <w:rFonts w:ascii="Times New Roman" w:hAnsi="Times New Roman" w:cs="Times New Roman"/>
          <w:sz w:val="28"/>
          <w:szCs w:val="28"/>
        </w:rPr>
        <w:t>.D.</w:t>
      </w:r>
      <w:r>
        <w:rPr>
          <w:rFonts w:ascii="Times New Roman" w:hAnsi="Times New Roman" w:cs="Times New Roman"/>
          <w:sz w:val="28"/>
          <w:szCs w:val="28"/>
        </w:rPr>
        <w:t xml:space="preserve"> </w:t>
      </w:r>
      <w:r w:rsidR="001E186A">
        <w:rPr>
          <w:rFonts w:ascii="Times New Roman" w:hAnsi="Times New Roman" w:cs="Times New Roman"/>
          <w:sz w:val="28"/>
          <w:szCs w:val="28"/>
        </w:rPr>
        <w:t>(2010),</w:t>
      </w:r>
      <w:r>
        <w:rPr>
          <w:rFonts w:ascii="Times New Roman" w:hAnsi="Times New Roman" w:cs="Times New Roman"/>
          <w:sz w:val="28"/>
          <w:szCs w:val="28"/>
        </w:rPr>
        <w:t xml:space="preserve"> </w:t>
      </w:r>
      <w:r w:rsidRPr="001E186A">
        <w:rPr>
          <w:rFonts w:ascii="Times New Roman" w:hAnsi="Times New Roman" w:cs="Times New Roman"/>
          <w:i/>
          <w:sz w:val="28"/>
          <w:szCs w:val="28"/>
        </w:rPr>
        <w:t>Losing Control: The Emergin</w:t>
      </w:r>
      <w:r w:rsidR="001E186A">
        <w:rPr>
          <w:rFonts w:ascii="Times New Roman" w:hAnsi="Times New Roman" w:cs="Times New Roman"/>
          <w:i/>
          <w:sz w:val="28"/>
          <w:szCs w:val="28"/>
        </w:rPr>
        <w:t>g Threats to Western Prosperity,</w:t>
      </w:r>
      <w:r>
        <w:rPr>
          <w:rFonts w:ascii="Times New Roman" w:hAnsi="Times New Roman" w:cs="Times New Roman"/>
          <w:sz w:val="28"/>
          <w:szCs w:val="28"/>
        </w:rPr>
        <w:t xml:space="preserve"> </w:t>
      </w:r>
      <w:r w:rsidR="001E186A">
        <w:rPr>
          <w:rFonts w:ascii="Times New Roman" w:hAnsi="Times New Roman" w:cs="Times New Roman"/>
          <w:sz w:val="28"/>
          <w:szCs w:val="28"/>
        </w:rPr>
        <w:t xml:space="preserve">New Haven and London: </w:t>
      </w:r>
      <w:r>
        <w:rPr>
          <w:rFonts w:ascii="Times New Roman" w:hAnsi="Times New Roman" w:cs="Times New Roman"/>
          <w:sz w:val="28"/>
          <w:szCs w:val="28"/>
        </w:rPr>
        <w:t>Yale</w:t>
      </w:r>
      <w:r w:rsidR="001E186A">
        <w:rPr>
          <w:rFonts w:ascii="Times New Roman" w:hAnsi="Times New Roman" w:cs="Times New Roman"/>
          <w:sz w:val="28"/>
          <w:szCs w:val="28"/>
        </w:rPr>
        <w:t xml:space="preserve"> University Press</w:t>
      </w:r>
      <w:r>
        <w:rPr>
          <w:rFonts w:ascii="Times New Roman" w:hAnsi="Times New Roman" w:cs="Times New Roman"/>
          <w:sz w:val="28"/>
          <w:szCs w:val="28"/>
        </w:rPr>
        <w:t>.</w:t>
      </w:r>
    </w:p>
    <w:p w:rsidR="004D6810" w:rsidRDefault="004D6810" w:rsidP="005522FB">
      <w:pPr>
        <w:pStyle w:val="NoSpacing"/>
        <w:rPr>
          <w:rFonts w:ascii="Times New Roman" w:hAnsi="Times New Roman" w:cs="Times New Roman"/>
          <w:sz w:val="28"/>
          <w:szCs w:val="28"/>
        </w:rPr>
      </w:pPr>
    </w:p>
    <w:p w:rsidR="004D6810" w:rsidRDefault="004D6810" w:rsidP="005522FB">
      <w:pPr>
        <w:pStyle w:val="NoSpacing"/>
        <w:rPr>
          <w:rFonts w:ascii="Times New Roman" w:hAnsi="Times New Roman" w:cs="Times New Roman"/>
          <w:sz w:val="28"/>
          <w:szCs w:val="28"/>
        </w:rPr>
      </w:pPr>
      <w:r>
        <w:rPr>
          <w:rFonts w:ascii="Times New Roman" w:hAnsi="Times New Roman" w:cs="Times New Roman"/>
          <w:sz w:val="28"/>
          <w:szCs w:val="28"/>
        </w:rPr>
        <w:lastRenderedPageBreak/>
        <w:t>King</w:t>
      </w:r>
      <w:r w:rsidR="001E186A">
        <w:rPr>
          <w:rFonts w:ascii="Times New Roman" w:hAnsi="Times New Roman" w:cs="Times New Roman"/>
          <w:sz w:val="28"/>
          <w:szCs w:val="28"/>
        </w:rPr>
        <w:t>,</w:t>
      </w:r>
      <w:r>
        <w:rPr>
          <w:rFonts w:ascii="Times New Roman" w:hAnsi="Times New Roman" w:cs="Times New Roman"/>
          <w:sz w:val="28"/>
          <w:szCs w:val="28"/>
        </w:rPr>
        <w:t xml:space="preserve"> S</w:t>
      </w:r>
      <w:r w:rsidR="001E186A">
        <w:rPr>
          <w:rFonts w:ascii="Times New Roman" w:hAnsi="Times New Roman" w:cs="Times New Roman"/>
          <w:sz w:val="28"/>
          <w:szCs w:val="28"/>
        </w:rPr>
        <w:t>.D.</w:t>
      </w:r>
      <w:r>
        <w:rPr>
          <w:rFonts w:ascii="Times New Roman" w:hAnsi="Times New Roman" w:cs="Times New Roman"/>
          <w:sz w:val="28"/>
          <w:szCs w:val="28"/>
        </w:rPr>
        <w:t xml:space="preserve"> </w:t>
      </w:r>
      <w:r w:rsidR="001E186A">
        <w:rPr>
          <w:rFonts w:ascii="Times New Roman" w:hAnsi="Times New Roman" w:cs="Times New Roman"/>
          <w:sz w:val="28"/>
          <w:szCs w:val="28"/>
        </w:rPr>
        <w:t>(</w:t>
      </w:r>
      <w:r>
        <w:rPr>
          <w:rFonts w:ascii="Times New Roman" w:hAnsi="Times New Roman" w:cs="Times New Roman"/>
          <w:sz w:val="28"/>
          <w:szCs w:val="28"/>
        </w:rPr>
        <w:t>2013</w:t>
      </w:r>
      <w:r w:rsidR="001E186A">
        <w:rPr>
          <w:rFonts w:ascii="Times New Roman" w:hAnsi="Times New Roman" w:cs="Times New Roman"/>
          <w:sz w:val="28"/>
          <w:szCs w:val="28"/>
        </w:rPr>
        <w:t xml:space="preserve">), </w:t>
      </w:r>
      <w:r w:rsidRPr="001E186A">
        <w:rPr>
          <w:rFonts w:ascii="Times New Roman" w:hAnsi="Times New Roman" w:cs="Times New Roman"/>
          <w:i/>
          <w:sz w:val="28"/>
          <w:szCs w:val="28"/>
        </w:rPr>
        <w:t>When the Money Runs Out: The End of Western Affluence.</w:t>
      </w:r>
      <w:r>
        <w:rPr>
          <w:rFonts w:ascii="Times New Roman" w:hAnsi="Times New Roman" w:cs="Times New Roman"/>
          <w:sz w:val="28"/>
          <w:szCs w:val="28"/>
        </w:rPr>
        <w:t xml:space="preserve"> Yale University Press, New Haven, CT.</w:t>
      </w:r>
    </w:p>
    <w:p w:rsidR="00D34165" w:rsidRDefault="00D34165" w:rsidP="00525357">
      <w:pPr>
        <w:shd w:val="clear" w:color="auto" w:fill="FAFAFA"/>
        <w:spacing w:line="312" w:lineRule="atLeast"/>
        <w:outlineLvl w:val="1"/>
        <w:rPr>
          <w:rFonts w:ascii="Times New Roman" w:eastAsiaTheme="minorHAnsi" w:hAnsi="Times New Roman"/>
          <w:sz w:val="28"/>
          <w:szCs w:val="28"/>
        </w:rPr>
      </w:pPr>
    </w:p>
    <w:p w:rsidR="009D6782" w:rsidRDefault="009D6782" w:rsidP="00525357">
      <w:pPr>
        <w:shd w:val="clear" w:color="auto" w:fill="FAFAFA"/>
        <w:spacing w:line="312" w:lineRule="atLeast"/>
        <w:outlineLvl w:val="1"/>
        <w:rPr>
          <w:rFonts w:ascii="Times New Roman" w:eastAsiaTheme="minorHAnsi" w:hAnsi="Times New Roman"/>
          <w:sz w:val="28"/>
          <w:szCs w:val="28"/>
        </w:rPr>
      </w:pPr>
      <w:r>
        <w:rPr>
          <w:rFonts w:ascii="Times New Roman" w:eastAsiaTheme="minorHAnsi" w:hAnsi="Times New Roman"/>
          <w:sz w:val="28"/>
          <w:szCs w:val="28"/>
        </w:rPr>
        <w:t xml:space="preserve">Kravis, M.-J. (2017), ‘The Great Productivity Slowdown,’ </w:t>
      </w:r>
      <w:r w:rsidRPr="009D6782">
        <w:rPr>
          <w:rFonts w:ascii="Times New Roman" w:eastAsiaTheme="minorHAnsi" w:hAnsi="Times New Roman"/>
          <w:i/>
          <w:sz w:val="28"/>
          <w:szCs w:val="28"/>
        </w:rPr>
        <w:t>Wall Street Journal</w:t>
      </w:r>
      <w:r>
        <w:rPr>
          <w:rFonts w:ascii="Times New Roman" w:eastAsiaTheme="minorHAnsi" w:hAnsi="Times New Roman"/>
          <w:sz w:val="28"/>
          <w:szCs w:val="28"/>
        </w:rPr>
        <w:t xml:space="preserve"> </w:t>
      </w:r>
    </w:p>
    <w:p w:rsidR="009D6782" w:rsidRDefault="009D6782" w:rsidP="00525357">
      <w:pPr>
        <w:shd w:val="clear" w:color="auto" w:fill="FAFAFA"/>
        <w:spacing w:line="312" w:lineRule="atLeast"/>
        <w:outlineLvl w:val="1"/>
        <w:rPr>
          <w:rFonts w:ascii="Times New Roman" w:eastAsiaTheme="minorHAnsi" w:hAnsi="Times New Roman"/>
          <w:sz w:val="28"/>
          <w:szCs w:val="28"/>
        </w:rPr>
      </w:pPr>
      <w:r>
        <w:rPr>
          <w:rFonts w:ascii="Times New Roman" w:eastAsiaTheme="minorHAnsi" w:hAnsi="Times New Roman"/>
          <w:sz w:val="28"/>
          <w:szCs w:val="28"/>
        </w:rPr>
        <w:t>(5 May).</w:t>
      </w:r>
    </w:p>
    <w:p w:rsidR="009D6782" w:rsidRDefault="009D6782" w:rsidP="00525357">
      <w:pPr>
        <w:shd w:val="clear" w:color="auto" w:fill="FAFAFA"/>
        <w:spacing w:line="312" w:lineRule="atLeast"/>
        <w:outlineLvl w:val="1"/>
        <w:rPr>
          <w:rFonts w:ascii="Times New Roman" w:hAnsi="Times New Roman"/>
          <w:sz w:val="28"/>
          <w:szCs w:val="28"/>
        </w:rPr>
      </w:pPr>
    </w:p>
    <w:p w:rsidR="00D34165" w:rsidRDefault="00D34165" w:rsidP="00525357">
      <w:pPr>
        <w:shd w:val="clear" w:color="auto" w:fill="FAFAFA"/>
        <w:spacing w:line="312" w:lineRule="atLeast"/>
        <w:outlineLvl w:val="1"/>
        <w:rPr>
          <w:rFonts w:ascii="Times New Roman" w:hAnsi="Times New Roman"/>
          <w:sz w:val="28"/>
          <w:szCs w:val="28"/>
        </w:rPr>
      </w:pPr>
      <w:r>
        <w:rPr>
          <w:rFonts w:ascii="Times New Roman" w:hAnsi="Times New Roman"/>
          <w:sz w:val="28"/>
          <w:szCs w:val="28"/>
        </w:rPr>
        <w:t xml:space="preserve">Kroneman, M, </w:t>
      </w:r>
      <w:r w:rsidR="0048548E">
        <w:rPr>
          <w:rFonts w:ascii="Times New Roman" w:hAnsi="Times New Roman"/>
          <w:sz w:val="28"/>
          <w:szCs w:val="28"/>
        </w:rPr>
        <w:t xml:space="preserve">Boerma, W., van den Berg, M., Groenewegen P., de Jong J., and E. van Ginnekin (2016), </w:t>
      </w:r>
      <w:r w:rsidR="0048548E" w:rsidRPr="00CA0016">
        <w:rPr>
          <w:rFonts w:ascii="Times New Roman" w:hAnsi="Times New Roman"/>
          <w:i/>
          <w:sz w:val="28"/>
          <w:szCs w:val="28"/>
        </w:rPr>
        <w:t>Netherlands: Health System Review</w:t>
      </w:r>
      <w:r w:rsidR="0048548E">
        <w:rPr>
          <w:rFonts w:ascii="Times New Roman" w:hAnsi="Times New Roman"/>
          <w:sz w:val="28"/>
          <w:szCs w:val="28"/>
        </w:rPr>
        <w:t xml:space="preserve">. </w:t>
      </w:r>
      <w:r w:rsidR="00CA0016">
        <w:rPr>
          <w:rFonts w:ascii="Times New Roman" w:hAnsi="Times New Roman"/>
          <w:sz w:val="28"/>
          <w:szCs w:val="28"/>
        </w:rPr>
        <w:t xml:space="preserve">Health Systems in Transition, Vol 18, No. 2, </w:t>
      </w:r>
      <w:r w:rsidR="0048548E">
        <w:rPr>
          <w:rFonts w:ascii="Times New Roman" w:hAnsi="Times New Roman"/>
          <w:sz w:val="28"/>
          <w:szCs w:val="28"/>
        </w:rPr>
        <w:t>European Observatory on Health Systems and Policies, Brussels.</w:t>
      </w:r>
    </w:p>
    <w:p w:rsidR="009D6782" w:rsidRDefault="009D6782" w:rsidP="00525357">
      <w:pPr>
        <w:shd w:val="clear" w:color="auto" w:fill="FAFAFA"/>
        <w:spacing w:line="312" w:lineRule="atLeast"/>
        <w:outlineLvl w:val="1"/>
        <w:rPr>
          <w:rFonts w:ascii="Times New Roman" w:hAnsi="Times New Roman"/>
          <w:sz w:val="28"/>
          <w:szCs w:val="28"/>
        </w:rPr>
      </w:pPr>
    </w:p>
    <w:p w:rsidR="009D6782" w:rsidRDefault="009D6782" w:rsidP="00525357">
      <w:pPr>
        <w:shd w:val="clear" w:color="auto" w:fill="FAFAFA"/>
        <w:spacing w:line="312" w:lineRule="atLeast"/>
        <w:outlineLvl w:val="1"/>
        <w:rPr>
          <w:rFonts w:ascii="Times New Roman" w:hAnsi="Times New Roman"/>
          <w:sz w:val="28"/>
          <w:szCs w:val="28"/>
        </w:rPr>
      </w:pPr>
      <w:r>
        <w:rPr>
          <w:rFonts w:ascii="Times New Roman" w:hAnsi="Times New Roman"/>
          <w:sz w:val="28"/>
          <w:szCs w:val="28"/>
        </w:rPr>
        <w:t>Kuhlmann, E.,</w:t>
      </w:r>
      <w:r w:rsidRPr="00525357">
        <w:rPr>
          <w:rFonts w:ascii="Times New Roman" w:hAnsi="Times New Roman"/>
          <w:sz w:val="28"/>
          <w:szCs w:val="28"/>
        </w:rPr>
        <w:t xml:space="preserve"> Blank</w:t>
      </w:r>
      <w:r>
        <w:rPr>
          <w:rFonts w:ascii="Times New Roman" w:hAnsi="Times New Roman"/>
          <w:sz w:val="28"/>
          <w:szCs w:val="28"/>
        </w:rPr>
        <w:t xml:space="preserve">, R., </w:t>
      </w:r>
      <w:r w:rsidRPr="00525357">
        <w:rPr>
          <w:rFonts w:ascii="Times New Roman" w:hAnsi="Times New Roman"/>
          <w:sz w:val="28"/>
          <w:szCs w:val="28"/>
        </w:rPr>
        <w:t>Bourgeault</w:t>
      </w:r>
      <w:r>
        <w:rPr>
          <w:rFonts w:ascii="Times New Roman" w:hAnsi="Times New Roman"/>
          <w:sz w:val="28"/>
          <w:szCs w:val="28"/>
        </w:rPr>
        <w:t>, I.L., Wendt, C.</w:t>
      </w:r>
      <w:r w:rsidRPr="00525357">
        <w:rPr>
          <w:rFonts w:ascii="Times New Roman" w:hAnsi="Times New Roman"/>
          <w:sz w:val="28"/>
          <w:szCs w:val="28"/>
        </w:rPr>
        <w:t xml:space="preserve"> </w:t>
      </w:r>
      <w:r>
        <w:rPr>
          <w:rFonts w:ascii="Times New Roman" w:hAnsi="Times New Roman"/>
          <w:sz w:val="28"/>
          <w:szCs w:val="28"/>
        </w:rPr>
        <w:t xml:space="preserve">(eds) (2015), </w:t>
      </w:r>
      <w:r w:rsidRPr="00364908">
        <w:rPr>
          <w:rFonts w:ascii="Times New Roman" w:hAnsi="Times New Roman"/>
          <w:i/>
          <w:sz w:val="28"/>
          <w:szCs w:val="28"/>
        </w:rPr>
        <w:t>The Palgrave</w:t>
      </w:r>
      <w:r w:rsidRPr="00525357">
        <w:rPr>
          <w:rFonts w:ascii="Times New Roman" w:hAnsi="Times New Roman"/>
          <w:sz w:val="28"/>
          <w:szCs w:val="28"/>
        </w:rPr>
        <w:t xml:space="preserve"> </w:t>
      </w:r>
      <w:r w:rsidRPr="00364908">
        <w:rPr>
          <w:rFonts w:ascii="Times New Roman" w:hAnsi="Times New Roman"/>
          <w:i/>
          <w:sz w:val="28"/>
          <w:szCs w:val="28"/>
        </w:rPr>
        <w:t>International Handbook on Healthcare Policy and Governance,</w:t>
      </w:r>
      <w:r w:rsidRPr="00525357">
        <w:rPr>
          <w:rFonts w:ascii="Times New Roman" w:hAnsi="Times New Roman"/>
          <w:sz w:val="28"/>
          <w:szCs w:val="28"/>
        </w:rPr>
        <w:t xml:space="preserve"> </w:t>
      </w:r>
      <w:r>
        <w:rPr>
          <w:rFonts w:ascii="Times New Roman" w:hAnsi="Times New Roman"/>
          <w:sz w:val="28"/>
          <w:szCs w:val="28"/>
        </w:rPr>
        <w:t xml:space="preserve">Basingstoke, UK: </w:t>
      </w:r>
      <w:r w:rsidRPr="00525357">
        <w:rPr>
          <w:rFonts w:ascii="Times New Roman" w:hAnsi="Times New Roman"/>
          <w:sz w:val="28"/>
          <w:szCs w:val="28"/>
        </w:rPr>
        <w:t xml:space="preserve">Palgrave </w:t>
      </w:r>
      <w:r>
        <w:rPr>
          <w:rFonts w:ascii="Times New Roman" w:hAnsi="Times New Roman"/>
          <w:sz w:val="28"/>
          <w:szCs w:val="28"/>
        </w:rPr>
        <w:t>MacMillan</w:t>
      </w:r>
    </w:p>
    <w:p w:rsidR="00A10E72" w:rsidRDefault="00A10E72" w:rsidP="00525357">
      <w:pPr>
        <w:shd w:val="clear" w:color="auto" w:fill="FAFAFA"/>
        <w:spacing w:line="312" w:lineRule="atLeast"/>
        <w:outlineLvl w:val="1"/>
        <w:rPr>
          <w:rFonts w:ascii="Times New Roman" w:hAnsi="Times New Roman"/>
          <w:sz w:val="28"/>
          <w:szCs w:val="28"/>
        </w:rPr>
      </w:pPr>
    </w:p>
    <w:p w:rsidR="00A10E72" w:rsidRPr="00E7672A" w:rsidRDefault="00E7672A" w:rsidP="00E7672A">
      <w:pPr>
        <w:widowControl/>
        <w:shd w:val="clear" w:color="auto" w:fill="FFFFFF"/>
        <w:autoSpaceDE/>
        <w:autoSpaceDN/>
        <w:adjustRightInd/>
        <w:rPr>
          <w:rFonts w:ascii="Arial" w:hAnsi="Arial" w:cs="Arial"/>
        </w:rPr>
      </w:pPr>
      <w:r>
        <w:rPr>
          <w:rFonts w:ascii="Times New Roman" w:hAnsi="Times New Roman"/>
          <w:sz w:val="28"/>
          <w:szCs w:val="28"/>
        </w:rPr>
        <w:t>Maarse H. and P. Jeurissen</w:t>
      </w:r>
      <w:r w:rsidR="00A10E72">
        <w:rPr>
          <w:rFonts w:ascii="Times New Roman" w:hAnsi="Times New Roman"/>
          <w:sz w:val="28"/>
          <w:szCs w:val="28"/>
        </w:rPr>
        <w:t xml:space="preserve"> </w:t>
      </w:r>
      <w:r>
        <w:rPr>
          <w:rFonts w:ascii="Times New Roman" w:hAnsi="Times New Roman"/>
          <w:sz w:val="28"/>
          <w:szCs w:val="28"/>
        </w:rPr>
        <w:t>(</w:t>
      </w:r>
      <w:r w:rsidR="00A10E72">
        <w:rPr>
          <w:rFonts w:ascii="Times New Roman" w:hAnsi="Times New Roman"/>
          <w:sz w:val="28"/>
          <w:szCs w:val="28"/>
        </w:rPr>
        <w:t>2016</w:t>
      </w:r>
      <w:r>
        <w:rPr>
          <w:rFonts w:ascii="Times New Roman" w:hAnsi="Times New Roman"/>
          <w:sz w:val="28"/>
          <w:szCs w:val="28"/>
        </w:rPr>
        <w:t>), ‘</w:t>
      </w:r>
      <w:r w:rsidRPr="00E7672A">
        <w:rPr>
          <w:rFonts w:ascii="Times New Roman" w:hAnsi="Times New Roman"/>
          <w:sz w:val="28"/>
          <w:szCs w:val="28"/>
        </w:rPr>
        <w:t>The policy and politics of the 2015 long-term care reform in the Netherlands</w:t>
      </w:r>
      <w:r>
        <w:rPr>
          <w:rFonts w:ascii="Arial" w:hAnsi="Arial" w:cs="Arial"/>
          <w:sz w:val="28"/>
          <w:szCs w:val="28"/>
        </w:rPr>
        <w:t>’,</w:t>
      </w:r>
      <w:r w:rsidRPr="00E7672A">
        <w:rPr>
          <w:rFonts w:ascii="Arial" w:hAnsi="Arial" w:cs="Arial"/>
          <w:i/>
          <w:sz w:val="28"/>
          <w:szCs w:val="28"/>
        </w:rPr>
        <w:t xml:space="preserve"> </w:t>
      </w:r>
      <w:r w:rsidR="00F075F9">
        <w:rPr>
          <w:rFonts w:ascii="Arial" w:hAnsi="Arial" w:cs="Arial"/>
          <w:i/>
        </w:rPr>
        <w:pict w14:anchorId="3E9C6A73">
          <v:shape id="_x0000_i1029" type="#_x0000_t75" style="width:1in;height:17.75pt">
            <v:imagedata r:id="rId18" o:title=""/>
          </v:shape>
        </w:pict>
      </w:r>
      <w:r w:rsidR="00F075F9">
        <w:rPr>
          <w:rFonts w:ascii="Arial" w:hAnsi="Arial" w:cs="Arial"/>
          <w:i/>
        </w:rPr>
        <w:pict w14:anchorId="11AC89AF">
          <v:shape id="_x0000_i1030" type="#_x0000_t75" style="width:1in;height:17.75pt">
            <v:imagedata r:id="rId14" o:title=""/>
          </v:shape>
        </w:pict>
      </w:r>
      <w:r w:rsidRPr="00E7672A">
        <w:rPr>
          <w:rFonts w:ascii="Arial" w:hAnsi="Arial" w:cs="Arial"/>
          <w:i/>
          <w:vanish/>
          <w:color w:val="14376C"/>
        </w:rPr>
        <w:t>See comment in PubMed Commons below</w:t>
      </w:r>
      <w:hyperlink r:id="rId19" w:tooltip="Health policy (Amsterdam, Netherlands)." w:history="1">
        <w:r w:rsidRPr="00E7672A">
          <w:rPr>
            <w:rFonts w:ascii="Times New Roman" w:hAnsi="Times New Roman"/>
            <w:i/>
            <w:color w:val="2F4A8B"/>
            <w:sz w:val="28"/>
            <w:szCs w:val="28"/>
          </w:rPr>
          <w:t>Health Policy.</w:t>
        </w:r>
      </w:hyperlink>
      <w:r w:rsidRPr="00E7672A">
        <w:rPr>
          <w:rFonts w:ascii="Times New Roman" w:hAnsi="Times New Roman"/>
          <w:sz w:val="28"/>
          <w:szCs w:val="28"/>
        </w:rPr>
        <w:t xml:space="preserve"> 2016 Mar;</w:t>
      </w:r>
      <w:r>
        <w:rPr>
          <w:rFonts w:ascii="Times New Roman" w:hAnsi="Times New Roman"/>
          <w:sz w:val="28"/>
          <w:szCs w:val="28"/>
        </w:rPr>
        <w:t xml:space="preserve"> </w:t>
      </w:r>
      <w:r w:rsidRPr="00E7672A">
        <w:rPr>
          <w:rFonts w:ascii="Times New Roman" w:hAnsi="Times New Roman"/>
          <w:sz w:val="28"/>
          <w:szCs w:val="28"/>
        </w:rPr>
        <w:t>120(3):241-5</w:t>
      </w:r>
      <w:r w:rsidR="00A10E72">
        <w:rPr>
          <w:rFonts w:ascii="Times New Roman" w:hAnsi="Times New Roman"/>
          <w:sz w:val="28"/>
          <w:szCs w:val="28"/>
        </w:rPr>
        <w:t>.</w:t>
      </w:r>
    </w:p>
    <w:p w:rsidR="005C4A95" w:rsidRDefault="005C4A95" w:rsidP="00525357">
      <w:pPr>
        <w:shd w:val="clear" w:color="auto" w:fill="FAFAFA"/>
        <w:spacing w:line="312" w:lineRule="atLeast"/>
        <w:outlineLvl w:val="1"/>
        <w:rPr>
          <w:rFonts w:ascii="Times New Roman" w:hAnsi="Times New Roman"/>
          <w:sz w:val="28"/>
          <w:szCs w:val="28"/>
        </w:rPr>
      </w:pPr>
    </w:p>
    <w:p w:rsidR="002130CB" w:rsidRDefault="002130CB" w:rsidP="00525357">
      <w:pPr>
        <w:shd w:val="clear" w:color="auto" w:fill="FAFAFA"/>
        <w:spacing w:line="312" w:lineRule="atLeast"/>
        <w:outlineLvl w:val="1"/>
        <w:rPr>
          <w:rFonts w:ascii="Times New Roman" w:hAnsi="Times New Roman"/>
          <w:sz w:val="28"/>
          <w:szCs w:val="28"/>
        </w:rPr>
      </w:pPr>
    </w:p>
    <w:p w:rsidR="00433805" w:rsidRDefault="002130CB" w:rsidP="00525357">
      <w:pPr>
        <w:shd w:val="clear" w:color="auto" w:fill="FAFAFA"/>
        <w:spacing w:line="312" w:lineRule="atLeast"/>
        <w:outlineLvl w:val="1"/>
        <w:rPr>
          <w:rFonts w:ascii="Times New Roman" w:hAnsi="Times New Roman"/>
          <w:sz w:val="28"/>
          <w:szCs w:val="28"/>
        </w:rPr>
      </w:pPr>
      <w:r>
        <w:rPr>
          <w:rFonts w:ascii="Times New Roman" w:hAnsi="Times New Roman"/>
          <w:sz w:val="28"/>
          <w:szCs w:val="28"/>
        </w:rPr>
        <w:t>McDaid, D., Wiley, M., Maresso, A.,</w:t>
      </w:r>
      <w:r w:rsidR="00A92D7D">
        <w:rPr>
          <w:rFonts w:ascii="Times New Roman" w:hAnsi="Times New Roman"/>
          <w:sz w:val="28"/>
          <w:szCs w:val="28"/>
        </w:rPr>
        <w:t xml:space="preserve"> and</w:t>
      </w:r>
      <w:r>
        <w:rPr>
          <w:rFonts w:ascii="Times New Roman" w:hAnsi="Times New Roman"/>
          <w:sz w:val="28"/>
          <w:szCs w:val="28"/>
        </w:rPr>
        <w:t xml:space="preserve"> </w:t>
      </w:r>
      <w:r w:rsidR="00A92D7D">
        <w:rPr>
          <w:rFonts w:ascii="Times New Roman" w:hAnsi="Times New Roman"/>
          <w:sz w:val="28"/>
          <w:szCs w:val="28"/>
        </w:rPr>
        <w:t xml:space="preserve">E. </w:t>
      </w:r>
      <w:r>
        <w:rPr>
          <w:rFonts w:ascii="Times New Roman" w:hAnsi="Times New Roman"/>
          <w:sz w:val="28"/>
          <w:szCs w:val="28"/>
        </w:rPr>
        <w:t xml:space="preserve">Mossialos (2009), </w:t>
      </w:r>
      <w:r w:rsidRPr="002130CB">
        <w:rPr>
          <w:rFonts w:ascii="Times New Roman" w:hAnsi="Times New Roman"/>
          <w:i/>
          <w:sz w:val="28"/>
          <w:szCs w:val="28"/>
        </w:rPr>
        <w:t>Ireland</w:t>
      </w:r>
      <w:r w:rsidR="007607EC">
        <w:rPr>
          <w:rFonts w:ascii="Times New Roman" w:hAnsi="Times New Roman"/>
          <w:sz w:val="28"/>
          <w:szCs w:val="28"/>
        </w:rPr>
        <w:t xml:space="preserve">: </w:t>
      </w:r>
      <w:r w:rsidR="007607EC" w:rsidRPr="007607EC">
        <w:rPr>
          <w:rFonts w:ascii="Times New Roman" w:hAnsi="Times New Roman"/>
          <w:i/>
          <w:sz w:val="28"/>
          <w:szCs w:val="28"/>
        </w:rPr>
        <w:t>Health</w:t>
      </w:r>
      <w:r w:rsidR="007607EC">
        <w:rPr>
          <w:rFonts w:ascii="Times New Roman" w:hAnsi="Times New Roman"/>
          <w:sz w:val="28"/>
          <w:szCs w:val="28"/>
        </w:rPr>
        <w:t xml:space="preserve"> </w:t>
      </w:r>
      <w:r w:rsidR="007607EC" w:rsidRPr="007607EC">
        <w:rPr>
          <w:rFonts w:ascii="Times New Roman" w:hAnsi="Times New Roman"/>
          <w:i/>
          <w:sz w:val="28"/>
          <w:szCs w:val="28"/>
        </w:rPr>
        <w:t>System Review</w:t>
      </w:r>
      <w:r w:rsidR="007607EC">
        <w:rPr>
          <w:rFonts w:ascii="Times New Roman" w:hAnsi="Times New Roman"/>
          <w:sz w:val="28"/>
          <w:szCs w:val="28"/>
        </w:rPr>
        <w:t xml:space="preserve">. </w:t>
      </w:r>
      <w:r>
        <w:rPr>
          <w:rFonts w:ascii="Times New Roman" w:hAnsi="Times New Roman"/>
          <w:sz w:val="28"/>
          <w:szCs w:val="28"/>
        </w:rPr>
        <w:t xml:space="preserve"> Health Systems in Transition, Vol 11, no. 4. European Observatory on Health Systems and Policies, Brussels. </w:t>
      </w:r>
      <w:r w:rsidR="00433805">
        <w:rPr>
          <w:rFonts w:ascii="Times New Roman" w:hAnsi="Times New Roman"/>
          <w:sz w:val="28"/>
          <w:szCs w:val="28"/>
        </w:rPr>
        <w:t xml:space="preserve"> </w:t>
      </w:r>
    </w:p>
    <w:p w:rsidR="00C538BC" w:rsidRDefault="00C538BC" w:rsidP="00525357">
      <w:pPr>
        <w:shd w:val="clear" w:color="auto" w:fill="FAFAFA"/>
        <w:spacing w:line="312" w:lineRule="atLeast"/>
        <w:outlineLvl w:val="1"/>
        <w:rPr>
          <w:rFonts w:ascii="Times New Roman" w:hAnsi="Times New Roman"/>
          <w:sz w:val="28"/>
          <w:szCs w:val="28"/>
        </w:rPr>
      </w:pPr>
    </w:p>
    <w:p w:rsidR="005329C6" w:rsidRDefault="000F3DD0" w:rsidP="00525357">
      <w:pPr>
        <w:shd w:val="clear" w:color="auto" w:fill="FAFAFA"/>
        <w:spacing w:line="312" w:lineRule="atLeast"/>
        <w:outlineLvl w:val="1"/>
        <w:rPr>
          <w:rFonts w:ascii="Times New Roman" w:hAnsi="Times New Roman"/>
          <w:sz w:val="28"/>
          <w:szCs w:val="28"/>
        </w:rPr>
      </w:pPr>
      <w:r>
        <w:rPr>
          <w:rFonts w:ascii="Times New Roman" w:hAnsi="Times New Roman"/>
          <w:sz w:val="28"/>
          <w:szCs w:val="28"/>
        </w:rPr>
        <w:t>Milne</w:t>
      </w:r>
      <w:r w:rsidR="007C4DB7">
        <w:rPr>
          <w:rFonts w:ascii="Times New Roman" w:hAnsi="Times New Roman"/>
          <w:sz w:val="28"/>
          <w:szCs w:val="28"/>
        </w:rPr>
        <w:t>,</w:t>
      </w:r>
      <w:r>
        <w:rPr>
          <w:rFonts w:ascii="Times New Roman" w:hAnsi="Times New Roman"/>
          <w:sz w:val="28"/>
          <w:szCs w:val="28"/>
        </w:rPr>
        <w:t xml:space="preserve"> </w:t>
      </w:r>
      <w:r w:rsidR="007C4DB7">
        <w:rPr>
          <w:rFonts w:ascii="Times New Roman" w:hAnsi="Times New Roman"/>
          <w:sz w:val="28"/>
          <w:szCs w:val="28"/>
        </w:rPr>
        <w:t>R.</w:t>
      </w:r>
      <w:r w:rsidR="00C538BC">
        <w:rPr>
          <w:rFonts w:ascii="Times New Roman" w:hAnsi="Times New Roman"/>
          <w:sz w:val="28"/>
          <w:szCs w:val="28"/>
        </w:rPr>
        <w:t xml:space="preserve"> </w:t>
      </w:r>
      <w:r w:rsidR="007C4DB7">
        <w:rPr>
          <w:rFonts w:ascii="Times New Roman" w:hAnsi="Times New Roman"/>
          <w:sz w:val="28"/>
          <w:szCs w:val="28"/>
        </w:rPr>
        <w:t>(2017</w:t>
      </w:r>
      <w:r w:rsidR="005329C6">
        <w:rPr>
          <w:rFonts w:ascii="Times New Roman" w:hAnsi="Times New Roman"/>
          <w:sz w:val="28"/>
          <w:szCs w:val="28"/>
        </w:rPr>
        <w:t>a</w:t>
      </w:r>
      <w:r w:rsidR="007C4DB7">
        <w:rPr>
          <w:rFonts w:ascii="Times New Roman" w:hAnsi="Times New Roman"/>
          <w:sz w:val="28"/>
          <w:szCs w:val="28"/>
        </w:rPr>
        <w:t>), ‘</w:t>
      </w:r>
      <w:r w:rsidR="00C538BC">
        <w:rPr>
          <w:rFonts w:ascii="Times New Roman" w:hAnsi="Times New Roman"/>
          <w:sz w:val="28"/>
          <w:szCs w:val="28"/>
        </w:rPr>
        <w:t>Sweden restores conscription t</w:t>
      </w:r>
      <w:r w:rsidR="007C4DB7">
        <w:rPr>
          <w:rFonts w:ascii="Times New Roman" w:hAnsi="Times New Roman"/>
          <w:sz w:val="28"/>
          <w:szCs w:val="28"/>
        </w:rPr>
        <w:t>o combat rising Russia tension.’</w:t>
      </w:r>
      <w:r w:rsidR="00C538BC">
        <w:rPr>
          <w:rFonts w:ascii="Times New Roman" w:hAnsi="Times New Roman"/>
          <w:sz w:val="28"/>
          <w:szCs w:val="28"/>
        </w:rPr>
        <w:t xml:space="preserve"> </w:t>
      </w:r>
      <w:r w:rsidR="00C538BC" w:rsidRPr="007C4DB7">
        <w:rPr>
          <w:rFonts w:ascii="Times New Roman" w:hAnsi="Times New Roman"/>
          <w:i/>
          <w:sz w:val="28"/>
          <w:szCs w:val="28"/>
        </w:rPr>
        <w:t>Financial Times</w:t>
      </w:r>
      <w:r w:rsidR="00C538BC">
        <w:rPr>
          <w:rFonts w:ascii="Times New Roman" w:hAnsi="Times New Roman"/>
          <w:sz w:val="28"/>
          <w:szCs w:val="28"/>
        </w:rPr>
        <w:t xml:space="preserve"> (3 March).</w:t>
      </w:r>
    </w:p>
    <w:p w:rsidR="005329C6" w:rsidRDefault="005329C6" w:rsidP="00525357">
      <w:pPr>
        <w:shd w:val="clear" w:color="auto" w:fill="FAFAFA"/>
        <w:spacing w:line="312" w:lineRule="atLeast"/>
        <w:outlineLvl w:val="1"/>
        <w:rPr>
          <w:rFonts w:ascii="Times New Roman" w:hAnsi="Times New Roman"/>
          <w:sz w:val="28"/>
          <w:szCs w:val="28"/>
        </w:rPr>
      </w:pPr>
    </w:p>
    <w:p w:rsidR="00C538BC" w:rsidRDefault="005329C6" w:rsidP="00525357">
      <w:pPr>
        <w:shd w:val="clear" w:color="auto" w:fill="FAFAFA"/>
        <w:spacing w:line="312" w:lineRule="atLeast"/>
        <w:outlineLvl w:val="1"/>
        <w:rPr>
          <w:rFonts w:ascii="Times New Roman" w:hAnsi="Times New Roman"/>
          <w:sz w:val="28"/>
          <w:szCs w:val="28"/>
        </w:rPr>
      </w:pPr>
      <w:r>
        <w:rPr>
          <w:rFonts w:ascii="Times New Roman" w:hAnsi="Times New Roman"/>
          <w:sz w:val="28"/>
          <w:szCs w:val="28"/>
        </w:rPr>
        <w:t xml:space="preserve">Milne, R. (2017b), </w:t>
      </w:r>
      <w:r w:rsidR="00D86A98">
        <w:rPr>
          <w:rFonts w:ascii="Times New Roman" w:hAnsi="Times New Roman"/>
          <w:sz w:val="28"/>
          <w:szCs w:val="28"/>
        </w:rPr>
        <w:t>‘</w:t>
      </w:r>
      <w:r>
        <w:rPr>
          <w:rFonts w:ascii="Times New Roman" w:hAnsi="Times New Roman"/>
          <w:sz w:val="28"/>
          <w:szCs w:val="28"/>
        </w:rPr>
        <w:t xml:space="preserve">Swedes </w:t>
      </w:r>
      <w:r w:rsidR="00D86A98">
        <w:rPr>
          <w:rFonts w:ascii="Times New Roman" w:hAnsi="Times New Roman"/>
          <w:sz w:val="28"/>
          <w:szCs w:val="28"/>
        </w:rPr>
        <w:t>s</w:t>
      </w:r>
      <w:r>
        <w:rPr>
          <w:rFonts w:ascii="Times New Roman" w:hAnsi="Times New Roman"/>
          <w:sz w:val="28"/>
          <w:szCs w:val="28"/>
        </w:rPr>
        <w:t>pring stimulus boost surprise</w:t>
      </w:r>
      <w:r w:rsidR="00D86A98">
        <w:rPr>
          <w:rFonts w:ascii="Times New Roman" w:hAnsi="Times New Roman"/>
          <w:sz w:val="28"/>
          <w:szCs w:val="28"/>
        </w:rPr>
        <w:t>.</w:t>
      </w:r>
      <w:r w:rsidR="00D86A98" w:rsidRPr="00444B18">
        <w:rPr>
          <w:rFonts w:ascii="Times New Roman" w:hAnsi="Times New Roman"/>
          <w:i/>
          <w:sz w:val="28"/>
          <w:szCs w:val="28"/>
        </w:rPr>
        <w:t>’</w:t>
      </w:r>
      <w:r w:rsidR="00C538BC" w:rsidRPr="00444B18">
        <w:rPr>
          <w:rFonts w:ascii="Times New Roman" w:hAnsi="Times New Roman"/>
          <w:i/>
          <w:sz w:val="28"/>
          <w:szCs w:val="28"/>
        </w:rPr>
        <w:t xml:space="preserve"> </w:t>
      </w:r>
      <w:r w:rsidR="00D86A98" w:rsidRPr="00444B18">
        <w:rPr>
          <w:rFonts w:ascii="Times New Roman" w:hAnsi="Times New Roman"/>
          <w:i/>
          <w:sz w:val="28"/>
          <w:szCs w:val="28"/>
        </w:rPr>
        <w:t>Financial Times</w:t>
      </w:r>
      <w:r w:rsidR="00D86A98">
        <w:rPr>
          <w:rFonts w:ascii="Times New Roman" w:hAnsi="Times New Roman"/>
          <w:sz w:val="28"/>
          <w:szCs w:val="28"/>
        </w:rPr>
        <w:t xml:space="preserve"> (28 April).</w:t>
      </w:r>
    </w:p>
    <w:p w:rsidR="003D784C" w:rsidRDefault="003D784C" w:rsidP="00525357">
      <w:pPr>
        <w:shd w:val="clear" w:color="auto" w:fill="FAFAFA"/>
        <w:spacing w:line="312" w:lineRule="atLeast"/>
        <w:outlineLvl w:val="1"/>
        <w:rPr>
          <w:rFonts w:ascii="Times New Roman" w:hAnsi="Times New Roman"/>
          <w:sz w:val="28"/>
          <w:szCs w:val="28"/>
        </w:rPr>
      </w:pPr>
    </w:p>
    <w:p w:rsidR="003D784C" w:rsidRPr="003D784C" w:rsidRDefault="003D784C" w:rsidP="003D784C">
      <w:pPr>
        <w:rPr>
          <w:rFonts w:ascii="Times New Roman" w:hAnsi="Times New Roman"/>
          <w:sz w:val="28"/>
          <w:szCs w:val="28"/>
        </w:rPr>
      </w:pPr>
      <w:r>
        <w:rPr>
          <w:rFonts w:ascii="Times New Roman" w:hAnsi="Times New Roman"/>
          <w:sz w:val="28"/>
          <w:szCs w:val="28"/>
        </w:rPr>
        <w:t>Neville, S. (2017), ‘</w:t>
      </w:r>
      <w:r w:rsidRPr="003D784C">
        <w:rPr>
          <w:rFonts w:ascii="Times New Roman" w:hAnsi="Times New Roman"/>
          <w:sz w:val="28"/>
          <w:szCs w:val="28"/>
        </w:rPr>
        <w:t>NHS patients warned of longer waits for operations</w:t>
      </w:r>
      <w:r>
        <w:rPr>
          <w:rFonts w:ascii="Times New Roman" w:hAnsi="Times New Roman"/>
          <w:sz w:val="28"/>
          <w:szCs w:val="28"/>
        </w:rPr>
        <w:t xml:space="preserve">.’ </w:t>
      </w:r>
      <w:r w:rsidRPr="003D784C">
        <w:rPr>
          <w:rFonts w:ascii="Times New Roman" w:hAnsi="Times New Roman"/>
          <w:i/>
          <w:sz w:val="28"/>
          <w:szCs w:val="28"/>
        </w:rPr>
        <w:t>Financial Times</w:t>
      </w:r>
      <w:r>
        <w:rPr>
          <w:rFonts w:ascii="Times New Roman" w:hAnsi="Times New Roman"/>
          <w:sz w:val="28"/>
          <w:szCs w:val="28"/>
        </w:rPr>
        <w:t xml:space="preserve"> (30 March).</w:t>
      </w:r>
    </w:p>
    <w:p w:rsidR="007B29E0" w:rsidRDefault="007B29E0" w:rsidP="00525357">
      <w:pPr>
        <w:shd w:val="clear" w:color="auto" w:fill="FAFAFA"/>
        <w:spacing w:line="312" w:lineRule="atLeast"/>
        <w:outlineLvl w:val="1"/>
        <w:rPr>
          <w:rFonts w:ascii="Times New Roman" w:hAnsi="Times New Roman"/>
          <w:sz w:val="28"/>
          <w:szCs w:val="28"/>
        </w:rPr>
      </w:pPr>
    </w:p>
    <w:p w:rsidR="007B29E0" w:rsidRDefault="007B29E0" w:rsidP="00525357">
      <w:pPr>
        <w:shd w:val="clear" w:color="auto" w:fill="FAFAFA"/>
        <w:spacing w:line="312" w:lineRule="atLeast"/>
        <w:outlineLvl w:val="1"/>
        <w:rPr>
          <w:rFonts w:ascii="Times New Roman" w:hAnsi="Times New Roman"/>
          <w:sz w:val="28"/>
          <w:szCs w:val="28"/>
        </w:rPr>
      </w:pPr>
      <w:r>
        <w:rPr>
          <w:rFonts w:ascii="Times New Roman" w:hAnsi="Times New Roman"/>
          <w:sz w:val="28"/>
          <w:szCs w:val="28"/>
        </w:rPr>
        <w:t xml:space="preserve">Nixon, S. (2017), ‘May’s Brexit position is strong, though threats loom’, </w:t>
      </w:r>
      <w:r w:rsidRPr="007B29E0">
        <w:rPr>
          <w:rFonts w:ascii="Times New Roman" w:hAnsi="Times New Roman"/>
          <w:i/>
          <w:sz w:val="28"/>
          <w:szCs w:val="28"/>
        </w:rPr>
        <w:t>Wall</w:t>
      </w:r>
      <w:r>
        <w:rPr>
          <w:rFonts w:ascii="Times New Roman" w:hAnsi="Times New Roman"/>
          <w:sz w:val="28"/>
          <w:szCs w:val="28"/>
        </w:rPr>
        <w:t xml:space="preserve"> </w:t>
      </w:r>
      <w:r w:rsidRPr="007B29E0">
        <w:rPr>
          <w:rFonts w:ascii="Times New Roman" w:hAnsi="Times New Roman"/>
          <w:i/>
          <w:sz w:val="28"/>
          <w:szCs w:val="28"/>
        </w:rPr>
        <w:t>Street Journal</w:t>
      </w:r>
      <w:r>
        <w:rPr>
          <w:rFonts w:ascii="Times New Roman" w:hAnsi="Times New Roman"/>
          <w:sz w:val="28"/>
          <w:szCs w:val="28"/>
        </w:rPr>
        <w:t xml:space="preserve"> (13 March).</w:t>
      </w:r>
    </w:p>
    <w:p w:rsidR="00C54236" w:rsidRDefault="00C54236" w:rsidP="00525357">
      <w:pPr>
        <w:shd w:val="clear" w:color="auto" w:fill="FAFAFA"/>
        <w:spacing w:line="312" w:lineRule="atLeast"/>
        <w:outlineLvl w:val="1"/>
        <w:rPr>
          <w:rFonts w:ascii="Times New Roman" w:hAnsi="Times New Roman"/>
          <w:sz w:val="28"/>
          <w:szCs w:val="28"/>
        </w:rPr>
      </w:pPr>
    </w:p>
    <w:p w:rsidR="0053309B" w:rsidRPr="00525357" w:rsidRDefault="00C54236" w:rsidP="00525357">
      <w:pPr>
        <w:shd w:val="clear" w:color="auto" w:fill="FAFAFA"/>
        <w:spacing w:line="312" w:lineRule="atLeast"/>
        <w:outlineLvl w:val="1"/>
        <w:rPr>
          <w:rFonts w:ascii="Times New Roman" w:hAnsi="Times New Roman"/>
          <w:sz w:val="28"/>
          <w:szCs w:val="28"/>
        </w:rPr>
      </w:pPr>
      <w:r>
        <w:rPr>
          <w:rFonts w:ascii="Times New Roman" w:hAnsi="Times New Roman"/>
          <w:sz w:val="28"/>
          <w:szCs w:val="28"/>
        </w:rPr>
        <w:t xml:space="preserve">Nolte, E, Knai, C., and R.B. Saltman, 2015. “Looking Ahead.” In: </w:t>
      </w:r>
      <w:r w:rsidR="009F6D2D">
        <w:rPr>
          <w:rFonts w:ascii="Times New Roman" w:hAnsi="Times New Roman"/>
          <w:sz w:val="28"/>
          <w:szCs w:val="28"/>
        </w:rPr>
        <w:t xml:space="preserve">Nolte, E, Knai, C., and R. B. Saltman, eds, </w:t>
      </w:r>
      <w:r w:rsidR="009F6D2D" w:rsidRPr="00610F8F">
        <w:rPr>
          <w:rFonts w:ascii="Times New Roman" w:hAnsi="Times New Roman"/>
          <w:i/>
          <w:sz w:val="28"/>
          <w:szCs w:val="28"/>
        </w:rPr>
        <w:t xml:space="preserve">Assessing Chronic Disease Management in European Health Systems. </w:t>
      </w:r>
      <w:r w:rsidR="009F6D2D">
        <w:rPr>
          <w:rFonts w:ascii="Times New Roman" w:hAnsi="Times New Roman"/>
          <w:sz w:val="28"/>
          <w:szCs w:val="28"/>
        </w:rPr>
        <w:t xml:space="preserve">Observatory Studies Series 37, European Observatory on Health </w:t>
      </w:r>
      <w:r w:rsidR="009F6D2D">
        <w:rPr>
          <w:rFonts w:ascii="Times New Roman" w:hAnsi="Times New Roman"/>
          <w:sz w:val="28"/>
          <w:szCs w:val="28"/>
        </w:rPr>
        <w:lastRenderedPageBreak/>
        <w:t>Systems and Policies, Brussels, pp. 73-84.</w:t>
      </w:r>
    </w:p>
    <w:p w:rsidR="009C2285" w:rsidRPr="00525357" w:rsidRDefault="009C2285" w:rsidP="005522FB">
      <w:pPr>
        <w:pStyle w:val="NoSpacing"/>
        <w:rPr>
          <w:rFonts w:ascii="Times New Roman" w:hAnsi="Times New Roman" w:cs="Times New Roman"/>
          <w:sz w:val="28"/>
          <w:szCs w:val="28"/>
        </w:rPr>
      </w:pPr>
    </w:p>
    <w:p w:rsidR="00DD48FF" w:rsidRDefault="00DD48FF" w:rsidP="005522FB">
      <w:pPr>
        <w:pStyle w:val="NoSpacing"/>
        <w:rPr>
          <w:rFonts w:ascii="Times New Roman" w:hAnsi="Times New Roman" w:cs="Times New Roman"/>
          <w:sz w:val="28"/>
          <w:szCs w:val="28"/>
        </w:rPr>
      </w:pPr>
      <w:r>
        <w:rPr>
          <w:rFonts w:ascii="Times New Roman" w:hAnsi="Times New Roman" w:cs="Times New Roman"/>
          <w:sz w:val="28"/>
          <w:szCs w:val="28"/>
        </w:rPr>
        <w:t>Oljaz, M., Nielsen, A.J., Rudkjobing, A., Birk, H. O., Krasnik, A</w:t>
      </w:r>
      <w:r w:rsidR="00CA2F61">
        <w:rPr>
          <w:rFonts w:ascii="Times New Roman" w:hAnsi="Times New Roman" w:cs="Times New Roman"/>
          <w:sz w:val="28"/>
          <w:szCs w:val="28"/>
        </w:rPr>
        <w:t>., Hernandez-Quevedo, C. (2012),</w:t>
      </w:r>
      <w:r>
        <w:rPr>
          <w:rFonts w:ascii="Times New Roman" w:hAnsi="Times New Roman" w:cs="Times New Roman"/>
          <w:sz w:val="28"/>
          <w:szCs w:val="28"/>
        </w:rPr>
        <w:t xml:space="preserve"> </w:t>
      </w:r>
      <w:r w:rsidRPr="00DD48FF">
        <w:rPr>
          <w:rFonts w:ascii="Times New Roman" w:hAnsi="Times New Roman" w:cs="Times New Roman"/>
          <w:i/>
          <w:sz w:val="28"/>
          <w:szCs w:val="28"/>
        </w:rPr>
        <w:t>Denmark: Health System Review</w:t>
      </w:r>
      <w:r>
        <w:rPr>
          <w:rFonts w:ascii="Times New Roman" w:hAnsi="Times New Roman" w:cs="Times New Roman"/>
          <w:sz w:val="28"/>
          <w:szCs w:val="28"/>
        </w:rPr>
        <w:t>.</w:t>
      </w:r>
      <w:r w:rsidR="007607EC">
        <w:rPr>
          <w:rFonts w:ascii="Times New Roman" w:hAnsi="Times New Roman" w:cs="Times New Roman"/>
          <w:sz w:val="28"/>
          <w:szCs w:val="28"/>
        </w:rPr>
        <w:t xml:space="preserve"> Health Systems in Transition, Vol. 14, No. 2. </w:t>
      </w:r>
      <w:r>
        <w:rPr>
          <w:rFonts w:ascii="Times New Roman" w:hAnsi="Times New Roman" w:cs="Times New Roman"/>
          <w:sz w:val="28"/>
          <w:szCs w:val="28"/>
        </w:rPr>
        <w:t xml:space="preserve"> European Observatory on Health Systems and System Policies, Brussels. </w:t>
      </w:r>
    </w:p>
    <w:p w:rsidR="00DD48FF" w:rsidRDefault="00DD48FF" w:rsidP="005522FB">
      <w:pPr>
        <w:pStyle w:val="NoSpacing"/>
        <w:rPr>
          <w:rFonts w:ascii="Times New Roman" w:hAnsi="Times New Roman" w:cs="Times New Roman"/>
          <w:sz w:val="28"/>
          <w:szCs w:val="28"/>
        </w:rPr>
      </w:pPr>
    </w:p>
    <w:p w:rsidR="00E748DA" w:rsidRDefault="00E748DA" w:rsidP="005522FB">
      <w:pPr>
        <w:pStyle w:val="NoSpacing"/>
        <w:rPr>
          <w:rFonts w:ascii="Times New Roman" w:hAnsi="Times New Roman" w:cs="Times New Roman"/>
          <w:sz w:val="28"/>
          <w:szCs w:val="28"/>
        </w:rPr>
      </w:pPr>
      <w:r>
        <w:rPr>
          <w:rFonts w:ascii="Times New Roman" w:hAnsi="Times New Roman" w:cs="Times New Roman"/>
          <w:sz w:val="28"/>
          <w:szCs w:val="28"/>
        </w:rPr>
        <w:t>Pavolini</w:t>
      </w:r>
      <w:r w:rsidR="00874965">
        <w:rPr>
          <w:rFonts w:ascii="Times New Roman" w:hAnsi="Times New Roman" w:cs="Times New Roman"/>
          <w:sz w:val="28"/>
          <w:szCs w:val="28"/>
        </w:rPr>
        <w:t>,</w:t>
      </w:r>
      <w:r>
        <w:rPr>
          <w:rFonts w:ascii="Times New Roman" w:hAnsi="Times New Roman" w:cs="Times New Roman"/>
          <w:sz w:val="28"/>
          <w:szCs w:val="28"/>
        </w:rPr>
        <w:t xml:space="preserve"> E</w:t>
      </w:r>
      <w:r w:rsidR="00874965">
        <w:rPr>
          <w:rFonts w:ascii="Times New Roman" w:hAnsi="Times New Roman" w:cs="Times New Roman"/>
          <w:sz w:val="28"/>
          <w:szCs w:val="28"/>
        </w:rPr>
        <w:t>.</w:t>
      </w:r>
      <w:r>
        <w:rPr>
          <w:rFonts w:ascii="Times New Roman" w:hAnsi="Times New Roman" w:cs="Times New Roman"/>
          <w:sz w:val="28"/>
          <w:szCs w:val="28"/>
        </w:rPr>
        <w:t>, Guillen</w:t>
      </w:r>
      <w:r w:rsidR="00874965">
        <w:rPr>
          <w:rFonts w:ascii="Times New Roman" w:hAnsi="Times New Roman" w:cs="Times New Roman"/>
          <w:sz w:val="28"/>
          <w:szCs w:val="28"/>
        </w:rPr>
        <w:t>,</w:t>
      </w:r>
      <w:r>
        <w:rPr>
          <w:rFonts w:ascii="Times New Roman" w:hAnsi="Times New Roman" w:cs="Times New Roman"/>
          <w:sz w:val="28"/>
          <w:szCs w:val="28"/>
        </w:rPr>
        <w:t xml:space="preserve"> A</w:t>
      </w:r>
      <w:r w:rsidR="00874965">
        <w:rPr>
          <w:rFonts w:ascii="Times New Roman" w:hAnsi="Times New Roman" w:cs="Times New Roman"/>
          <w:sz w:val="28"/>
          <w:szCs w:val="28"/>
        </w:rPr>
        <w:t>.M.</w:t>
      </w:r>
      <w:r>
        <w:rPr>
          <w:rFonts w:ascii="Times New Roman" w:hAnsi="Times New Roman" w:cs="Times New Roman"/>
          <w:sz w:val="28"/>
          <w:szCs w:val="28"/>
        </w:rPr>
        <w:t xml:space="preserve"> </w:t>
      </w:r>
      <w:r w:rsidR="00874965">
        <w:rPr>
          <w:rFonts w:ascii="Times New Roman" w:hAnsi="Times New Roman" w:cs="Times New Roman"/>
          <w:sz w:val="28"/>
          <w:szCs w:val="28"/>
        </w:rPr>
        <w:t>(eds) (2013),</w:t>
      </w:r>
      <w:r>
        <w:rPr>
          <w:rFonts w:ascii="Times New Roman" w:hAnsi="Times New Roman" w:cs="Times New Roman"/>
          <w:sz w:val="28"/>
          <w:szCs w:val="28"/>
        </w:rPr>
        <w:t xml:space="preserve"> </w:t>
      </w:r>
      <w:r w:rsidRPr="00874965">
        <w:rPr>
          <w:rFonts w:ascii="Times New Roman" w:hAnsi="Times New Roman" w:cs="Times New Roman"/>
          <w:i/>
          <w:sz w:val="28"/>
          <w:szCs w:val="28"/>
        </w:rPr>
        <w:t>Health Care Systems in Europe Under Austerity: Institutional Reforms and Performance</w:t>
      </w:r>
      <w:r w:rsidRPr="00525357">
        <w:rPr>
          <w:rFonts w:ascii="Times New Roman" w:hAnsi="Times New Roman" w:cs="Times New Roman"/>
          <w:sz w:val="28"/>
          <w:szCs w:val="28"/>
          <w:u w:val="single"/>
        </w:rPr>
        <w:t>.</w:t>
      </w:r>
      <w:r>
        <w:rPr>
          <w:rFonts w:ascii="Times New Roman" w:hAnsi="Times New Roman" w:cs="Times New Roman"/>
          <w:sz w:val="28"/>
          <w:szCs w:val="28"/>
        </w:rPr>
        <w:t xml:space="preserve"> </w:t>
      </w:r>
      <w:r w:rsidR="00874965">
        <w:rPr>
          <w:rFonts w:ascii="Times New Roman" w:hAnsi="Times New Roman" w:cs="Times New Roman"/>
          <w:sz w:val="28"/>
          <w:szCs w:val="28"/>
        </w:rPr>
        <w:t xml:space="preserve">Basingstoke, UK: </w:t>
      </w:r>
      <w:r>
        <w:rPr>
          <w:rFonts w:ascii="Times New Roman" w:hAnsi="Times New Roman" w:cs="Times New Roman"/>
          <w:sz w:val="28"/>
          <w:szCs w:val="28"/>
        </w:rPr>
        <w:t>Pal</w:t>
      </w:r>
      <w:r w:rsidR="00874965">
        <w:rPr>
          <w:rFonts w:ascii="Times New Roman" w:hAnsi="Times New Roman" w:cs="Times New Roman"/>
          <w:sz w:val="28"/>
          <w:szCs w:val="28"/>
        </w:rPr>
        <w:t>grave MacMillan</w:t>
      </w:r>
      <w:r>
        <w:rPr>
          <w:rFonts w:ascii="Times New Roman" w:hAnsi="Times New Roman" w:cs="Times New Roman"/>
          <w:sz w:val="28"/>
          <w:szCs w:val="28"/>
        </w:rPr>
        <w:t>.</w:t>
      </w:r>
    </w:p>
    <w:p w:rsidR="00577D5E" w:rsidRDefault="00577D5E" w:rsidP="005522FB">
      <w:pPr>
        <w:pStyle w:val="NoSpacing"/>
        <w:rPr>
          <w:rFonts w:ascii="Times New Roman" w:hAnsi="Times New Roman" w:cs="Times New Roman"/>
          <w:sz w:val="28"/>
          <w:szCs w:val="28"/>
        </w:rPr>
      </w:pPr>
    </w:p>
    <w:p w:rsidR="00577D5E" w:rsidRDefault="00577D5E"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PIMCO (2009). “A New Normal.” </w:t>
      </w:r>
      <w:r w:rsidRPr="00577D5E">
        <w:rPr>
          <w:rFonts w:ascii="Times New Roman" w:hAnsi="Times New Roman" w:cs="Times New Roman"/>
          <w:i/>
          <w:sz w:val="28"/>
          <w:szCs w:val="28"/>
        </w:rPr>
        <w:t>PIMCO Secular Outlook</w:t>
      </w:r>
      <w:r>
        <w:rPr>
          <w:rFonts w:ascii="Times New Roman" w:hAnsi="Times New Roman" w:cs="Times New Roman"/>
          <w:sz w:val="28"/>
          <w:szCs w:val="28"/>
        </w:rPr>
        <w:t xml:space="preserve">. Pacific Heights, CA (May). </w:t>
      </w:r>
    </w:p>
    <w:p w:rsidR="00A50E44" w:rsidRDefault="00A50E44" w:rsidP="005522FB">
      <w:pPr>
        <w:pStyle w:val="NoSpacing"/>
        <w:rPr>
          <w:rFonts w:ascii="Times New Roman" w:hAnsi="Times New Roman" w:cs="Times New Roman"/>
          <w:sz w:val="28"/>
          <w:szCs w:val="28"/>
        </w:rPr>
      </w:pPr>
    </w:p>
    <w:p w:rsidR="00A50E44" w:rsidRDefault="008A034F" w:rsidP="005522FB">
      <w:pPr>
        <w:pStyle w:val="NoSpacing"/>
        <w:rPr>
          <w:rFonts w:ascii="Times New Roman" w:hAnsi="Times New Roman" w:cs="Times New Roman"/>
          <w:color w:val="222222"/>
          <w:sz w:val="28"/>
          <w:szCs w:val="28"/>
        </w:rPr>
      </w:pPr>
      <w:r>
        <w:rPr>
          <w:rFonts w:ascii="Times New Roman" w:hAnsi="Times New Roman" w:cs="Times New Roman"/>
          <w:color w:val="222222"/>
          <w:sz w:val="28"/>
          <w:szCs w:val="28"/>
        </w:rPr>
        <w:t>Reinhart, C. M., and K. S. Rogoff (2010),</w:t>
      </w:r>
      <w:r w:rsidR="00A50E44" w:rsidRPr="00A50E44">
        <w:rPr>
          <w:rFonts w:ascii="Times New Roman" w:hAnsi="Times New Roman" w:cs="Times New Roman"/>
          <w:color w:val="222222"/>
          <w:sz w:val="28"/>
          <w:szCs w:val="28"/>
        </w:rPr>
        <w:t xml:space="preserve"> "Growth in a time of debt (digest summary)." </w:t>
      </w:r>
      <w:r w:rsidR="00A50E44" w:rsidRPr="00A50E44">
        <w:rPr>
          <w:rFonts w:ascii="Times New Roman" w:hAnsi="Times New Roman" w:cs="Times New Roman"/>
          <w:i/>
          <w:iCs/>
          <w:color w:val="222222"/>
          <w:sz w:val="28"/>
          <w:szCs w:val="28"/>
        </w:rPr>
        <w:t>American Economic Review</w:t>
      </w:r>
      <w:r>
        <w:rPr>
          <w:rFonts w:ascii="Times New Roman" w:hAnsi="Times New Roman" w:cs="Times New Roman"/>
          <w:color w:val="222222"/>
          <w:sz w:val="28"/>
          <w:szCs w:val="28"/>
        </w:rPr>
        <w:t xml:space="preserve"> 100.2</w:t>
      </w:r>
      <w:r w:rsidR="00A50E44" w:rsidRPr="00A50E44">
        <w:rPr>
          <w:rFonts w:ascii="Times New Roman" w:hAnsi="Times New Roman" w:cs="Times New Roman"/>
          <w:color w:val="222222"/>
          <w:sz w:val="28"/>
          <w:szCs w:val="28"/>
        </w:rPr>
        <w:t>: 573-578.</w:t>
      </w:r>
    </w:p>
    <w:p w:rsidR="008A034F" w:rsidRDefault="008A034F" w:rsidP="005522FB">
      <w:pPr>
        <w:pStyle w:val="NoSpacing"/>
        <w:rPr>
          <w:rFonts w:ascii="Times New Roman" w:hAnsi="Times New Roman" w:cs="Times New Roman"/>
          <w:color w:val="222222"/>
          <w:sz w:val="28"/>
          <w:szCs w:val="28"/>
        </w:rPr>
      </w:pPr>
    </w:p>
    <w:p w:rsidR="008A034F" w:rsidRPr="00DF5893" w:rsidRDefault="008A034F" w:rsidP="008A034F">
      <w:pPr>
        <w:pStyle w:val="Default"/>
        <w:rPr>
          <w:rFonts w:ascii="Times New Roman" w:hAnsi="Times New Roman" w:cs="Times New Roman"/>
          <w:sz w:val="28"/>
          <w:szCs w:val="28"/>
        </w:rPr>
      </w:pPr>
      <w:r w:rsidRPr="00DF5893">
        <w:rPr>
          <w:rFonts w:ascii="Times New Roman" w:hAnsi="Times New Roman" w:cs="Times New Roman"/>
          <w:sz w:val="28"/>
          <w:szCs w:val="28"/>
        </w:rPr>
        <w:t>Reinhart</w:t>
      </w:r>
      <w:r>
        <w:rPr>
          <w:rFonts w:ascii="Times New Roman" w:hAnsi="Times New Roman" w:cs="Times New Roman"/>
          <w:sz w:val="28"/>
          <w:szCs w:val="28"/>
        </w:rPr>
        <w:t xml:space="preserve"> C and K. S. Rogoff (2011), ‘</w:t>
      </w:r>
      <w:r w:rsidRPr="00DF5893">
        <w:rPr>
          <w:rFonts w:ascii="Times New Roman" w:hAnsi="Times New Roman" w:cs="Times New Roman"/>
          <w:sz w:val="28"/>
          <w:szCs w:val="28"/>
        </w:rPr>
        <w:t>Too Much</w:t>
      </w:r>
      <w:r>
        <w:rPr>
          <w:rFonts w:ascii="Times New Roman" w:hAnsi="Times New Roman" w:cs="Times New Roman"/>
          <w:sz w:val="28"/>
          <w:szCs w:val="28"/>
        </w:rPr>
        <w:t xml:space="preserve"> D</w:t>
      </w:r>
      <w:r w:rsidR="00B23894">
        <w:rPr>
          <w:rFonts w:ascii="Times New Roman" w:hAnsi="Times New Roman" w:cs="Times New Roman"/>
          <w:sz w:val="28"/>
          <w:szCs w:val="28"/>
        </w:rPr>
        <w:t xml:space="preserve">ebt Means Economy Can’t Grow,’ </w:t>
      </w:r>
      <w:r w:rsidRPr="00F61321">
        <w:rPr>
          <w:rFonts w:ascii="Times New Roman" w:hAnsi="Times New Roman" w:cs="Times New Roman"/>
          <w:i/>
          <w:sz w:val="28"/>
          <w:szCs w:val="28"/>
        </w:rPr>
        <w:t>Bloomberg.com</w:t>
      </w:r>
      <w:r w:rsidRPr="00DF5893">
        <w:rPr>
          <w:rFonts w:ascii="Times New Roman" w:hAnsi="Times New Roman" w:cs="Times New Roman"/>
          <w:sz w:val="28"/>
          <w:szCs w:val="28"/>
        </w:rPr>
        <w:t xml:space="preserve">, 14 July 2011, </w:t>
      </w:r>
    </w:p>
    <w:p w:rsidR="008A034F" w:rsidRPr="00A50E44" w:rsidRDefault="008A034F" w:rsidP="005522FB">
      <w:pPr>
        <w:pStyle w:val="NoSpacing"/>
        <w:rPr>
          <w:rFonts w:ascii="Times New Roman" w:hAnsi="Times New Roman" w:cs="Times New Roman"/>
          <w:sz w:val="28"/>
          <w:szCs w:val="28"/>
        </w:rPr>
      </w:pPr>
    </w:p>
    <w:p w:rsidR="0014581A" w:rsidRDefault="0014581A" w:rsidP="005522FB">
      <w:pPr>
        <w:pStyle w:val="NoSpacing"/>
        <w:rPr>
          <w:rFonts w:ascii="Times New Roman" w:hAnsi="Times New Roman" w:cs="Times New Roman"/>
          <w:sz w:val="28"/>
          <w:szCs w:val="28"/>
        </w:rPr>
      </w:pPr>
      <w:r>
        <w:rPr>
          <w:rFonts w:ascii="Times New Roman" w:hAnsi="Times New Roman" w:cs="Times New Roman"/>
          <w:sz w:val="28"/>
          <w:szCs w:val="28"/>
        </w:rPr>
        <w:t xml:space="preserve">Ringard, A., Sagan, A., Saunes, I. S., </w:t>
      </w:r>
      <w:r w:rsidR="002F3269">
        <w:rPr>
          <w:rFonts w:ascii="Times New Roman" w:hAnsi="Times New Roman" w:cs="Times New Roman"/>
          <w:sz w:val="28"/>
          <w:szCs w:val="28"/>
        </w:rPr>
        <w:t>and A.K. Lindahl,</w:t>
      </w:r>
      <w:r>
        <w:rPr>
          <w:rFonts w:ascii="Times New Roman" w:hAnsi="Times New Roman" w:cs="Times New Roman"/>
          <w:sz w:val="28"/>
          <w:szCs w:val="28"/>
        </w:rPr>
        <w:t xml:space="preserve"> (2013), </w:t>
      </w:r>
      <w:r w:rsidRPr="0014581A">
        <w:rPr>
          <w:rFonts w:ascii="Times New Roman" w:hAnsi="Times New Roman" w:cs="Times New Roman"/>
          <w:i/>
          <w:sz w:val="28"/>
          <w:szCs w:val="28"/>
        </w:rPr>
        <w:t>Norway: Health</w:t>
      </w:r>
      <w:r>
        <w:rPr>
          <w:rFonts w:ascii="Times New Roman" w:hAnsi="Times New Roman" w:cs="Times New Roman"/>
          <w:sz w:val="28"/>
          <w:szCs w:val="28"/>
        </w:rPr>
        <w:t xml:space="preserve"> </w:t>
      </w:r>
      <w:r w:rsidRPr="0014581A">
        <w:rPr>
          <w:rFonts w:ascii="Times New Roman" w:hAnsi="Times New Roman" w:cs="Times New Roman"/>
          <w:i/>
          <w:sz w:val="28"/>
          <w:szCs w:val="28"/>
        </w:rPr>
        <w:t>System Review</w:t>
      </w:r>
      <w:r w:rsidR="002F3269">
        <w:rPr>
          <w:rFonts w:ascii="Times New Roman" w:hAnsi="Times New Roman" w:cs="Times New Roman"/>
          <w:sz w:val="28"/>
          <w:szCs w:val="28"/>
        </w:rPr>
        <w:t>, Health Systems in Transition Vol. 15, No. 8,</w:t>
      </w:r>
      <w:r>
        <w:rPr>
          <w:rFonts w:ascii="Times New Roman" w:hAnsi="Times New Roman" w:cs="Times New Roman"/>
          <w:sz w:val="28"/>
          <w:szCs w:val="28"/>
        </w:rPr>
        <w:t xml:space="preserve"> European Observatory on Health Systems and Policies, Brussels.</w:t>
      </w:r>
    </w:p>
    <w:p w:rsidR="00B337D2" w:rsidRDefault="00B337D2" w:rsidP="005522FB">
      <w:pPr>
        <w:pStyle w:val="NoSpacing"/>
        <w:rPr>
          <w:rFonts w:ascii="Times New Roman" w:hAnsi="Times New Roman" w:cs="Times New Roman"/>
          <w:sz w:val="28"/>
          <w:szCs w:val="28"/>
        </w:rPr>
      </w:pPr>
    </w:p>
    <w:p w:rsidR="00B337D2" w:rsidRDefault="00B337D2" w:rsidP="005522FB">
      <w:pPr>
        <w:pStyle w:val="NoSpacing"/>
        <w:rPr>
          <w:rStyle w:val="article-classifiergap"/>
          <w:rFonts w:ascii="Times New Roman" w:hAnsi="Times New Roman" w:cs="Times New Roman"/>
          <w:bCs/>
          <w:color w:val="333333"/>
          <w:sz w:val="28"/>
          <w:szCs w:val="28"/>
          <w:lang w:val="en-GB"/>
        </w:rPr>
      </w:pPr>
      <w:r>
        <w:rPr>
          <w:rFonts w:ascii="Times New Roman" w:hAnsi="Times New Roman" w:cs="Times New Roman"/>
          <w:sz w:val="28"/>
          <w:szCs w:val="28"/>
        </w:rPr>
        <w:t>Romei, V. (2017), ‘</w:t>
      </w:r>
      <w:r w:rsidRPr="00B337D2">
        <w:rPr>
          <w:rStyle w:val="article-classifiergap"/>
          <w:rFonts w:ascii="Times New Roman" w:hAnsi="Times New Roman" w:cs="Times New Roman"/>
          <w:bCs/>
          <w:color w:val="333333"/>
          <w:sz w:val="28"/>
          <w:szCs w:val="28"/>
          <w:lang w:val="en-GB"/>
        </w:rPr>
        <w:t>How wages fell in the UK while the economy grew</w:t>
      </w:r>
      <w:r>
        <w:rPr>
          <w:rStyle w:val="article-classifiergap"/>
          <w:rFonts w:ascii="Times New Roman" w:hAnsi="Times New Roman" w:cs="Times New Roman"/>
          <w:bCs/>
          <w:color w:val="333333"/>
          <w:sz w:val="28"/>
          <w:szCs w:val="28"/>
          <w:lang w:val="en-GB"/>
        </w:rPr>
        <w:t xml:space="preserve">.’ </w:t>
      </w:r>
      <w:r w:rsidRPr="00B337D2">
        <w:rPr>
          <w:rStyle w:val="article-classifiergap"/>
          <w:rFonts w:ascii="Times New Roman" w:hAnsi="Times New Roman" w:cs="Times New Roman"/>
          <w:bCs/>
          <w:i/>
          <w:color w:val="333333"/>
          <w:sz w:val="28"/>
          <w:szCs w:val="28"/>
          <w:lang w:val="en-GB"/>
        </w:rPr>
        <w:t>Financial Times</w:t>
      </w:r>
      <w:r>
        <w:rPr>
          <w:rStyle w:val="article-classifiergap"/>
          <w:rFonts w:ascii="Times New Roman" w:hAnsi="Times New Roman" w:cs="Times New Roman"/>
          <w:bCs/>
          <w:color w:val="333333"/>
          <w:sz w:val="28"/>
          <w:szCs w:val="28"/>
          <w:lang w:val="en-GB"/>
        </w:rPr>
        <w:t xml:space="preserve"> (2 March).</w:t>
      </w:r>
    </w:p>
    <w:p w:rsidR="00BA4939" w:rsidRDefault="00BA4939" w:rsidP="005522FB">
      <w:pPr>
        <w:pStyle w:val="NoSpacing"/>
        <w:rPr>
          <w:rStyle w:val="article-classifiergap"/>
          <w:rFonts w:ascii="Times New Roman" w:hAnsi="Times New Roman" w:cs="Times New Roman"/>
          <w:bCs/>
          <w:color w:val="333333"/>
          <w:sz w:val="28"/>
          <w:szCs w:val="28"/>
          <w:lang w:val="en-GB"/>
        </w:rPr>
      </w:pPr>
    </w:p>
    <w:p w:rsidR="00BA4939" w:rsidRPr="00BA4939" w:rsidRDefault="00BA4939" w:rsidP="00BA4939">
      <w:pPr>
        <w:rPr>
          <w:rFonts w:ascii="Times New Roman" w:hAnsi="Times New Roman"/>
          <w:sz w:val="28"/>
          <w:szCs w:val="28"/>
        </w:rPr>
      </w:pPr>
      <w:r w:rsidRPr="00BA4939">
        <w:rPr>
          <w:rFonts w:ascii="Times New Roman" w:hAnsi="Times New Roman"/>
          <w:sz w:val="28"/>
          <w:szCs w:val="28"/>
        </w:rPr>
        <w:t>Saltman,</w:t>
      </w:r>
      <w:r w:rsidR="007C6606">
        <w:rPr>
          <w:rFonts w:ascii="Times New Roman" w:hAnsi="Times New Roman"/>
          <w:sz w:val="28"/>
          <w:szCs w:val="28"/>
        </w:rPr>
        <w:t xml:space="preserve"> R. B.</w:t>
      </w:r>
      <w:r w:rsidRPr="00BA4939">
        <w:rPr>
          <w:rFonts w:ascii="Times New Roman" w:hAnsi="Times New Roman"/>
          <w:sz w:val="28"/>
          <w:szCs w:val="28"/>
        </w:rPr>
        <w:t xml:space="preserve"> </w:t>
      </w:r>
      <w:r w:rsidR="007C6606">
        <w:rPr>
          <w:rFonts w:ascii="Times New Roman" w:hAnsi="Times New Roman"/>
          <w:sz w:val="28"/>
          <w:szCs w:val="28"/>
        </w:rPr>
        <w:t>(2008),</w:t>
      </w:r>
      <w:r w:rsidRPr="00BA4939">
        <w:rPr>
          <w:rFonts w:ascii="Times New Roman" w:hAnsi="Times New Roman"/>
          <w:sz w:val="28"/>
          <w:szCs w:val="28"/>
        </w:rPr>
        <w:t xml:space="preserve"> </w:t>
      </w:r>
      <w:r w:rsidR="007C6606">
        <w:rPr>
          <w:rFonts w:ascii="Times New Roman" w:hAnsi="Times New Roman"/>
          <w:sz w:val="28"/>
          <w:szCs w:val="28"/>
        </w:rPr>
        <w:t>‘</w:t>
      </w:r>
      <w:r w:rsidRPr="00BA4939">
        <w:rPr>
          <w:rFonts w:ascii="Times New Roman" w:hAnsi="Times New Roman"/>
          <w:sz w:val="28"/>
          <w:szCs w:val="28"/>
        </w:rPr>
        <w:t>Decentralization, Re-centralization and F</w:t>
      </w:r>
      <w:r w:rsidR="007C6606">
        <w:rPr>
          <w:rFonts w:ascii="Times New Roman" w:hAnsi="Times New Roman"/>
          <w:sz w:val="28"/>
          <w:szCs w:val="28"/>
        </w:rPr>
        <w:t>uture European Health Policy.’</w:t>
      </w:r>
      <w:r w:rsidRPr="00BA4939">
        <w:rPr>
          <w:rFonts w:ascii="Times New Roman" w:hAnsi="Times New Roman"/>
          <w:b/>
          <w:sz w:val="28"/>
          <w:szCs w:val="28"/>
        </w:rPr>
        <w:t xml:space="preserve"> </w:t>
      </w:r>
      <w:r w:rsidRPr="00BA4939">
        <w:rPr>
          <w:rFonts w:ascii="Times New Roman" w:hAnsi="Times New Roman"/>
          <w:i/>
          <w:sz w:val="28"/>
          <w:szCs w:val="28"/>
        </w:rPr>
        <w:t>European Journal of Public Health</w:t>
      </w:r>
      <w:r w:rsidRPr="00BA4939">
        <w:rPr>
          <w:rFonts w:ascii="Times New Roman" w:hAnsi="Times New Roman"/>
          <w:sz w:val="28"/>
          <w:szCs w:val="28"/>
        </w:rPr>
        <w:t xml:space="preserve"> 18(2): 104-106</w:t>
      </w:r>
    </w:p>
    <w:p w:rsidR="00BA4939" w:rsidRDefault="00BA4939" w:rsidP="00BA4939">
      <w:pPr>
        <w:ind w:left="1440" w:hanging="1440"/>
        <w:rPr>
          <w:rFonts w:ascii="CG Times" w:hAnsi="CG Times"/>
          <w:b/>
          <w:sz w:val="22"/>
        </w:rPr>
      </w:pPr>
    </w:p>
    <w:p w:rsidR="00CF72E0" w:rsidRDefault="00CF72E0" w:rsidP="00CF72E0">
      <w:pPr>
        <w:rPr>
          <w:rFonts w:ascii="Times New Roman" w:hAnsi="Times New Roman"/>
          <w:sz w:val="28"/>
          <w:szCs w:val="28"/>
        </w:rPr>
      </w:pPr>
      <w:r w:rsidRPr="00CF72E0">
        <w:rPr>
          <w:rFonts w:ascii="Times New Roman" w:hAnsi="Times New Roman"/>
          <w:sz w:val="28"/>
          <w:szCs w:val="28"/>
        </w:rPr>
        <w:t>Saltman,</w:t>
      </w:r>
      <w:r>
        <w:rPr>
          <w:rFonts w:ascii="Times New Roman" w:hAnsi="Times New Roman"/>
          <w:sz w:val="28"/>
          <w:szCs w:val="28"/>
        </w:rPr>
        <w:t xml:space="preserve"> R.</w:t>
      </w:r>
      <w:r>
        <w:rPr>
          <w:rFonts w:ascii="Times New Roman" w:hAnsi="Times New Roman"/>
          <w:b/>
          <w:sz w:val="28"/>
          <w:szCs w:val="28"/>
        </w:rPr>
        <w:t>B.,</w:t>
      </w:r>
      <w:r>
        <w:rPr>
          <w:rFonts w:ascii="Times New Roman" w:hAnsi="Times New Roman"/>
          <w:sz w:val="28"/>
          <w:szCs w:val="28"/>
        </w:rPr>
        <w:t xml:space="preserve"> </w:t>
      </w:r>
      <w:r w:rsidRPr="00CF72E0">
        <w:rPr>
          <w:rFonts w:ascii="Times New Roman" w:hAnsi="Times New Roman"/>
          <w:sz w:val="28"/>
          <w:szCs w:val="28"/>
        </w:rPr>
        <w:t>Dubois</w:t>
      </w:r>
      <w:r>
        <w:rPr>
          <w:rFonts w:ascii="Times New Roman" w:hAnsi="Times New Roman"/>
          <w:sz w:val="28"/>
          <w:szCs w:val="28"/>
        </w:rPr>
        <w:t xml:space="preserve"> HWF</w:t>
      </w:r>
      <w:r w:rsidRPr="00CF72E0">
        <w:rPr>
          <w:rFonts w:ascii="Times New Roman" w:hAnsi="Times New Roman"/>
          <w:sz w:val="28"/>
          <w:szCs w:val="28"/>
        </w:rPr>
        <w:t xml:space="preserve"> and</w:t>
      </w:r>
      <w:r>
        <w:rPr>
          <w:rFonts w:ascii="Times New Roman" w:hAnsi="Times New Roman"/>
          <w:sz w:val="28"/>
          <w:szCs w:val="28"/>
        </w:rPr>
        <w:t xml:space="preserve"> M.</w:t>
      </w:r>
      <w:r w:rsidRPr="00CF72E0">
        <w:rPr>
          <w:rFonts w:ascii="Times New Roman" w:hAnsi="Times New Roman"/>
          <w:sz w:val="28"/>
          <w:szCs w:val="28"/>
        </w:rPr>
        <w:t xml:space="preserve"> Chawla, 2006.  “The Impact of Aging on Long-Term Care in Europe and Some Potential Policy Responses.”  </w:t>
      </w:r>
      <w:r w:rsidRPr="007434CE">
        <w:rPr>
          <w:rFonts w:ascii="Times New Roman" w:hAnsi="Times New Roman"/>
          <w:i/>
          <w:sz w:val="28"/>
          <w:szCs w:val="28"/>
        </w:rPr>
        <w:t>International Journal of Health Services</w:t>
      </w:r>
      <w:r w:rsidRPr="00CF72E0">
        <w:rPr>
          <w:rFonts w:ascii="Times New Roman" w:hAnsi="Times New Roman"/>
          <w:sz w:val="28"/>
          <w:szCs w:val="28"/>
        </w:rPr>
        <w:t xml:space="preserve"> 36(4): 719-746.</w:t>
      </w:r>
    </w:p>
    <w:p w:rsidR="00664EE0" w:rsidRDefault="00664EE0" w:rsidP="00CF72E0">
      <w:pPr>
        <w:rPr>
          <w:rFonts w:ascii="Times New Roman" w:hAnsi="Times New Roman"/>
          <w:sz w:val="28"/>
          <w:szCs w:val="28"/>
        </w:rPr>
      </w:pPr>
    </w:p>
    <w:p w:rsidR="00664EE0" w:rsidRPr="00664EE0" w:rsidRDefault="00664EE0" w:rsidP="00664EE0">
      <w:pPr>
        <w:tabs>
          <w:tab w:val="left" w:pos="720"/>
          <w:tab w:val="left" w:pos="1440"/>
        </w:tabs>
        <w:ind w:left="1440" w:hanging="1440"/>
        <w:rPr>
          <w:rFonts w:ascii="Times New Roman" w:hAnsi="Times New Roman"/>
          <w:i/>
          <w:sz w:val="28"/>
          <w:szCs w:val="28"/>
        </w:rPr>
      </w:pPr>
      <w:r w:rsidRPr="00664EE0">
        <w:rPr>
          <w:rFonts w:ascii="Times New Roman" w:hAnsi="Times New Roman"/>
          <w:sz w:val="28"/>
          <w:szCs w:val="28"/>
        </w:rPr>
        <w:t>Saltman,</w:t>
      </w:r>
      <w:r>
        <w:rPr>
          <w:rFonts w:ascii="Times New Roman" w:hAnsi="Times New Roman"/>
          <w:sz w:val="28"/>
          <w:szCs w:val="28"/>
        </w:rPr>
        <w:t xml:space="preserve"> R.B.,</w:t>
      </w:r>
      <w:r w:rsidRPr="00664EE0">
        <w:rPr>
          <w:rFonts w:ascii="Times New Roman" w:hAnsi="Times New Roman"/>
          <w:sz w:val="28"/>
          <w:szCs w:val="28"/>
        </w:rPr>
        <w:t xml:space="preserve"> Bankauskaite</w:t>
      </w:r>
      <w:r>
        <w:rPr>
          <w:rFonts w:ascii="Times New Roman" w:hAnsi="Times New Roman"/>
          <w:sz w:val="28"/>
          <w:szCs w:val="28"/>
        </w:rPr>
        <w:t xml:space="preserve"> V.,</w:t>
      </w:r>
      <w:r w:rsidRPr="00664EE0">
        <w:rPr>
          <w:rFonts w:ascii="Times New Roman" w:hAnsi="Times New Roman"/>
          <w:sz w:val="28"/>
          <w:szCs w:val="28"/>
        </w:rPr>
        <w:t xml:space="preserve"> and K. Vrangbaek, eds.</w:t>
      </w:r>
      <w:r>
        <w:rPr>
          <w:rFonts w:ascii="Times New Roman" w:hAnsi="Times New Roman"/>
          <w:sz w:val="28"/>
          <w:szCs w:val="28"/>
        </w:rPr>
        <w:t xml:space="preserve"> (</w:t>
      </w:r>
      <w:r w:rsidRPr="00664EE0">
        <w:rPr>
          <w:rFonts w:ascii="Times New Roman" w:hAnsi="Times New Roman"/>
          <w:sz w:val="28"/>
          <w:szCs w:val="28"/>
        </w:rPr>
        <w:t>2007</w:t>
      </w:r>
      <w:r>
        <w:rPr>
          <w:rFonts w:ascii="Times New Roman" w:hAnsi="Times New Roman"/>
          <w:sz w:val="28"/>
          <w:szCs w:val="28"/>
        </w:rPr>
        <w:t>),</w:t>
      </w:r>
      <w:r w:rsidRPr="00664EE0">
        <w:rPr>
          <w:rFonts w:ascii="Times New Roman" w:hAnsi="Times New Roman"/>
          <w:sz w:val="28"/>
          <w:szCs w:val="28"/>
        </w:rPr>
        <w:t xml:space="preserve">  </w:t>
      </w:r>
      <w:r w:rsidRPr="00664EE0">
        <w:rPr>
          <w:rFonts w:ascii="Times New Roman" w:hAnsi="Times New Roman"/>
          <w:i/>
          <w:sz w:val="28"/>
          <w:szCs w:val="28"/>
        </w:rPr>
        <w:t>Decentralization</w:t>
      </w:r>
    </w:p>
    <w:p w:rsidR="00664EE0" w:rsidRDefault="00664EE0" w:rsidP="00664EE0">
      <w:pPr>
        <w:tabs>
          <w:tab w:val="left" w:pos="720"/>
          <w:tab w:val="left" w:pos="1440"/>
        </w:tabs>
        <w:ind w:left="1440" w:hanging="1440"/>
        <w:rPr>
          <w:rFonts w:ascii="Times New Roman" w:hAnsi="Times New Roman"/>
          <w:sz w:val="28"/>
          <w:szCs w:val="28"/>
        </w:rPr>
      </w:pPr>
      <w:r>
        <w:rPr>
          <w:rFonts w:ascii="Times New Roman" w:hAnsi="Times New Roman"/>
          <w:i/>
          <w:sz w:val="28"/>
          <w:szCs w:val="28"/>
        </w:rPr>
        <w:t xml:space="preserve">in </w:t>
      </w:r>
      <w:r w:rsidRPr="00664EE0">
        <w:rPr>
          <w:rFonts w:ascii="Times New Roman" w:hAnsi="Times New Roman"/>
          <w:i/>
          <w:sz w:val="28"/>
          <w:szCs w:val="28"/>
        </w:rPr>
        <w:t>Health Care: Strategies and Outcomes.</w:t>
      </w:r>
      <w:r w:rsidRPr="00664EE0">
        <w:rPr>
          <w:rFonts w:ascii="Times New Roman" w:hAnsi="Times New Roman"/>
          <w:sz w:val="28"/>
          <w:szCs w:val="28"/>
        </w:rPr>
        <w:t xml:space="preserve"> European Observatory on Health </w:t>
      </w:r>
    </w:p>
    <w:p w:rsidR="00664EE0" w:rsidRDefault="00664EE0" w:rsidP="00664EE0">
      <w:pPr>
        <w:tabs>
          <w:tab w:val="left" w:pos="720"/>
          <w:tab w:val="left" w:pos="1440"/>
        </w:tabs>
        <w:ind w:left="1440" w:hanging="1440"/>
        <w:rPr>
          <w:rFonts w:ascii="Times New Roman" w:hAnsi="Times New Roman"/>
          <w:sz w:val="28"/>
          <w:szCs w:val="28"/>
        </w:rPr>
      </w:pPr>
      <w:r w:rsidRPr="00664EE0">
        <w:rPr>
          <w:rFonts w:ascii="Times New Roman" w:hAnsi="Times New Roman"/>
          <w:sz w:val="28"/>
          <w:szCs w:val="28"/>
        </w:rPr>
        <w:t>Systems and Policies Series, Open Universi</w:t>
      </w:r>
      <w:r>
        <w:rPr>
          <w:rFonts w:ascii="Times New Roman" w:hAnsi="Times New Roman"/>
          <w:sz w:val="28"/>
          <w:szCs w:val="28"/>
        </w:rPr>
        <w:t xml:space="preserve">ty Press/McGraw-Hill Education, </w:t>
      </w:r>
    </w:p>
    <w:p w:rsidR="00664EE0" w:rsidRPr="00664EE0" w:rsidRDefault="00664EE0" w:rsidP="00664EE0">
      <w:pPr>
        <w:tabs>
          <w:tab w:val="left" w:pos="720"/>
          <w:tab w:val="left" w:pos="1440"/>
        </w:tabs>
        <w:ind w:left="1440" w:hanging="1440"/>
        <w:rPr>
          <w:rFonts w:ascii="Times New Roman" w:hAnsi="Times New Roman"/>
          <w:sz w:val="28"/>
          <w:szCs w:val="28"/>
        </w:rPr>
      </w:pPr>
      <w:r>
        <w:rPr>
          <w:rFonts w:ascii="Times New Roman" w:hAnsi="Times New Roman"/>
          <w:sz w:val="28"/>
          <w:szCs w:val="28"/>
        </w:rPr>
        <w:t>London.</w:t>
      </w:r>
      <w:r>
        <w:rPr>
          <w:rFonts w:ascii="Times New Roman" w:hAnsi="Times New Roman"/>
          <w:sz w:val="28"/>
          <w:szCs w:val="28"/>
        </w:rPr>
        <w:tab/>
        <w:t xml:space="preserve"> </w:t>
      </w:r>
      <w:r w:rsidRPr="00664EE0">
        <w:rPr>
          <w:rFonts w:ascii="Times New Roman" w:hAnsi="Times New Roman"/>
          <w:b/>
          <w:sz w:val="28"/>
          <w:szCs w:val="28"/>
        </w:rPr>
        <w:tab/>
      </w:r>
    </w:p>
    <w:p w:rsidR="00664EE0" w:rsidRPr="00664EE0" w:rsidRDefault="00664EE0" w:rsidP="00CF72E0">
      <w:pPr>
        <w:rPr>
          <w:rFonts w:ascii="Times New Roman" w:hAnsi="Times New Roman"/>
          <w:b/>
          <w:sz w:val="28"/>
          <w:szCs w:val="28"/>
        </w:rPr>
      </w:pPr>
    </w:p>
    <w:p w:rsidR="00FF1922" w:rsidRDefault="00B9607B" w:rsidP="005522FB">
      <w:pPr>
        <w:pStyle w:val="NoSpacing"/>
        <w:rPr>
          <w:rFonts w:ascii="Times New Roman" w:hAnsi="Times New Roman" w:cs="Times New Roman"/>
          <w:sz w:val="28"/>
          <w:szCs w:val="28"/>
        </w:rPr>
      </w:pPr>
      <w:r>
        <w:rPr>
          <w:rFonts w:ascii="Times New Roman" w:hAnsi="Times New Roman" w:cs="Times New Roman"/>
          <w:sz w:val="28"/>
          <w:szCs w:val="28"/>
        </w:rPr>
        <w:lastRenderedPageBreak/>
        <w:t>Saltman</w:t>
      </w:r>
      <w:r w:rsidR="001E2E4F">
        <w:rPr>
          <w:rFonts w:ascii="Times New Roman" w:hAnsi="Times New Roman" w:cs="Times New Roman"/>
          <w:sz w:val="28"/>
          <w:szCs w:val="28"/>
        </w:rPr>
        <w:t>,</w:t>
      </w:r>
      <w:r>
        <w:rPr>
          <w:rFonts w:ascii="Times New Roman" w:hAnsi="Times New Roman" w:cs="Times New Roman"/>
          <w:sz w:val="28"/>
          <w:szCs w:val="28"/>
        </w:rPr>
        <w:t xml:space="preserve"> R</w:t>
      </w:r>
      <w:r w:rsidR="001E2E4F">
        <w:rPr>
          <w:rFonts w:ascii="Times New Roman" w:hAnsi="Times New Roman" w:cs="Times New Roman"/>
          <w:sz w:val="28"/>
          <w:szCs w:val="28"/>
        </w:rPr>
        <w:t>.</w:t>
      </w:r>
      <w:r>
        <w:rPr>
          <w:rFonts w:ascii="Times New Roman" w:hAnsi="Times New Roman" w:cs="Times New Roman"/>
          <w:sz w:val="28"/>
          <w:szCs w:val="28"/>
        </w:rPr>
        <w:t>B</w:t>
      </w:r>
      <w:r w:rsidR="001E2E4F">
        <w:rPr>
          <w:rFonts w:ascii="Times New Roman" w:hAnsi="Times New Roman" w:cs="Times New Roman"/>
          <w:sz w:val="28"/>
          <w:szCs w:val="28"/>
        </w:rPr>
        <w:t>.</w:t>
      </w:r>
      <w:r>
        <w:rPr>
          <w:rFonts w:ascii="Times New Roman" w:hAnsi="Times New Roman" w:cs="Times New Roman"/>
          <w:sz w:val="28"/>
          <w:szCs w:val="28"/>
        </w:rPr>
        <w:t>, Duran</w:t>
      </w:r>
      <w:r w:rsidR="001E2E4F">
        <w:rPr>
          <w:rFonts w:ascii="Times New Roman" w:hAnsi="Times New Roman" w:cs="Times New Roman"/>
          <w:sz w:val="28"/>
          <w:szCs w:val="28"/>
        </w:rPr>
        <w:t>,</w:t>
      </w:r>
      <w:r>
        <w:rPr>
          <w:rFonts w:ascii="Times New Roman" w:hAnsi="Times New Roman" w:cs="Times New Roman"/>
          <w:sz w:val="28"/>
          <w:szCs w:val="28"/>
        </w:rPr>
        <w:t xml:space="preserve"> A, DuBois</w:t>
      </w:r>
      <w:r w:rsidR="001E2E4F">
        <w:rPr>
          <w:rFonts w:ascii="Times New Roman" w:hAnsi="Times New Roman" w:cs="Times New Roman"/>
          <w:sz w:val="28"/>
          <w:szCs w:val="28"/>
        </w:rPr>
        <w:t>,</w:t>
      </w:r>
      <w:r>
        <w:rPr>
          <w:rFonts w:ascii="Times New Roman" w:hAnsi="Times New Roman" w:cs="Times New Roman"/>
          <w:sz w:val="28"/>
          <w:szCs w:val="28"/>
        </w:rPr>
        <w:t xml:space="preserve"> H</w:t>
      </w:r>
      <w:r w:rsidR="001E2E4F">
        <w:rPr>
          <w:rFonts w:ascii="Times New Roman" w:hAnsi="Times New Roman" w:cs="Times New Roman"/>
          <w:sz w:val="28"/>
          <w:szCs w:val="28"/>
        </w:rPr>
        <w:t xml:space="preserve">. </w:t>
      </w:r>
      <w:r>
        <w:rPr>
          <w:rFonts w:ascii="Times New Roman" w:hAnsi="Times New Roman" w:cs="Times New Roman"/>
          <w:sz w:val="28"/>
          <w:szCs w:val="28"/>
        </w:rPr>
        <w:t>W</w:t>
      </w:r>
      <w:r w:rsidR="001E2E4F">
        <w:rPr>
          <w:rFonts w:ascii="Times New Roman" w:hAnsi="Times New Roman" w:cs="Times New Roman"/>
          <w:sz w:val="28"/>
          <w:szCs w:val="28"/>
        </w:rPr>
        <w:t xml:space="preserve">. </w:t>
      </w:r>
      <w:r>
        <w:rPr>
          <w:rFonts w:ascii="Times New Roman" w:hAnsi="Times New Roman" w:cs="Times New Roman"/>
          <w:sz w:val="28"/>
          <w:szCs w:val="28"/>
        </w:rPr>
        <w:t>F</w:t>
      </w:r>
      <w:r w:rsidR="001E2E4F">
        <w:rPr>
          <w:rFonts w:ascii="Times New Roman" w:hAnsi="Times New Roman" w:cs="Times New Roman"/>
          <w:sz w:val="28"/>
          <w:szCs w:val="28"/>
        </w:rPr>
        <w:t>. (eds) (</w:t>
      </w:r>
      <w:r>
        <w:rPr>
          <w:rFonts w:ascii="Times New Roman" w:hAnsi="Times New Roman" w:cs="Times New Roman"/>
          <w:sz w:val="28"/>
          <w:szCs w:val="28"/>
        </w:rPr>
        <w:t>2011</w:t>
      </w:r>
      <w:r w:rsidR="001E2E4F">
        <w:rPr>
          <w:rFonts w:ascii="Times New Roman" w:hAnsi="Times New Roman" w:cs="Times New Roman"/>
          <w:sz w:val="28"/>
          <w:szCs w:val="28"/>
        </w:rPr>
        <w:t>)</w:t>
      </w:r>
      <w:r w:rsidR="00CA2F61">
        <w:rPr>
          <w:rFonts w:ascii="Times New Roman" w:hAnsi="Times New Roman" w:cs="Times New Roman"/>
          <w:sz w:val="28"/>
          <w:szCs w:val="28"/>
        </w:rPr>
        <w:t>,</w:t>
      </w:r>
      <w:r>
        <w:rPr>
          <w:rFonts w:ascii="Times New Roman" w:hAnsi="Times New Roman" w:cs="Times New Roman"/>
          <w:sz w:val="28"/>
          <w:szCs w:val="28"/>
        </w:rPr>
        <w:t xml:space="preserve"> </w:t>
      </w:r>
      <w:r w:rsidRPr="001E2E4F">
        <w:rPr>
          <w:rFonts w:ascii="Times New Roman" w:hAnsi="Times New Roman" w:cs="Times New Roman"/>
          <w:i/>
          <w:sz w:val="28"/>
          <w:szCs w:val="28"/>
        </w:rPr>
        <w:t>Governing Public Hospitals:</w:t>
      </w:r>
      <w:r w:rsidR="004902AE" w:rsidRPr="001E2E4F">
        <w:rPr>
          <w:rFonts w:ascii="Times New Roman" w:hAnsi="Times New Roman" w:cs="Times New Roman"/>
          <w:i/>
          <w:sz w:val="28"/>
          <w:szCs w:val="28"/>
        </w:rPr>
        <w:t xml:space="preserve"> </w:t>
      </w:r>
      <w:r w:rsidR="005D6C82" w:rsidRPr="001E2E4F">
        <w:rPr>
          <w:rFonts w:ascii="Times New Roman" w:hAnsi="Times New Roman" w:cs="Times New Roman"/>
          <w:i/>
          <w:sz w:val="28"/>
          <w:szCs w:val="28"/>
        </w:rPr>
        <w:t xml:space="preserve">  Strategies and the Movement Towards Institutional Autonomy</w:t>
      </w:r>
      <w:r w:rsidR="004176FF">
        <w:rPr>
          <w:rFonts w:ascii="Times New Roman" w:hAnsi="Times New Roman" w:cs="Times New Roman"/>
          <w:sz w:val="28"/>
          <w:szCs w:val="28"/>
        </w:rPr>
        <w:t>,</w:t>
      </w:r>
      <w:r w:rsidR="005D6C82" w:rsidRPr="005D6C82">
        <w:rPr>
          <w:rFonts w:ascii="Times New Roman" w:hAnsi="Times New Roman" w:cs="Times New Roman"/>
          <w:sz w:val="28"/>
          <w:szCs w:val="28"/>
        </w:rPr>
        <w:t xml:space="preserve"> Observatory</w:t>
      </w:r>
      <w:r w:rsidR="005D6C82">
        <w:rPr>
          <w:rFonts w:ascii="Times New Roman" w:hAnsi="Times New Roman" w:cs="Times New Roman"/>
          <w:sz w:val="28"/>
          <w:szCs w:val="28"/>
          <w:u w:val="single"/>
        </w:rPr>
        <w:t xml:space="preserve"> </w:t>
      </w:r>
      <w:r w:rsidR="004176FF">
        <w:rPr>
          <w:rFonts w:ascii="Times New Roman" w:hAnsi="Times New Roman" w:cs="Times New Roman"/>
          <w:sz w:val="28"/>
          <w:szCs w:val="28"/>
        </w:rPr>
        <w:t xml:space="preserve">Studies Series 25, Brussels: </w:t>
      </w:r>
      <w:r w:rsidR="005D6C82" w:rsidRPr="005D6C82">
        <w:rPr>
          <w:rFonts w:ascii="Times New Roman" w:hAnsi="Times New Roman" w:cs="Times New Roman"/>
          <w:sz w:val="28"/>
          <w:szCs w:val="28"/>
        </w:rPr>
        <w:t>European</w:t>
      </w:r>
      <w:r w:rsidR="005D6C82">
        <w:rPr>
          <w:rFonts w:ascii="Times New Roman" w:hAnsi="Times New Roman" w:cs="Times New Roman"/>
          <w:sz w:val="28"/>
          <w:szCs w:val="28"/>
          <w:u w:val="single"/>
        </w:rPr>
        <w:t xml:space="preserve"> </w:t>
      </w:r>
      <w:r w:rsidR="005D6C82" w:rsidRPr="005D6C82">
        <w:rPr>
          <w:rFonts w:ascii="Times New Roman" w:hAnsi="Times New Roman" w:cs="Times New Roman"/>
          <w:sz w:val="28"/>
          <w:szCs w:val="28"/>
        </w:rPr>
        <w:t>Observatory</w:t>
      </w:r>
      <w:r w:rsidR="005D6C82">
        <w:rPr>
          <w:rFonts w:ascii="Times New Roman" w:hAnsi="Times New Roman" w:cs="Times New Roman"/>
          <w:sz w:val="28"/>
          <w:szCs w:val="28"/>
        </w:rPr>
        <w:t xml:space="preserve"> on Healt</w:t>
      </w:r>
      <w:r w:rsidR="004176FF">
        <w:rPr>
          <w:rFonts w:ascii="Times New Roman" w:hAnsi="Times New Roman" w:cs="Times New Roman"/>
          <w:sz w:val="28"/>
          <w:szCs w:val="28"/>
        </w:rPr>
        <w:t>h Systems and Policies</w:t>
      </w:r>
      <w:r w:rsidR="005D6C82">
        <w:rPr>
          <w:rFonts w:ascii="Times New Roman" w:hAnsi="Times New Roman" w:cs="Times New Roman"/>
          <w:sz w:val="28"/>
          <w:szCs w:val="28"/>
        </w:rPr>
        <w:t>.</w:t>
      </w:r>
    </w:p>
    <w:p w:rsidR="00CA2F61" w:rsidRDefault="00CA2F61" w:rsidP="005522FB">
      <w:pPr>
        <w:pStyle w:val="NoSpacing"/>
        <w:rPr>
          <w:rFonts w:ascii="Times New Roman" w:hAnsi="Times New Roman" w:cs="Times New Roman"/>
          <w:sz w:val="28"/>
          <w:szCs w:val="28"/>
        </w:rPr>
      </w:pPr>
    </w:p>
    <w:p w:rsidR="00D75354" w:rsidRDefault="00D75354" w:rsidP="00CA2F61">
      <w:pPr>
        <w:shd w:val="clear" w:color="auto" w:fill="FAFAFA"/>
        <w:spacing w:line="312" w:lineRule="atLeast"/>
        <w:outlineLvl w:val="1"/>
        <w:rPr>
          <w:rFonts w:ascii="Times New Roman" w:hAnsi="Times New Roman"/>
          <w:sz w:val="28"/>
          <w:szCs w:val="28"/>
        </w:rPr>
      </w:pPr>
    </w:p>
    <w:p w:rsidR="00CA2F61" w:rsidRDefault="00CA2F61" w:rsidP="00CA2F61">
      <w:pPr>
        <w:shd w:val="clear" w:color="auto" w:fill="FAFAFA"/>
        <w:spacing w:line="312" w:lineRule="atLeast"/>
        <w:outlineLvl w:val="1"/>
        <w:rPr>
          <w:rFonts w:ascii="Times New Roman" w:hAnsi="Times New Roman"/>
          <w:sz w:val="28"/>
          <w:szCs w:val="28"/>
        </w:rPr>
      </w:pPr>
      <w:r w:rsidRPr="00CA2F61">
        <w:rPr>
          <w:rFonts w:ascii="Times New Roman" w:hAnsi="Times New Roman"/>
          <w:sz w:val="28"/>
          <w:szCs w:val="28"/>
        </w:rPr>
        <w:t xml:space="preserve">Saltman, </w:t>
      </w:r>
      <w:r>
        <w:rPr>
          <w:rFonts w:ascii="Times New Roman" w:hAnsi="Times New Roman"/>
          <w:sz w:val="28"/>
          <w:szCs w:val="28"/>
        </w:rPr>
        <w:t>R. B. (</w:t>
      </w:r>
      <w:r w:rsidRPr="00CA2F61">
        <w:rPr>
          <w:rFonts w:ascii="Times New Roman" w:hAnsi="Times New Roman"/>
          <w:sz w:val="28"/>
          <w:szCs w:val="28"/>
        </w:rPr>
        <w:t>2015</w:t>
      </w:r>
      <w:r>
        <w:rPr>
          <w:rFonts w:ascii="Times New Roman" w:hAnsi="Times New Roman"/>
          <w:sz w:val="28"/>
          <w:szCs w:val="28"/>
        </w:rPr>
        <w:t>), ‘</w:t>
      </w:r>
      <w:r w:rsidRPr="00CA2F61">
        <w:rPr>
          <w:rFonts w:ascii="Times New Roman" w:hAnsi="Times New Roman"/>
          <w:sz w:val="28"/>
          <w:szCs w:val="28"/>
        </w:rPr>
        <w:t>Healthcare Policy a</w:t>
      </w:r>
      <w:r>
        <w:rPr>
          <w:rFonts w:ascii="Times New Roman" w:hAnsi="Times New Roman"/>
          <w:sz w:val="28"/>
          <w:szCs w:val="28"/>
        </w:rPr>
        <w:t>nd Innovation’,</w:t>
      </w:r>
      <w:r w:rsidRPr="00CA2F61">
        <w:rPr>
          <w:rFonts w:ascii="Times New Roman" w:hAnsi="Times New Roman"/>
          <w:sz w:val="28"/>
          <w:szCs w:val="28"/>
        </w:rPr>
        <w:t xml:space="preserve"> In: E Kuhlmann, R. Blank, I.L.Bourgeault, and C. Wendt, eds., </w:t>
      </w:r>
      <w:r w:rsidRPr="005447F7">
        <w:rPr>
          <w:rFonts w:ascii="Times New Roman" w:hAnsi="Times New Roman"/>
          <w:i/>
          <w:sz w:val="28"/>
          <w:szCs w:val="28"/>
        </w:rPr>
        <w:t>The Palgrave International Handbook on Healthcare Policy and Governance,</w:t>
      </w:r>
      <w:r w:rsidRPr="00CA2F61">
        <w:rPr>
          <w:rFonts w:ascii="Times New Roman" w:hAnsi="Times New Roman"/>
          <w:sz w:val="28"/>
          <w:szCs w:val="28"/>
        </w:rPr>
        <w:t xml:space="preserve"> Palgrave MacMillan, London,  pp.23-36.</w:t>
      </w:r>
    </w:p>
    <w:p w:rsidR="00D54C0E" w:rsidRDefault="00D54C0E" w:rsidP="00CA2F61">
      <w:pPr>
        <w:shd w:val="clear" w:color="auto" w:fill="FAFAFA"/>
        <w:spacing w:line="312" w:lineRule="atLeast"/>
        <w:outlineLvl w:val="1"/>
        <w:rPr>
          <w:rFonts w:ascii="Times New Roman" w:hAnsi="Times New Roman"/>
          <w:sz w:val="28"/>
          <w:szCs w:val="28"/>
        </w:rPr>
      </w:pPr>
    </w:p>
    <w:p w:rsidR="00D54C0E" w:rsidRPr="00D54C0E" w:rsidRDefault="00D54C0E" w:rsidP="00D54C0E">
      <w:pPr>
        <w:shd w:val="clear" w:color="auto" w:fill="FAFAFA"/>
        <w:spacing w:line="312" w:lineRule="atLeast"/>
        <w:outlineLvl w:val="1"/>
        <w:rPr>
          <w:rFonts w:ascii="Times New Roman" w:hAnsi="Times New Roman"/>
          <w:sz w:val="28"/>
          <w:szCs w:val="28"/>
        </w:rPr>
      </w:pPr>
      <w:r w:rsidRPr="00D54C0E">
        <w:rPr>
          <w:rFonts w:ascii="Times New Roman" w:hAnsi="Times New Roman"/>
          <w:sz w:val="28"/>
          <w:szCs w:val="28"/>
        </w:rPr>
        <w:t xml:space="preserve">R.B. Saltman and Z. Cahn, 2013. “Re-Structuring Health Systems for an Era of Prolonged Austerity.” </w:t>
      </w:r>
      <w:r w:rsidRPr="008872E8">
        <w:rPr>
          <w:rFonts w:ascii="Times New Roman" w:hAnsi="Times New Roman"/>
          <w:i/>
          <w:sz w:val="28"/>
          <w:szCs w:val="28"/>
        </w:rPr>
        <w:t>British Medical Journal</w:t>
      </w:r>
      <w:r w:rsidRPr="00D54C0E">
        <w:rPr>
          <w:rFonts w:ascii="Times New Roman" w:hAnsi="Times New Roman"/>
          <w:i/>
          <w:sz w:val="28"/>
          <w:szCs w:val="28"/>
          <w:u w:val="single"/>
        </w:rPr>
        <w:t>:</w:t>
      </w:r>
      <w:r w:rsidRPr="00D54C0E">
        <w:rPr>
          <w:rFonts w:ascii="Times New Roman" w:hAnsi="Times New Roman"/>
          <w:sz w:val="28"/>
          <w:szCs w:val="28"/>
          <w:u w:val="single"/>
        </w:rPr>
        <w:t xml:space="preserve"> </w:t>
      </w:r>
      <w:r w:rsidRPr="00D54C0E">
        <w:rPr>
          <w:rFonts w:ascii="Times New Roman" w:hAnsi="Times New Roman"/>
          <w:i/>
          <w:iCs/>
          <w:sz w:val="28"/>
          <w:szCs w:val="28"/>
        </w:rPr>
        <w:t xml:space="preserve">BMJ </w:t>
      </w:r>
      <w:r w:rsidRPr="00D54C0E">
        <w:rPr>
          <w:rFonts w:ascii="Times New Roman" w:eastAsia="FreeSans" w:hAnsi="Times New Roman"/>
          <w:sz w:val="28"/>
          <w:szCs w:val="28"/>
        </w:rPr>
        <w:t>2013;346:f3972 doi: 10.1136/bmj.f3972.</w:t>
      </w:r>
    </w:p>
    <w:p w:rsidR="00CA2F61" w:rsidRPr="00D54C0E" w:rsidRDefault="00CA2F61" w:rsidP="005522FB">
      <w:pPr>
        <w:pStyle w:val="NoSpacing"/>
        <w:rPr>
          <w:rFonts w:ascii="Times New Roman" w:hAnsi="Times New Roman" w:cs="Times New Roman"/>
          <w:sz w:val="28"/>
          <w:szCs w:val="28"/>
        </w:rPr>
      </w:pPr>
    </w:p>
    <w:p w:rsidR="007511AF" w:rsidRPr="008D3EC5" w:rsidRDefault="007511AF" w:rsidP="005522FB">
      <w:pPr>
        <w:pStyle w:val="NoSpacing"/>
        <w:rPr>
          <w:rFonts w:ascii="Times New Roman" w:hAnsi="Times New Roman" w:cs="Times New Roman"/>
          <w:sz w:val="28"/>
          <w:szCs w:val="28"/>
        </w:rPr>
      </w:pPr>
      <w:r>
        <w:rPr>
          <w:rFonts w:ascii="Times New Roman" w:hAnsi="Times New Roman" w:cs="Times New Roman"/>
          <w:sz w:val="28"/>
          <w:szCs w:val="28"/>
        </w:rPr>
        <w:t>Saltma</w:t>
      </w:r>
      <w:r w:rsidR="00BE4E7B">
        <w:rPr>
          <w:rFonts w:ascii="Times New Roman" w:hAnsi="Times New Roman" w:cs="Times New Roman"/>
          <w:sz w:val="28"/>
          <w:szCs w:val="28"/>
        </w:rPr>
        <w:t>n, R. B., and J. Teperi (2016).</w:t>
      </w:r>
      <w:r w:rsidR="008D3EC5">
        <w:rPr>
          <w:rFonts w:ascii="CG Times" w:hAnsi="CG Times"/>
        </w:rPr>
        <w:t xml:space="preserve"> </w:t>
      </w:r>
      <w:r w:rsidR="008D3EC5" w:rsidRPr="008D3EC5">
        <w:rPr>
          <w:rFonts w:ascii="Times New Roman" w:hAnsi="Times New Roman" w:cs="Times New Roman"/>
          <w:sz w:val="28"/>
          <w:szCs w:val="28"/>
        </w:rPr>
        <w:t xml:space="preserve">“Health Reform in Finland: Current Proposals and Unresolved Challenges.” </w:t>
      </w:r>
      <w:r w:rsidR="008D3EC5" w:rsidRPr="00775F8E">
        <w:rPr>
          <w:rFonts w:ascii="Times New Roman" w:hAnsi="Times New Roman" w:cs="Times New Roman"/>
          <w:i/>
          <w:sz w:val="28"/>
          <w:szCs w:val="28"/>
        </w:rPr>
        <w:t>Health Economics Policy and Law.</w:t>
      </w:r>
      <w:r w:rsidR="008D3EC5" w:rsidRPr="008D3EC5">
        <w:rPr>
          <w:rFonts w:ascii="Times New Roman" w:hAnsi="Times New Roman" w:cs="Times New Roman"/>
          <w:sz w:val="28"/>
          <w:szCs w:val="28"/>
        </w:rPr>
        <w:t xml:space="preserve">  11 (3)</w:t>
      </w:r>
      <w:r w:rsidR="008D3EC5" w:rsidRPr="008D3EC5">
        <w:rPr>
          <w:rFonts w:ascii="Times New Roman" w:hAnsi="Times New Roman" w:cs="Times New Roman"/>
          <w:color w:val="000000"/>
          <w:sz w:val="28"/>
          <w:szCs w:val="28"/>
        </w:rPr>
        <w:t xml:space="preserve">: 303 – 319;     </w:t>
      </w:r>
      <w:r w:rsidR="008D3EC5" w:rsidRPr="008D3EC5">
        <w:rPr>
          <w:rFonts w:ascii="Times New Roman" w:eastAsia="ArialMT" w:hAnsi="Times New Roman" w:cs="Times New Roman"/>
          <w:sz w:val="28"/>
          <w:szCs w:val="28"/>
        </w:rPr>
        <w:t>DOI: 10.1017/S1744133116000013,</w:t>
      </w:r>
    </w:p>
    <w:p w:rsidR="00FF1922" w:rsidRPr="008D3EC5" w:rsidRDefault="00FF1922" w:rsidP="005522FB">
      <w:pPr>
        <w:pStyle w:val="NoSpacing"/>
        <w:rPr>
          <w:rFonts w:ascii="Times New Roman" w:hAnsi="Times New Roman" w:cs="Times New Roman"/>
          <w:sz w:val="28"/>
          <w:szCs w:val="28"/>
        </w:rPr>
      </w:pPr>
    </w:p>
    <w:p w:rsidR="003842C9" w:rsidRDefault="00FF1922" w:rsidP="005522FB">
      <w:pPr>
        <w:pStyle w:val="NoSpacing"/>
        <w:rPr>
          <w:rFonts w:ascii="Times New Roman" w:hAnsi="Times New Roman" w:cs="Times New Roman"/>
          <w:sz w:val="28"/>
          <w:szCs w:val="28"/>
        </w:rPr>
      </w:pPr>
      <w:r>
        <w:rPr>
          <w:rFonts w:ascii="Times New Roman" w:hAnsi="Times New Roman" w:cs="Times New Roman"/>
          <w:sz w:val="28"/>
          <w:szCs w:val="28"/>
        </w:rPr>
        <w:t>Saltman</w:t>
      </w:r>
      <w:r w:rsidR="00B749EC">
        <w:rPr>
          <w:rFonts w:ascii="Times New Roman" w:hAnsi="Times New Roman" w:cs="Times New Roman"/>
          <w:sz w:val="28"/>
          <w:szCs w:val="28"/>
        </w:rPr>
        <w:t>,</w:t>
      </w:r>
      <w:r>
        <w:rPr>
          <w:rFonts w:ascii="Times New Roman" w:hAnsi="Times New Roman" w:cs="Times New Roman"/>
          <w:sz w:val="28"/>
          <w:szCs w:val="28"/>
        </w:rPr>
        <w:t xml:space="preserve"> R</w:t>
      </w:r>
      <w:r w:rsidR="00B749EC">
        <w:rPr>
          <w:rFonts w:ascii="Times New Roman" w:hAnsi="Times New Roman" w:cs="Times New Roman"/>
          <w:sz w:val="28"/>
          <w:szCs w:val="28"/>
        </w:rPr>
        <w:t>.</w:t>
      </w:r>
      <w:r>
        <w:rPr>
          <w:rFonts w:ascii="Times New Roman" w:hAnsi="Times New Roman" w:cs="Times New Roman"/>
          <w:sz w:val="28"/>
          <w:szCs w:val="28"/>
        </w:rPr>
        <w:t>B</w:t>
      </w:r>
      <w:r w:rsidR="00B749EC">
        <w:rPr>
          <w:rFonts w:ascii="Times New Roman" w:hAnsi="Times New Roman" w:cs="Times New Roman"/>
          <w:sz w:val="28"/>
          <w:szCs w:val="28"/>
        </w:rPr>
        <w:t>.</w:t>
      </w:r>
      <w:r w:rsidRPr="00FF1922">
        <w:rPr>
          <w:rFonts w:ascii="Times New Roman" w:hAnsi="Times New Roman" w:cs="Times New Roman"/>
          <w:sz w:val="28"/>
          <w:szCs w:val="28"/>
        </w:rPr>
        <w:t xml:space="preserve"> </w:t>
      </w:r>
      <w:r w:rsidR="00B749EC">
        <w:rPr>
          <w:rFonts w:ascii="Times New Roman" w:hAnsi="Times New Roman" w:cs="Times New Roman"/>
          <w:sz w:val="28"/>
          <w:szCs w:val="28"/>
        </w:rPr>
        <w:t>(</w:t>
      </w:r>
      <w:r w:rsidRPr="00FF1922">
        <w:rPr>
          <w:rFonts w:ascii="Times New Roman" w:hAnsi="Times New Roman" w:cs="Times New Roman"/>
          <w:sz w:val="28"/>
          <w:szCs w:val="28"/>
        </w:rPr>
        <w:t>1994</w:t>
      </w:r>
      <w:r w:rsidR="00B749EC">
        <w:rPr>
          <w:rFonts w:ascii="Times New Roman" w:hAnsi="Times New Roman" w:cs="Times New Roman"/>
          <w:sz w:val="28"/>
          <w:szCs w:val="28"/>
        </w:rPr>
        <w:t>), ‘</w:t>
      </w:r>
      <w:r w:rsidRPr="00FF1922">
        <w:rPr>
          <w:rFonts w:ascii="Times New Roman" w:hAnsi="Times New Roman" w:cs="Times New Roman"/>
          <w:sz w:val="28"/>
          <w:szCs w:val="28"/>
        </w:rPr>
        <w:t>A Conceptual Overview</w:t>
      </w:r>
      <w:r w:rsidR="00B749EC">
        <w:rPr>
          <w:rFonts w:ascii="Times New Roman" w:hAnsi="Times New Roman" w:cs="Times New Roman"/>
          <w:sz w:val="28"/>
          <w:szCs w:val="28"/>
        </w:rPr>
        <w:t xml:space="preserve"> of Recent Health Care Reforms’,</w:t>
      </w:r>
      <w:r w:rsidR="004E44D7">
        <w:rPr>
          <w:rFonts w:ascii="Times New Roman" w:hAnsi="Times New Roman" w:cs="Times New Roman"/>
          <w:sz w:val="28"/>
          <w:szCs w:val="28"/>
        </w:rPr>
        <w:t xml:space="preserve"> </w:t>
      </w:r>
      <w:r w:rsidRPr="00B749EC">
        <w:rPr>
          <w:rFonts w:ascii="Times New Roman" w:hAnsi="Times New Roman" w:cs="Times New Roman"/>
          <w:i/>
          <w:sz w:val="28"/>
          <w:szCs w:val="28"/>
        </w:rPr>
        <w:t>European Journal of Public Health</w:t>
      </w:r>
      <w:r w:rsidRPr="00FF1922">
        <w:rPr>
          <w:rFonts w:ascii="Times New Roman" w:hAnsi="Times New Roman" w:cs="Times New Roman"/>
          <w:sz w:val="28"/>
          <w:szCs w:val="28"/>
        </w:rPr>
        <w:t xml:space="preserve"> 4:287-293. </w:t>
      </w:r>
    </w:p>
    <w:p w:rsidR="003842C9" w:rsidRDefault="003842C9" w:rsidP="005522FB">
      <w:pPr>
        <w:pStyle w:val="NoSpacing"/>
        <w:rPr>
          <w:rFonts w:ascii="Times New Roman" w:hAnsi="Times New Roman" w:cs="Times New Roman"/>
          <w:sz w:val="28"/>
          <w:szCs w:val="28"/>
        </w:rPr>
      </w:pPr>
    </w:p>
    <w:p w:rsidR="00B9607B" w:rsidRPr="00FF1922" w:rsidRDefault="003842C9" w:rsidP="005522FB">
      <w:pPr>
        <w:pStyle w:val="NoSpacing"/>
        <w:rPr>
          <w:rFonts w:ascii="Times New Roman" w:hAnsi="Times New Roman" w:cs="Times New Roman"/>
          <w:sz w:val="28"/>
          <w:szCs w:val="28"/>
        </w:rPr>
      </w:pPr>
      <w:r>
        <w:rPr>
          <w:rFonts w:ascii="Times New Roman" w:hAnsi="Times New Roman" w:cs="Times New Roman"/>
          <w:sz w:val="28"/>
          <w:szCs w:val="28"/>
        </w:rPr>
        <w:t>Smyth, C (2017), ‘</w:t>
      </w:r>
      <w:r w:rsidR="002A56D6">
        <w:rPr>
          <w:rFonts w:ascii="Times New Roman" w:hAnsi="Times New Roman" w:cs="Times New Roman"/>
          <w:sz w:val="28"/>
          <w:szCs w:val="28"/>
        </w:rPr>
        <w:t>Drug g</w:t>
      </w:r>
      <w:r>
        <w:rPr>
          <w:rFonts w:ascii="Times New Roman" w:hAnsi="Times New Roman" w:cs="Times New Roman"/>
          <w:sz w:val="28"/>
          <w:szCs w:val="28"/>
        </w:rPr>
        <w:t xml:space="preserve">iants threaten to quit Britain,” </w:t>
      </w:r>
      <w:r w:rsidRPr="001C141E">
        <w:rPr>
          <w:rFonts w:ascii="Times New Roman" w:hAnsi="Times New Roman" w:cs="Times New Roman"/>
          <w:i/>
          <w:sz w:val="28"/>
          <w:szCs w:val="28"/>
        </w:rPr>
        <w:t>The Times of London</w:t>
      </w:r>
      <w:r>
        <w:rPr>
          <w:rFonts w:ascii="Times New Roman" w:hAnsi="Times New Roman" w:cs="Times New Roman"/>
          <w:sz w:val="28"/>
          <w:szCs w:val="28"/>
        </w:rPr>
        <w:t xml:space="preserve"> (27 April).</w:t>
      </w:r>
      <w:r w:rsidR="00FF1922" w:rsidRPr="00FF1922">
        <w:rPr>
          <w:rFonts w:ascii="Times New Roman" w:hAnsi="Times New Roman" w:cs="Times New Roman"/>
          <w:sz w:val="28"/>
          <w:szCs w:val="28"/>
        </w:rPr>
        <w:t xml:space="preserve"> </w:t>
      </w:r>
      <w:r w:rsidR="00B9607B" w:rsidRPr="00FF1922">
        <w:rPr>
          <w:rFonts w:ascii="Times New Roman" w:hAnsi="Times New Roman" w:cs="Times New Roman"/>
          <w:sz w:val="28"/>
          <w:szCs w:val="28"/>
        </w:rPr>
        <w:t xml:space="preserve"> </w:t>
      </w:r>
    </w:p>
    <w:p w:rsidR="000C3C74" w:rsidRDefault="000C3C74" w:rsidP="005522FB">
      <w:pPr>
        <w:pStyle w:val="NoSpacing"/>
        <w:rPr>
          <w:rFonts w:ascii="Times New Roman" w:hAnsi="Times New Roman" w:cs="Times New Roman"/>
          <w:sz w:val="28"/>
          <w:szCs w:val="28"/>
        </w:rPr>
      </w:pPr>
    </w:p>
    <w:p w:rsidR="004E4E5B" w:rsidRDefault="000F3DD0" w:rsidP="005522FB">
      <w:pPr>
        <w:pStyle w:val="NoSpacing"/>
        <w:rPr>
          <w:rFonts w:ascii="Times New Roman" w:hAnsi="Times New Roman" w:cs="Times New Roman"/>
          <w:sz w:val="28"/>
          <w:szCs w:val="28"/>
        </w:rPr>
      </w:pPr>
      <w:r>
        <w:rPr>
          <w:rFonts w:ascii="Times New Roman" w:hAnsi="Times New Roman" w:cs="Times New Roman"/>
          <w:sz w:val="28"/>
          <w:szCs w:val="28"/>
        </w:rPr>
        <w:t>Sternberg</w:t>
      </w:r>
      <w:r w:rsidR="00B749EC">
        <w:rPr>
          <w:rFonts w:ascii="Times New Roman" w:hAnsi="Times New Roman" w:cs="Times New Roman"/>
          <w:sz w:val="28"/>
          <w:szCs w:val="28"/>
        </w:rPr>
        <w:t>,</w:t>
      </w:r>
      <w:r>
        <w:rPr>
          <w:rFonts w:ascii="Times New Roman" w:hAnsi="Times New Roman" w:cs="Times New Roman"/>
          <w:sz w:val="28"/>
          <w:szCs w:val="28"/>
        </w:rPr>
        <w:t xml:space="preserve"> </w:t>
      </w:r>
      <w:r w:rsidR="000C3C74">
        <w:rPr>
          <w:rFonts w:ascii="Times New Roman" w:hAnsi="Times New Roman" w:cs="Times New Roman"/>
          <w:sz w:val="28"/>
          <w:szCs w:val="28"/>
        </w:rPr>
        <w:t>J</w:t>
      </w:r>
      <w:r w:rsidR="00B749EC">
        <w:rPr>
          <w:rFonts w:ascii="Times New Roman" w:hAnsi="Times New Roman" w:cs="Times New Roman"/>
          <w:sz w:val="28"/>
          <w:szCs w:val="28"/>
        </w:rPr>
        <w:t>.C.</w:t>
      </w:r>
      <w:r w:rsidR="000C3C74">
        <w:rPr>
          <w:rFonts w:ascii="Times New Roman" w:hAnsi="Times New Roman" w:cs="Times New Roman"/>
          <w:sz w:val="28"/>
          <w:szCs w:val="28"/>
        </w:rPr>
        <w:t xml:space="preserve"> </w:t>
      </w:r>
      <w:r w:rsidR="00B749EC">
        <w:rPr>
          <w:rFonts w:ascii="Times New Roman" w:hAnsi="Times New Roman" w:cs="Times New Roman"/>
          <w:sz w:val="28"/>
          <w:szCs w:val="28"/>
        </w:rPr>
        <w:t>(2017), ‘Trumping Europe’s Taxes’,</w:t>
      </w:r>
      <w:r w:rsidR="000C3C74">
        <w:rPr>
          <w:rFonts w:ascii="Times New Roman" w:hAnsi="Times New Roman" w:cs="Times New Roman"/>
          <w:sz w:val="28"/>
          <w:szCs w:val="28"/>
        </w:rPr>
        <w:t xml:space="preserve"> </w:t>
      </w:r>
      <w:r w:rsidR="000C3C74" w:rsidRPr="00B749EC">
        <w:rPr>
          <w:rFonts w:ascii="Times New Roman" w:hAnsi="Times New Roman" w:cs="Times New Roman"/>
          <w:i/>
          <w:sz w:val="28"/>
          <w:szCs w:val="28"/>
        </w:rPr>
        <w:t>Wall Street Journal</w:t>
      </w:r>
      <w:r w:rsidR="000C3C74">
        <w:rPr>
          <w:rFonts w:ascii="Times New Roman" w:hAnsi="Times New Roman" w:cs="Times New Roman"/>
          <w:sz w:val="28"/>
          <w:szCs w:val="28"/>
        </w:rPr>
        <w:t xml:space="preserve"> (6 March).</w:t>
      </w:r>
    </w:p>
    <w:p w:rsidR="004E4E5B" w:rsidRDefault="004E4E5B" w:rsidP="005522FB">
      <w:pPr>
        <w:pStyle w:val="NoSpacing"/>
        <w:rPr>
          <w:rFonts w:ascii="Times New Roman" w:hAnsi="Times New Roman" w:cs="Times New Roman"/>
          <w:sz w:val="28"/>
          <w:szCs w:val="28"/>
        </w:rPr>
      </w:pPr>
    </w:p>
    <w:p w:rsidR="00073142" w:rsidRPr="00EE3845" w:rsidRDefault="00073142" w:rsidP="00073142">
      <w:pPr>
        <w:widowControl/>
        <w:rPr>
          <w:rFonts w:ascii="Times New Roman" w:eastAsiaTheme="minorHAnsi" w:hAnsi="Times New Roman"/>
          <w:i/>
          <w:sz w:val="28"/>
          <w:szCs w:val="28"/>
        </w:rPr>
      </w:pPr>
      <w:r>
        <w:rPr>
          <w:rFonts w:ascii="Times New Roman" w:hAnsi="Times New Roman"/>
          <w:sz w:val="28"/>
          <w:szCs w:val="28"/>
        </w:rPr>
        <w:t>Stubbs, E</w:t>
      </w:r>
      <w:r w:rsidR="00347518">
        <w:rPr>
          <w:rFonts w:ascii="Times New Roman" w:hAnsi="Times New Roman"/>
          <w:sz w:val="28"/>
          <w:szCs w:val="28"/>
        </w:rPr>
        <w:t>.,</w:t>
      </w:r>
      <w:r w:rsidR="00EE3845">
        <w:rPr>
          <w:rFonts w:ascii="Times New Roman" w:hAnsi="Times New Roman"/>
          <w:sz w:val="28"/>
          <w:szCs w:val="28"/>
        </w:rPr>
        <w:t xml:space="preserve"> ed., </w:t>
      </w:r>
      <w:r w:rsidR="00347518">
        <w:rPr>
          <w:rFonts w:ascii="Times New Roman" w:hAnsi="Times New Roman"/>
          <w:sz w:val="28"/>
          <w:szCs w:val="28"/>
        </w:rPr>
        <w:t>(2016),</w:t>
      </w:r>
      <w:r>
        <w:rPr>
          <w:rFonts w:ascii="Times New Roman" w:hAnsi="Times New Roman"/>
          <w:sz w:val="28"/>
          <w:szCs w:val="28"/>
        </w:rPr>
        <w:t xml:space="preserve"> </w:t>
      </w:r>
      <w:r w:rsidRPr="00EE3845">
        <w:rPr>
          <w:rFonts w:ascii="Times New Roman" w:eastAsiaTheme="minorHAnsi" w:hAnsi="Times New Roman"/>
          <w:i/>
          <w:sz w:val="28"/>
          <w:szCs w:val="28"/>
        </w:rPr>
        <w:t>The Health of the Nation</w:t>
      </w:r>
      <w:r w:rsidR="00EE3845" w:rsidRPr="00EE3845">
        <w:rPr>
          <w:rFonts w:ascii="Times New Roman" w:eastAsiaTheme="minorHAnsi" w:hAnsi="Times New Roman"/>
          <w:i/>
          <w:sz w:val="28"/>
          <w:szCs w:val="28"/>
        </w:rPr>
        <w:t xml:space="preserve">: </w:t>
      </w:r>
      <w:r w:rsidR="005447F7">
        <w:rPr>
          <w:rFonts w:ascii="Times New Roman" w:eastAsiaTheme="minorHAnsi" w:hAnsi="Times New Roman"/>
          <w:i/>
          <w:sz w:val="28"/>
          <w:szCs w:val="28"/>
        </w:rPr>
        <w:t>Averting the D</w:t>
      </w:r>
      <w:r w:rsidRPr="00EE3845">
        <w:rPr>
          <w:rFonts w:ascii="Times New Roman" w:eastAsiaTheme="minorHAnsi" w:hAnsi="Times New Roman"/>
          <w:i/>
          <w:sz w:val="28"/>
          <w:szCs w:val="28"/>
        </w:rPr>
        <w:t>emise of</w:t>
      </w:r>
    </w:p>
    <w:p w:rsidR="00D23E09" w:rsidRDefault="005447F7" w:rsidP="00073142">
      <w:pPr>
        <w:pStyle w:val="NoSpacing"/>
        <w:rPr>
          <w:rFonts w:ascii="Times New Roman" w:hAnsi="Times New Roman" w:cs="Times New Roman"/>
          <w:sz w:val="28"/>
          <w:szCs w:val="28"/>
        </w:rPr>
      </w:pPr>
      <w:r>
        <w:rPr>
          <w:rFonts w:ascii="Times New Roman" w:hAnsi="Times New Roman" w:cs="Times New Roman"/>
          <w:i/>
          <w:sz w:val="28"/>
          <w:szCs w:val="28"/>
        </w:rPr>
        <w:t>Universal H</w:t>
      </w:r>
      <w:r w:rsidR="00073142" w:rsidRPr="00EE3845">
        <w:rPr>
          <w:rFonts w:ascii="Times New Roman" w:hAnsi="Times New Roman" w:cs="Times New Roman"/>
          <w:i/>
          <w:sz w:val="28"/>
          <w:szCs w:val="28"/>
        </w:rPr>
        <w:t>ealthcare</w:t>
      </w:r>
      <w:r w:rsidR="00EE3845" w:rsidRPr="00EE3845">
        <w:rPr>
          <w:rFonts w:ascii="Times New Roman" w:hAnsi="Times New Roman" w:cs="Times New Roman"/>
          <w:i/>
          <w:sz w:val="28"/>
          <w:szCs w:val="28"/>
        </w:rPr>
        <w:t xml:space="preserve">. </w:t>
      </w:r>
      <w:r w:rsidR="00EE3845">
        <w:rPr>
          <w:rFonts w:ascii="Times New Roman" w:hAnsi="Times New Roman" w:cs="Times New Roman"/>
          <w:sz w:val="28"/>
          <w:szCs w:val="28"/>
        </w:rPr>
        <w:t>London: Civitas.</w:t>
      </w:r>
    </w:p>
    <w:p w:rsidR="00347518" w:rsidRDefault="00347518" w:rsidP="00073142">
      <w:pPr>
        <w:pStyle w:val="NoSpacing"/>
        <w:rPr>
          <w:rFonts w:ascii="Times New Roman" w:hAnsi="Times New Roman" w:cs="Times New Roman"/>
          <w:sz w:val="28"/>
          <w:szCs w:val="28"/>
        </w:rPr>
      </w:pPr>
    </w:p>
    <w:p w:rsidR="00347518" w:rsidRDefault="00347518" w:rsidP="00073142">
      <w:pPr>
        <w:pStyle w:val="NoSpacing"/>
        <w:rPr>
          <w:rFonts w:ascii="Times New Roman" w:hAnsi="Times New Roman" w:cs="Times New Roman"/>
          <w:sz w:val="28"/>
          <w:szCs w:val="28"/>
        </w:rPr>
      </w:pPr>
      <w:r>
        <w:rPr>
          <w:rFonts w:ascii="Times New Roman" w:hAnsi="Times New Roman" w:cs="Times New Roman"/>
          <w:sz w:val="28"/>
          <w:szCs w:val="28"/>
        </w:rPr>
        <w:t xml:space="preserve">Sylvers, E. (2017), ‘Europe Inc sprints ahead as economy regains health.’ </w:t>
      </w:r>
      <w:r w:rsidRPr="00347518">
        <w:rPr>
          <w:rFonts w:ascii="Times New Roman" w:hAnsi="Times New Roman" w:cs="Times New Roman"/>
          <w:i/>
          <w:sz w:val="28"/>
          <w:szCs w:val="28"/>
        </w:rPr>
        <w:t>Wall Street Journal</w:t>
      </w:r>
      <w:r>
        <w:rPr>
          <w:rFonts w:ascii="Times New Roman" w:hAnsi="Times New Roman" w:cs="Times New Roman"/>
          <w:sz w:val="28"/>
          <w:szCs w:val="28"/>
        </w:rPr>
        <w:t xml:space="preserve"> (20 May). </w:t>
      </w:r>
    </w:p>
    <w:p w:rsidR="00D23E09" w:rsidRDefault="00D23E09" w:rsidP="00073142">
      <w:pPr>
        <w:pStyle w:val="NoSpacing"/>
        <w:rPr>
          <w:rFonts w:ascii="Times New Roman" w:hAnsi="Times New Roman" w:cs="Times New Roman"/>
          <w:sz w:val="28"/>
          <w:szCs w:val="28"/>
        </w:rPr>
      </w:pPr>
    </w:p>
    <w:p w:rsidR="000C3C74" w:rsidRDefault="00D23E09" w:rsidP="00073142">
      <w:pPr>
        <w:pStyle w:val="NoSpacing"/>
        <w:rPr>
          <w:rFonts w:ascii="Times New Roman" w:hAnsi="Times New Roman" w:cs="Times New Roman"/>
          <w:sz w:val="28"/>
          <w:szCs w:val="28"/>
        </w:rPr>
      </w:pPr>
      <w:r>
        <w:rPr>
          <w:rFonts w:ascii="Times New Roman" w:hAnsi="Times New Roman" w:cs="Times New Roman"/>
          <w:sz w:val="28"/>
          <w:szCs w:val="28"/>
        </w:rPr>
        <w:t xml:space="preserve">Thomson, S., Foubisher, T., Mossialos, E., 2009. </w:t>
      </w:r>
      <w:r w:rsidRPr="00D23E09">
        <w:rPr>
          <w:rFonts w:ascii="Times New Roman" w:hAnsi="Times New Roman" w:cs="Times New Roman"/>
          <w:i/>
          <w:sz w:val="28"/>
          <w:szCs w:val="28"/>
        </w:rPr>
        <w:t>Financing Health Care in the European Union: Challenges and Policy Responses</w:t>
      </w:r>
      <w:r>
        <w:rPr>
          <w:rFonts w:ascii="Times New Roman" w:hAnsi="Times New Roman" w:cs="Times New Roman"/>
          <w:sz w:val="28"/>
          <w:szCs w:val="28"/>
        </w:rPr>
        <w:t>. European Observatory on Health Systems and Policies, Brussels.</w:t>
      </w:r>
      <w:r w:rsidR="004E4E5B">
        <w:rPr>
          <w:rFonts w:ascii="Times New Roman" w:hAnsi="Times New Roman" w:cs="Times New Roman"/>
          <w:sz w:val="28"/>
          <w:szCs w:val="28"/>
        </w:rPr>
        <w:t xml:space="preserve"> </w:t>
      </w:r>
      <w:r w:rsidR="000C3C74">
        <w:rPr>
          <w:rFonts w:ascii="Times New Roman" w:hAnsi="Times New Roman" w:cs="Times New Roman"/>
          <w:sz w:val="28"/>
          <w:szCs w:val="28"/>
        </w:rPr>
        <w:t xml:space="preserve"> </w:t>
      </w:r>
    </w:p>
    <w:p w:rsidR="00F12897" w:rsidRDefault="00F12897" w:rsidP="005522FB">
      <w:pPr>
        <w:pStyle w:val="NoSpacing"/>
        <w:rPr>
          <w:rFonts w:ascii="Times New Roman" w:hAnsi="Times New Roman" w:cs="Times New Roman"/>
          <w:sz w:val="28"/>
          <w:szCs w:val="28"/>
        </w:rPr>
      </w:pPr>
    </w:p>
    <w:p w:rsidR="00A749FC" w:rsidRPr="00E2538E" w:rsidRDefault="00D23E09" w:rsidP="00A749FC">
      <w:pPr>
        <w:pStyle w:val="NoSpacing"/>
        <w:rPr>
          <w:rFonts w:ascii="Times New Roman" w:hAnsi="Times New Roman" w:cs="Times New Roman"/>
          <w:color w:val="333333"/>
          <w:sz w:val="28"/>
          <w:szCs w:val="28"/>
          <w:lang w:val="en"/>
        </w:rPr>
      </w:pPr>
      <w:r>
        <w:rPr>
          <w:rFonts w:ascii="Times New Roman" w:hAnsi="Times New Roman" w:cs="Times New Roman"/>
          <w:sz w:val="28"/>
          <w:szCs w:val="28"/>
        </w:rPr>
        <w:t>Thomson,</w:t>
      </w:r>
      <w:r w:rsidR="00F37200">
        <w:rPr>
          <w:rFonts w:ascii="Times New Roman" w:hAnsi="Times New Roman" w:cs="Times New Roman"/>
          <w:sz w:val="28"/>
          <w:szCs w:val="28"/>
        </w:rPr>
        <w:t xml:space="preserve"> S., </w:t>
      </w:r>
      <w:r w:rsidR="00F37200" w:rsidRPr="00F37200">
        <w:rPr>
          <w:rFonts w:ascii="Times New Roman" w:hAnsi="Times New Roman" w:cs="Times New Roman"/>
          <w:color w:val="333333"/>
          <w:sz w:val="28"/>
          <w:szCs w:val="28"/>
          <w:lang w:val="en"/>
        </w:rPr>
        <w:t>Figueras,</w:t>
      </w:r>
      <w:r w:rsidR="00F37200">
        <w:rPr>
          <w:rFonts w:ascii="Times New Roman" w:hAnsi="Times New Roman" w:cs="Times New Roman"/>
          <w:color w:val="333333"/>
          <w:sz w:val="28"/>
          <w:szCs w:val="28"/>
          <w:lang w:val="en"/>
        </w:rPr>
        <w:t xml:space="preserve"> J.,</w:t>
      </w:r>
      <w:r w:rsidR="00F37200" w:rsidRPr="00F37200">
        <w:rPr>
          <w:rFonts w:ascii="Times New Roman" w:hAnsi="Times New Roman" w:cs="Times New Roman"/>
          <w:color w:val="333333"/>
          <w:sz w:val="28"/>
          <w:szCs w:val="28"/>
          <w:lang w:val="en"/>
        </w:rPr>
        <w:t xml:space="preserve"> Evetovits,</w:t>
      </w:r>
      <w:r w:rsidR="00F37200">
        <w:rPr>
          <w:rFonts w:ascii="Times New Roman" w:hAnsi="Times New Roman" w:cs="Times New Roman"/>
          <w:color w:val="333333"/>
          <w:sz w:val="28"/>
          <w:szCs w:val="28"/>
          <w:lang w:val="en"/>
        </w:rPr>
        <w:t xml:space="preserve"> T.,</w:t>
      </w:r>
      <w:r w:rsidR="00F37200" w:rsidRPr="00F37200">
        <w:rPr>
          <w:rFonts w:ascii="Times New Roman" w:hAnsi="Times New Roman" w:cs="Times New Roman"/>
          <w:color w:val="333333"/>
          <w:sz w:val="28"/>
          <w:szCs w:val="28"/>
          <w:lang w:val="en"/>
        </w:rPr>
        <w:t xml:space="preserve"> Jowett,</w:t>
      </w:r>
      <w:r w:rsidR="00F37200">
        <w:rPr>
          <w:rFonts w:ascii="Times New Roman" w:hAnsi="Times New Roman" w:cs="Times New Roman"/>
          <w:color w:val="333333"/>
          <w:sz w:val="28"/>
          <w:szCs w:val="28"/>
          <w:lang w:val="en"/>
        </w:rPr>
        <w:t xml:space="preserve"> M., </w:t>
      </w:r>
      <w:r w:rsidR="00F37200" w:rsidRPr="00F37200">
        <w:rPr>
          <w:rFonts w:ascii="Times New Roman" w:hAnsi="Times New Roman" w:cs="Times New Roman"/>
          <w:color w:val="333333"/>
          <w:sz w:val="28"/>
          <w:szCs w:val="28"/>
          <w:lang w:val="en"/>
        </w:rPr>
        <w:t>Mladovsky,</w:t>
      </w:r>
      <w:r w:rsidR="00F37200">
        <w:rPr>
          <w:rFonts w:ascii="Times New Roman" w:hAnsi="Times New Roman" w:cs="Times New Roman"/>
          <w:color w:val="333333"/>
          <w:sz w:val="28"/>
          <w:szCs w:val="28"/>
          <w:lang w:val="en"/>
        </w:rPr>
        <w:t xml:space="preserve"> P.,</w:t>
      </w:r>
      <w:r w:rsidR="00F37200" w:rsidRPr="00F37200">
        <w:rPr>
          <w:rFonts w:ascii="Times New Roman" w:hAnsi="Times New Roman" w:cs="Times New Roman"/>
          <w:color w:val="333333"/>
          <w:sz w:val="28"/>
          <w:szCs w:val="28"/>
          <w:lang w:val="en"/>
        </w:rPr>
        <w:t xml:space="preserve"> Cylus, </w:t>
      </w:r>
      <w:r w:rsidR="00F37200">
        <w:rPr>
          <w:rFonts w:ascii="Times New Roman" w:hAnsi="Times New Roman" w:cs="Times New Roman"/>
          <w:color w:val="333333"/>
          <w:sz w:val="28"/>
          <w:szCs w:val="28"/>
          <w:lang w:val="en"/>
        </w:rPr>
        <w:t xml:space="preserve">M., </w:t>
      </w:r>
      <w:r w:rsidR="00F37200" w:rsidRPr="00F37200">
        <w:rPr>
          <w:rFonts w:ascii="Times New Roman" w:hAnsi="Times New Roman" w:cs="Times New Roman"/>
          <w:color w:val="333333"/>
          <w:sz w:val="28"/>
          <w:szCs w:val="28"/>
          <w:lang w:val="en"/>
        </w:rPr>
        <w:t>Karanikolos</w:t>
      </w:r>
      <w:r w:rsidR="00F37200">
        <w:rPr>
          <w:rFonts w:ascii="Times New Roman" w:hAnsi="Times New Roman" w:cs="Times New Roman"/>
          <w:color w:val="333333"/>
          <w:sz w:val="28"/>
          <w:szCs w:val="28"/>
          <w:lang w:val="en"/>
        </w:rPr>
        <w:t>, M.,</w:t>
      </w:r>
      <w:r w:rsidR="00F37200" w:rsidRPr="00F37200">
        <w:rPr>
          <w:rFonts w:ascii="Times New Roman" w:hAnsi="Times New Roman" w:cs="Times New Roman"/>
          <w:color w:val="333333"/>
          <w:sz w:val="28"/>
          <w:szCs w:val="28"/>
          <w:lang w:val="en"/>
        </w:rPr>
        <w:t xml:space="preserve"> and Hans Kluge</w:t>
      </w:r>
      <w:r w:rsidR="00F37200">
        <w:rPr>
          <w:rFonts w:ascii="Times New Roman" w:hAnsi="Times New Roman" w:cs="Times New Roman"/>
          <w:color w:val="333333"/>
          <w:sz w:val="28"/>
          <w:szCs w:val="28"/>
          <w:lang w:val="en"/>
        </w:rPr>
        <w:t xml:space="preserve"> (2015</w:t>
      </w:r>
      <w:r w:rsidR="00F37200" w:rsidRPr="00F37200">
        <w:rPr>
          <w:rFonts w:ascii="Times New Roman" w:hAnsi="Times New Roman" w:cs="Times New Roman"/>
          <w:i/>
          <w:color w:val="333333"/>
          <w:sz w:val="28"/>
          <w:szCs w:val="28"/>
          <w:lang w:val="en"/>
        </w:rPr>
        <w:t xml:space="preserve">). </w:t>
      </w:r>
      <w:r w:rsidR="00F37200">
        <w:rPr>
          <w:rFonts w:ascii="Times New Roman" w:hAnsi="Times New Roman" w:cs="Times New Roman"/>
          <w:i/>
          <w:sz w:val="28"/>
          <w:szCs w:val="28"/>
          <w:lang w:val="en"/>
        </w:rPr>
        <w:t>Economic Crisis, H</w:t>
      </w:r>
      <w:r w:rsidR="00F37200" w:rsidRPr="00F37200">
        <w:rPr>
          <w:rFonts w:ascii="Times New Roman" w:hAnsi="Times New Roman" w:cs="Times New Roman"/>
          <w:i/>
          <w:sz w:val="28"/>
          <w:szCs w:val="28"/>
          <w:lang w:val="en"/>
        </w:rPr>
        <w:t>eal</w:t>
      </w:r>
      <w:r w:rsidR="00F37200">
        <w:rPr>
          <w:rFonts w:ascii="Times New Roman" w:hAnsi="Times New Roman" w:cs="Times New Roman"/>
          <w:i/>
          <w:sz w:val="28"/>
          <w:szCs w:val="28"/>
          <w:lang w:val="en"/>
        </w:rPr>
        <w:t>th Systems and H</w:t>
      </w:r>
      <w:r w:rsidR="00F37200" w:rsidRPr="00F37200">
        <w:rPr>
          <w:rFonts w:ascii="Times New Roman" w:hAnsi="Times New Roman" w:cs="Times New Roman"/>
          <w:i/>
          <w:sz w:val="28"/>
          <w:szCs w:val="28"/>
          <w:lang w:val="en"/>
        </w:rPr>
        <w:t>ealth in Europe:</w:t>
      </w:r>
      <w:r w:rsidR="00F37200">
        <w:rPr>
          <w:rFonts w:ascii="Times New Roman" w:hAnsi="Times New Roman" w:cs="Times New Roman"/>
          <w:i/>
          <w:sz w:val="28"/>
          <w:szCs w:val="28"/>
          <w:lang w:val="en"/>
        </w:rPr>
        <w:t xml:space="preserve"> Impact and Implications for P</w:t>
      </w:r>
      <w:r w:rsidR="00F37200" w:rsidRPr="00F37200">
        <w:rPr>
          <w:rFonts w:ascii="Times New Roman" w:hAnsi="Times New Roman" w:cs="Times New Roman"/>
          <w:i/>
          <w:sz w:val="28"/>
          <w:szCs w:val="28"/>
          <w:lang w:val="en"/>
        </w:rPr>
        <w:t>olicy</w:t>
      </w:r>
      <w:r w:rsidR="00F37200">
        <w:rPr>
          <w:rFonts w:ascii="Times New Roman" w:hAnsi="Times New Roman" w:cs="Times New Roman"/>
          <w:sz w:val="28"/>
          <w:szCs w:val="28"/>
          <w:lang w:val="en"/>
        </w:rPr>
        <w:t xml:space="preserve">. </w:t>
      </w:r>
      <w:r w:rsidR="00F37200">
        <w:rPr>
          <w:rFonts w:ascii="Times New Roman" w:hAnsi="Times New Roman" w:cs="Times New Roman"/>
          <w:color w:val="333333"/>
          <w:sz w:val="28"/>
          <w:szCs w:val="28"/>
          <w:lang w:val="en"/>
        </w:rPr>
        <w:t>Basingtoke, UK: McGraw-Hill Education/</w:t>
      </w:r>
      <w:r w:rsidR="00F37200" w:rsidRPr="00F37200">
        <w:rPr>
          <w:rFonts w:ascii="Times New Roman" w:hAnsi="Times New Roman" w:cs="Times New Roman"/>
          <w:color w:val="333333"/>
          <w:sz w:val="28"/>
          <w:szCs w:val="28"/>
          <w:lang w:val="en"/>
        </w:rPr>
        <w:t>Open University Press</w:t>
      </w:r>
      <w:r w:rsidR="00F37200">
        <w:rPr>
          <w:rFonts w:ascii="Times New Roman" w:hAnsi="Times New Roman" w:cs="Times New Roman"/>
          <w:color w:val="333333"/>
          <w:sz w:val="28"/>
          <w:szCs w:val="28"/>
          <w:lang w:val="en"/>
        </w:rPr>
        <w:t>.</w:t>
      </w:r>
    </w:p>
    <w:p w:rsidR="00AB6894" w:rsidRDefault="00AB6894" w:rsidP="00A749FC">
      <w:pPr>
        <w:pStyle w:val="NoSpacing"/>
        <w:rPr>
          <w:rFonts w:ascii="Times New Roman" w:hAnsi="Times New Roman"/>
          <w:i/>
          <w:iCs/>
          <w:sz w:val="28"/>
          <w:szCs w:val="28"/>
        </w:rPr>
      </w:pPr>
    </w:p>
    <w:p w:rsidR="00AB6894" w:rsidRPr="00E2538E" w:rsidRDefault="00AB6894" w:rsidP="00AB6894">
      <w:pPr>
        <w:pStyle w:val="Heading1"/>
        <w:rPr>
          <w:rFonts w:ascii="Times New Roman" w:hAnsi="Times New Roman"/>
          <w:sz w:val="28"/>
          <w:szCs w:val="28"/>
          <w:lang w:val="en"/>
        </w:rPr>
      </w:pPr>
      <w:r w:rsidRPr="00AB6894">
        <w:rPr>
          <w:rStyle w:val="titleauthoretc5"/>
          <w:rFonts w:ascii="Times New Roman" w:hAnsi="Times New Roman"/>
          <w:color w:val="555555"/>
          <w:sz w:val="28"/>
          <w:szCs w:val="28"/>
          <w:lang w:val="en"/>
        </w:rPr>
        <w:t>Walshe, Kieran; Coleman, Anna; McDonald, Ru</w:t>
      </w:r>
      <w:r>
        <w:rPr>
          <w:rStyle w:val="titleauthoretc5"/>
          <w:rFonts w:ascii="Times New Roman" w:hAnsi="Times New Roman"/>
          <w:color w:val="555555"/>
          <w:sz w:val="28"/>
          <w:szCs w:val="28"/>
          <w:lang w:val="en"/>
        </w:rPr>
        <w:t>th; Lor</w:t>
      </w:r>
      <w:r w:rsidR="00E2538E">
        <w:rPr>
          <w:rStyle w:val="titleauthoretc5"/>
          <w:rFonts w:ascii="Times New Roman" w:hAnsi="Times New Roman"/>
          <w:color w:val="555555"/>
          <w:sz w:val="28"/>
          <w:szCs w:val="28"/>
          <w:lang w:val="en"/>
        </w:rPr>
        <w:t>ne, Colin; Munford, Luke (2016).</w:t>
      </w:r>
      <w:r>
        <w:rPr>
          <w:rStyle w:val="titleauthoretc5"/>
          <w:rFonts w:ascii="Times New Roman" w:hAnsi="Times New Roman"/>
          <w:color w:val="555555"/>
          <w:sz w:val="28"/>
          <w:szCs w:val="28"/>
          <w:lang w:val="en"/>
        </w:rPr>
        <w:t xml:space="preserve"> </w:t>
      </w:r>
      <w:r w:rsidR="00E2538E">
        <w:rPr>
          <w:rStyle w:val="titleauthoretc5"/>
          <w:rFonts w:ascii="Times New Roman" w:hAnsi="Times New Roman"/>
          <w:color w:val="555555"/>
          <w:sz w:val="28"/>
          <w:szCs w:val="28"/>
          <w:lang w:val="en"/>
        </w:rPr>
        <w:t>‘</w:t>
      </w:r>
      <w:r w:rsidRPr="00AB6894">
        <w:rPr>
          <w:rFonts w:ascii="Times New Roman" w:hAnsi="Times New Roman"/>
          <w:sz w:val="28"/>
          <w:szCs w:val="28"/>
          <w:lang w:val="en"/>
        </w:rPr>
        <w:t>Health and social care devolution: t</w:t>
      </w:r>
      <w:r w:rsidR="00E2538E">
        <w:rPr>
          <w:rFonts w:ascii="Times New Roman" w:hAnsi="Times New Roman"/>
          <w:sz w:val="28"/>
          <w:szCs w:val="28"/>
          <w:lang w:val="en"/>
        </w:rPr>
        <w:t xml:space="preserve">he Greater Manchester experiment’, </w:t>
      </w:r>
      <w:r w:rsidRPr="00AB6894">
        <w:rPr>
          <w:rStyle w:val="Strong"/>
          <w:rFonts w:ascii="Times New Roman" w:hAnsi="Times New Roman"/>
          <w:b w:val="0"/>
          <w:i/>
          <w:color w:val="555555"/>
          <w:sz w:val="28"/>
          <w:szCs w:val="28"/>
          <w:lang w:val="en"/>
        </w:rPr>
        <w:t>B</w:t>
      </w:r>
      <w:r>
        <w:rPr>
          <w:rStyle w:val="Strong"/>
          <w:rFonts w:ascii="Times New Roman" w:hAnsi="Times New Roman"/>
          <w:b w:val="0"/>
          <w:i/>
          <w:color w:val="555555"/>
          <w:sz w:val="28"/>
          <w:szCs w:val="28"/>
          <w:lang w:val="en"/>
        </w:rPr>
        <w:t>r</w:t>
      </w:r>
      <w:r w:rsidR="00E2538E">
        <w:rPr>
          <w:rStyle w:val="Strong"/>
          <w:rFonts w:ascii="Times New Roman" w:hAnsi="Times New Roman"/>
          <w:b w:val="0"/>
          <w:i/>
          <w:color w:val="555555"/>
          <w:sz w:val="28"/>
          <w:szCs w:val="28"/>
          <w:lang w:val="en"/>
        </w:rPr>
        <w:t xml:space="preserve">itish Medical Journal </w:t>
      </w:r>
      <w:r w:rsidR="00E2538E" w:rsidRPr="00E2538E">
        <w:rPr>
          <w:rFonts w:ascii="Times New Roman" w:eastAsiaTheme="minorHAnsi" w:hAnsi="Times New Roman"/>
          <w:i/>
          <w:iCs/>
          <w:sz w:val="28"/>
          <w:szCs w:val="28"/>
        </w:rPr>
        <w:t xml:space="preserve"> </w:t>
      </w:r>
      <w:r w:rsidR="00E2538E" w:rsidRPr="00E2538E">
        <w:rPr>
          <w:rFonts w:ascii="Times New Roman" w:eastAsia="FreeSans" w:hAnsi="Times New Roman"/>
          <w:sz w:val="28"/>
          <w:szCs w:val="28"/>
        </w:rPr>
        <w:t>2016;352:i1495 doi: 10.1136/bmj.i1495 (Published 22 March 2016)</w:t>
      </w:r>
      <w:r w:rsidR="00E2538E">
        <w:rPr>
          <w:rFonts w:ascii="Times New Roman" w:eastAsia="FreeSans" w:hAnsi="Times New Roman"/>
          <w:sz w:val="28"/>
          <w:szCs w:val="28"/>
        </w:rPr>
        <w:t>.</w:t>
      </w:r>
    </w:p>
    <w:p w:rsidR="00F12897" w:rsidRDefault="00F12897" w:rsidP="005522FB">
      <w:pPr>
        <w:pStyle w:val="NoSpacing"/>
        <w:rPr>
          <w:rFonts w:ascii="Times New Roman" w:hAnsi="Times New Roman" w:cs="Times New Roman"/>
          <w:sz w:val="28"/>
          <w:szCs w:val="28"/>
        </w:rPr>
      </w:pPr>
      <w:r>
        <w:rPr>
          <w:rFonts w:ascii="Times New Roman" w:hAnsi="Times New Roman" w:cs="Times New Roman"/>
          <w:sz w:val="28"/>
          <w:szCs w:val="28"/>
        </w:rPr>
        <w:t>Yates</w:t>
      </w:r>
      <w:r w:rsidR="0019502A">
        <w:rPr>
          <w:rFonts w:ascii="Times New Roman" w:hAnsi="Times New Roman" w:cs="Times New Roman"/>
          <w:sz w:val="28"/>
          <w:szCs w:val="28"/>
        </w:rPr>
        <w:t>,</w:t>
      </w:r>
      <w:r>
        <w:rPr>
          <w:rFonts w:ascii="Times New Roman" w:hAnsi="Times New Roman" w:cs="Times New Roman"/>
          <w:sz w:val="28"/>
          <w:szCs w:val="28"/>
        </w:rPr>
        <w:t xml:space="preserve"> J</w:t>
      </w:r>
      <w:r w:rsidR="0019502A">
        <w:rPr>
          <w:rFonts w:ascii="Times New Roman" w:hAnsi="Times New Roman" w:cs="Times New Roman"/>
          <w:sz w:val="28"/>
          <w:szCs w:val="28"/>
        </w:rPr>
        <w:t>.</w:t>
      </w:r>
      <w:r>
        <w:rPr>
          <w:rFonts w:ascii="Times New Roman" w:hAnsi="Times New Roman" w:cs="Times New Roman"/>
          <w:sz w:val="28"/>
          <w:szCs w:val="28"/>
        </w:rPr>
        <w:t xml:space="preserve"> </w:t>
      </w:r>
      <w:r w:rsidR="0019502A">
        <w:rPr>
          <w:rFonts w:ascii="Times New Roman" w:hAnsi="Times New Roman" w:cs="Times New Roman"/>
          <w:sz w:val="28"/>
          <w:szCs w:val="28"/>
        </w:rPr>
        <w:t>(1987),</w:t>
      </w:r>
      <w:r>
        <w:rPr>
          <w:rFonts w:ascii="Times New Roman" w:hAnsi="Times New Roman" w:cs="Times New Roman"/>
          <w:sz w:val="28"/>
          <w:szCs w:val="28"/>
        </w:rPr>
        <w:t xml:space="preserve"> </w:t>
      </w:r>
      <w:r w:rsidRPr="0019502A">
        <w:rPr>
          <w:rFonts w:ascii="Times New Roman" w:hAnsi="Times New Roman" w:cs="Times New Roman"/>
          <w:i/>
          <w:sz w:val="28"/>
          <w:szCs w:val="28"/>
        </w:rPr>
        <w:t>Why Are We Waiting?</w:t>
      </w:r>
      <w:r w:rsidR="003D6C56" w:rsidRPr="0019502A">
        <w:rPr>
          <w:rFonts w:ascii="Times New Roman" w:hAnsi="Times New Roman" w:cs="Times New Roman"/>
          <w:i/>
          <w:sz w:val="28"/>
          <w:szCs w:val="28"/>
        </w:rPr>
        <w:t xml:space="preserve"> An Analysis of Hospital Waiting Lists</w:t>
      </w:r>
      <w:r w:rsidR="0019502A">
        <w:rPr>
          <w:rFonts w:ascii="Times New Roman" w:hAnsi="Times New Roman" w:cs="Times New Roman"/>
          <w:sz w:val="28"/>
          <w:szCs w:val="28"/>
          <w:u w:val="single"/>
        </w:rPr>
        <w:t>,</w:t>
      </w:r>
      <w:r>
        <w:rPr>
          <w:rFonts w:ascii="Times New Roman" w:hAnsi="Times New Roman" w:cs="Times New Roman"/>
          <w:sz w:val="28"/>
          <w:szCs w:val="28"/>
        </w:rPr>
        <w:t xml:space="preserve"> </w:t>
      </w:r>
      <w:r w:rsidR="0019502A">
        <w:rPr>
          <w:rFonts w:ascii="Times New Roman" w:hAnsi="Times New Roman" w:cs="Times New Roman"/>
          <w:sz w:val="28"/>
          <w:szCs w:val="28"/>
        </w:rPr>
        <w:t xml:space="preserve">Oxford, UK: </w:t>
      </w:r>
      <w:r w:rsidR="003D6C56">
        <w:rPr>
          <w:rFonts w:ascii="Times New Roman" w:hAnsi="Times New Roman" w:cs="Times New Roman"/>
          <w:sz w:val="28"/>
          <w:szCs w:val="28"/>
        </w:rPr>
        <w:t>Oxford University Pres</w:t>
      </w:r>
      <w:r w:rsidR="0019502A">
        <w:rPr>
          <w:rFonts w:ascii="Times New Roman" w:hAnsi="Times New Roman" w:cs="Times New Roman"/>
          <w:sz w:val="28"/>
          <w:szCs w:val="28"/>
        </w:rPr>
        <w:t>s.</w:t>
      </w:r>
    </w:p>
    <w:p w:rsidR="00EF1E66" w:rsidRDefault="00EF1E66" w:rsidP="005522FB">
      <w:pPr>
        <w:pStyle w:val="NoSpacing"/>
        <w:rPr>
          <w:rFonts w:ascii="Times New Roman" w:hAnsi="Times New Roman" w:cs="Times New Roman"/>
          <w:sz w:val="28"/>
          <w:szCs w:val="28"/>
        </w:rPr>
      </w:pPr>
    </w:p>
    <w:p w:rsidR="00EF1E66" w:rsidRDefault="00EF1E66" w:rsidP="005522FB">
      <w:pPr>
        <w:pStyle w:val="NoSpacing"/>
        <w:rPr>
          <w:rFonts w:ascii="Times New Roman" w:hAnsi="Times New Roman" w:cs="Times New Roman"/>
          <w:sz w:val="28"/>
          <w:szCs w:val="28"/>
        </w:rPr>
      </w:pPr>
    </w:p>
    <w:p w:rsidR="00EF1E66" w:rsidRDefault="00EF1E66" w:rsidP="005522FB">
      <w:pPr>
        <w:pStyle w:val="NoSpacing"/>
        <w:rPr>
          <w:rFonts w:ascii="Times New Roman" w:hAnsi="Times New Roman" w:cs="Times New Roman"/>
          <w:sz w:val="28"/>
          <w:szCs w:val="28"/>
        </w:rPr>
      </w:pPr>
    </w:p>
    <w:p w:rsidR="00EF1E66" w:rsidRDefault="00EF1E66" w:rsidP="005522FB">
      <w:pPr>
        <w:pStyle w:val="NoSpacing"/>
        <w:rPr>
          <w:rFonts w:ascii="Times New Roman" w:hAnsi="Times New Roman" w:cs="Times New Roman"/>
          <w:sz w:val="28"/>
          <w:szCs w:val="28"/>
        </w:rPr>
      </w:pPr>
    </w:p>
    <w:p w:rsidR="00EF1E66" w:rsidRDefault="00EF1E66" w:rsidP="005522FB">
      <w:pPr>
        <w:pStyle w:val="NoSpacing"/>
        <w:rPr>
          <w:rFonts w:ascii="Times New Roman" w:hAnsi="Times New Roman" w:cs="Times New Roman"/>
          <w:sz w:val="28"/>
          <w:szCs w:val="28"/>
        </w:rPr>
      </w:pPr>
    </w:p>
    <w:p w:rsidR="00EF1E66" w:rsidRDefault="00EF1E66" w:rsidP="005522FB">
      <w:pPr>
        <w:pStyle w:val="NoSpacing"/>
        <w:rPr>
          <w:rFonts w:ascii="Times New Roman" w:hAnsi="Times New Roman" w:cs="Times New Roman"/>
          <w:sz w:val="28"/>
          <w:szCs w:val="28"/>
        </w:rPr>
      </w:pPr>
    </w:p>
    <w:p w:rsidR="00DD1A57" w:rsidRDefault="00DD1A57" w:rsidP="005522FB">
      <w:pPr>
        <w:pStyle w:val="NoSpacing"/>
        <w:rPr>
          <w:rFonts w:ascii="Times New Roman" w:hAnsi="Times New Roman" w:cs="Times New Roman"/>
          <w:b/>
          <w:sz w:val="28"/>
          <w:szCs w:val="28"/>
        </w:rPr>
      </w:pPr>
    </w:p>
    <w:p w:rsidR="00DD1A57" w:rsidRDefault="00DD1A57" w:rsidP="005522FB">
      <w:pPr>
        <w:pStyle w:val="NoSpacing"/>
        <w:rPr>
          <w:rFonts w:ascii="Times New Roman" w:hAnsi="Times New Roman" w:cs="Times New Roman"/>
          <w:b/>
          <w:sz w:val="28"/>
          <w:szCs w:val="28"/>
        </w:rPr>
      </w:pPr>
    </w:p>
    <w:p w:rsidR="00DD1A57" w:rsidRDefault="00DD1A57" w:rsidP="005522FB">
      <w:pPr>
        <w:pStyle w:val="NoSpacing"/>
        <w:rPr>
          <w:rFonts w:ascii="Times New Roman" w:hAnsi="Times New Roman" w:cs="Times New Roman"/>
          <w:b/>
          <w:sz w:val="28"/>
          <w:szCs w:val="28"/>
        </w:rPr>
      </w:pPr>
    </w:p>
    <w:p w:rsidR="00DD1A57" w:rsidRDefault="00DD1A57" w:rsidP="005522FB">
      <w:pPr>
        <w:pStyle w:val="NoSpacing"/>
        <w:rPr>
          <w:rFonts w:ascii="Times New Roman" w:hAnsi="Times New Roman" w:cs="Times New Roman"/>
          <w:b/>
          <w:sz w:val="28"/>
          <w:szCs w:val="28"/>
        </w:rPr>
      </w:pPr>
    </w:p>
    <w:p w:rsidR="002D5CC6" w:rsidRDefault="002D5CC6" w:rsidP="008F116E">
      <w:pPr>
        <w:tabs>
          <w:tab w:val="right" w:pos="9360"/>
        </w:tabs>
        <w:rPr>
          <w:rFonts w:ascii="Times New Roman" w:hAnsi="Times New Roman"/>
          <w:b/>
          <w:sz w:val="32"/>
          <w:szCs w:val="32"/>
        </w:rPr>
      </w:pPr>
    </w:p>
    <w:p w:rsidR="002D5CC6" w:rsidRDefault="002D5CC6" w:rsidP="008F116E">
      <w:pPr>
        <w:tabs>
          <w:tab w:val="right" w:pos="9360"/>
        </w:tabs>
        <w:rPr>
          <w:rFonts w:ascii="Times New Roman" w:hAnsi="Times New Roman"/>
          <w:b/>
          <w:sz w:val="32"/>
          <w:szCs w:val="32"/>
        </w:rPr>
      </w:pPr>
    </w:p>
    <w:p w:rsidR="002D5CC6" w:rsidRDefault="002D5CC6"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0648BC" w:rsidRDefault="000648BC" w:rsidP="008F116E">
      <w:pPr>
        <w:tabs>
          <w:tab w:val="right" w:pos="9360"/>
        </w:tabs>
        <w:rPr>
          <w:rFonts w:ascii="Times New Roman" w:hAnsi="Times New Roman"/>
          <w:b/>
          <w:sz w:val="32"/>
          <w:szCs w:val="32"/>
        </w:rPr>
      </w:pPr>
    </w:p>
    <w:p w:rsidR="00DF5893" w:rsidRDefault="004858EB" w:rsidP="008F116E">
      <w:pPr>
        <w:tabs>
          <w:tab w:val="right" w:pos="9360"/>
        </w:tabs>
        <w:rPr>
          <w:rFonts w:ascii="Times New Roman" w:hAnsi="Times New Roman"/>
          <w:b/>
          <w:sz w:val="32"/>
          <w:szCs w:val="32"/>
        </w:rPr>
      </w:pPr>
      <w:r>
        <w:rPr>
          <w:rFonts w:ascii="Times New Roman" w:hAnsi="Times New Roman"/>
          <w:b/>
          <w:sz w:val="32"/>
          <w:szCs w:val="32"/>
        </w:rPr>
        <w:t>FIGURE 1</w:t>
      </w:r>
      <w:r w:rsidR="008F116E">
        <w:rPr>
          <w:rFonts w:ascii="Times New Roman" w:hAnsi="Times New Roman"/>
          <w:b/>
          <w:sz w:val="32"/>
          <w:szCs w:val="32"/>
        </w:rPr>
        <w:tab/>
      </w:r>
    </w:p>
    <w:p w:rsidR="00410B14" w:rsidRPr="00410B14" w:rsidRDefault="000E220F" w:rsidP="00410B14">
      <w:pPr>
        <w:widowControl/>
        <w:rPr>
          <w:rFonts w:ascii="Times New Roman" w:eastAsiaTheme="minorHAnsi" w:hAnsi="Times New Roman"/>
          <w:color w:val="000000"/>
          <w:sz w:val="36"/>
          <w:szCs w:val="36"/>
        </w:rPr>
      </w:pPr>
      <w:r>
        <w:rPr>
          <w:rFonts w:ascii="Times New Roman" w:eastAsiaTheme="minorHAnsi" w:hAnsi="Times New Roman"/>
          <w:b/>
          <w:bCs/>
          <w:color w:val="000000"/>
          <w:sz w:val="36"/>
          <w:szCs w:val="36"/>
        </w:rPr>
        <w:t>Growth in GDP,</w:t>
      </w:r>
      <w:r w:rsidR="0046004C">
        <w:rPr>
          <w:rFonts w:ascii="Times New Roman" w:eastAsiaTheme="minorHAnsi" w:hAnsi="Times New Roman"/>
          <w:b/>
          <w:bCs/>
          <w:color w:val="000000"/>
          <w:sz w:val="36"/>
          <w:szCs w:val="36"/>
        </w:rPr>
        <w:t xml:space="preserve"> projected annual rate for 2017</w:t>
      </w:r>
      <w:r w:rsidR="00410B14" w:rsidRPr="00410B14">
        <w:rPr>
          <w:rFonts w:ascii="Times New Roman" w:eastAsiaTheme="minorHAnsi" w:hAnsi="Times New Roman"/>
          <w:b/>
          <w:bCs/>
          <w:color w:val="000000"/>
          <w:sz w:val="36"/>
          <w:szCs w:val="36"/>
        </w:rPr>
        <w:t xml:space="preserve"> </w:t>
      </w:r>
    </w:p>
    <w:p w:rsidR="00431324" w:rsidRDefault="00431324" w:rsidP="00410B14">
      <w:pPr>
        <w:widowControl/>
        <w:rPr>
          <w:rFonts w:ascii="Times New Roman" w:eastAsiaTheme="minorHAnsi" w:hAnsi="Times New Roman"/>
          <w:color w:val="000000"/>
          <w:sz w:val="32"/>
          <w:szCs w:val="32"/>
        </w:rPr>
      </w:pPr>
    </w:p>
    <w:p w:rsidR="00431324" w:rsidRPr="00431324" w:rsidRDefault="00431324" w:rsidP="00410B14">
      <w:pPr>
        <w:widowControl/>
        <w:rPr>
          <w:rFonts w:ascii="Times New Roman" w:eastAsiaTheme="minorHAnsi" w:hAnsi="Times New Roman"/>
          <w:b/>
          <w:color w:val="000000"/>
          <w:sz w:val="32"/>
          <w:szCs w:val="32"/>
        </w:rPr>
      </w:pPr>
      <w:r w:rsidRPr="00431324">
        <w:rPr>
          <w:rFonts w:ascii="Times New Roman" w:eastAsiaTheme="minorHAnsi" w:hAnsi="Times New Roman"/>
          <w:b/>
          <w:color w:val="000000"/>
          <w:sz w:val="32"/>
          <w:szCs w:val="32"/>
        </w:rPr>
        <w:t>Continental Europe/</w:t>
      </w:r>
      <w:r w:rsidR="00410B14" w:rsidRPr="00410B14">
        <w:rPr>
          <w:rFonts w:ascii="Times New Roman" w:eastAsiaTheme="minorHAnsi" w:hAnsi="Times New Roman"/>
          <w:b/>
          <w:color w:val="000000"/>
          <w:sz w:val="32"/>
          <w:szCs w:val="32"/>
        </w:rPr>
        <w:t xml:space="preserve">Britain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46004C">
        <w:rPr>
          <w:rFonts w:ascii="Times New Roman" w:eastAsiaTheme="minorHAnsi" w:hAnsi="Times New Roman"/>
          <w:color w:val="000000"/>
          <w:sz w:val="32"/>
          <w:szCs w:val="32"/>
        </w:rPr>
        <w:t>Netherlands    2.0</w:t>
      </w:r>
      <w:r w:rsidR="00B753C6">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324EED">
        <w:rPr>
          <w:rFonts w:ascii="Times New Roman" w:eastAsiaTheme="minorHAnsi" w:hAnsi="Times New Roman"/>
          <w:color w:val="000000"/>
          <w:sz w:val="32"/>
          <w:szCs w:val="32"/>
        </w:rPr>
        <w:t xml:space="preserve">Belgium         </w:t>
      </w:r>
      <w:r w:rsidR="0046004C">
        <w:rPr>
          <w:rFonts w:ascii="Times New Roman" w:eastAsiaTheme="minorHAnsi" w:hAnsi="Times New Roman"/>
          <w:color w:val="000000"/>
          <w:sz w:val="32"/>
          <w:szCs w:val="32"/>
        </w:rPr>
        <w:t>1.4</w:t>
      </w:r>
      <w:r w:rsidR="00B753C6">
        <w:rPr>
          <w:rFonts w:ascii="Times New Roman" w:eastAsiaTheme="minorHAnsi" w:hAnsi="Times New Roman"/>
          <w:color w:val="000000"/>
          <w:sz w:val="32"/>
          <w:szCs w:val="32"/>
        </w:rPr>
        <w:t>%</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324EED">
        <w:rPr>
          <w:rFonts w:ascii="Times New Roman" w:eastAsiaTheme="minorHAnsi" w:hAnsi="Times New Roman"/>
          <w:color w:val="000000"/>
          <w:sz w:val="32"/>
          <w:szCs w:val="32"/>
        </w:rPr>
        <w:t xml:space="preserve">France            </w:t>
      </w:r>
      <w:r w:rsidR="0046004C">
        <w:rPr>
          <w:rFonts w:ascii="Times New Roman" w:eastAsiaTheme="minorHAnsi" w:hAnsi="Times New Roman"/>
          <w:color w:val="000000"/>
          <w:sz w:val="32"/>
          <w:szCs w:val="32"/>
        </w:rPr>
        <w:t>1.3</w:t>
      </w:r>
      <w:r w:rsidR="00B753C6">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B753C6">
        <w:rPr>
          <w:rFonts w:ascii="Times New Roman" w:eastAsiaTheme="minorHAnsi" w:hAnsi="Times New Roman"/>
          <w:color w:val="000000"/>
          <w:sz w:val="32"/>
          <w:szCs w:val="32"/>
        </w:rPr>
        <w:t xml:space="preserve">Germany        </w:t>
      </w:r>
      <w:r w:rsidR="0046004C">
        <w:rPr>
          <w:rFonts w:ascii="Times New Roman" w:eastAsiaTheme="minorHAnsi" w:hAnsi="Times New Roman"/>
          <w:color w:val="000000"/>
          <w:sz w:val="32"/>
          <w:szCs w:val="32"/>
        </w:rPr>
        <w:t>1.6</w:t>
      </w:r>
      <w:r w:rsidR="00B753C6">
        <w:rPr>
          <w:rFonts w:ascii="Times New Roman" w:eastAsiaTheme="minorHAnsi" w:hAnsi="Times New Roman"/>
          <w:color w:val="000000"/>
          <w:sz w:val="32"/>
          <w:szCs w:val="32"/>
        </w:rPr>
        <w:t>%</w:t>
      </w:r>
    </w:p>
    <w:p w:rsidR="001C37D7"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B753C6">
        <w:rPr>
          <w:rFonts w:ascii="Times New Roman" w:eastAsiaTheme="minorHAnsi" w:hAnsi="Times New Roman"/>
          <w:color w:val="000000"/>
          <w:sz w:val="32"/>
          <w:szCs w:val="32"/>
        </w:rPr>
        <w:t xml:space="preserve">Britain            </w:t>
      </w:r>
      <w:r w:rsidR="0046004C">
        <w:rPr>
          <w:rFonts w:ascii="Times New Roman" w:eastAsiaTheme="minorHAnsi" w:hAnsi="Times New Roman"/>
          <w:color w:val="000000"/>
          <w:sz w:val="32"/>
          <w:szCs w:val="32"/>
        </w:rPr>
        <w:t>1.7</w:t>
      </w:r>
      <w:r w:rsidR="00B753C6">
        <w:rPr>
          <w:rFonts w:ascii="Times New Roman" w:eastAsiaTheme="minorHAnsi" w:hAnsi="Times New Roman"/>
          <w:color w:val="000000"/>
          <w:sz w:val="32"/>
          <w:szCs w:val="32"/>
        </w:rPr>
        <w:t>%</w:t>
      </w:r>
    </w:p>
    <w:p w:rsidR="00410B14" w:rsidRPr="00410B14" w:rsidRDefault="001C37D7"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Austria            1.6%</w:t>
      </w:r>
      <w:r w:rsidR="00FD132B">
        <w:rPr>
          <w:rFonts w:ascii="Times New Roman" w:eastAsiaTheme="minorHAnsi" w:hAnsi="Times New Roman"/>
          <w:color w:val="000000"/>
          <w:sz w:val="32"/>
          <w:szCs w:val="32"/>
        </w:rPr>
        <w:t xml:space="preserve"> </w:t>
      </w:r>
      <w:r w:rsidR="00A47DFF">
        <w:rPr>
          <w:rFonts w:ascii="Times New Roman" w:eastAsiaTheme="minorHAnsi" w:hAnsi="Times New Roman"/>
          <w:color w:val="000000"/>
          <w:sz w:val="32"/>
          <w:szCs w:val="32"/>
        </w:rPr>
        <w:t xml:space="preserve"> </w:t>
      </w:r>
    </w:p>
    <w:p w:rsidR="00431324" w:rsidRDefault="00934E9E"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p>
    <w:p w:rsidR="00431324" w:rsidRPr="00431324" w:rsidRDefault="00410B14" w:rsidP="00410B14">
      <w:pPr>
        <w:widowControl/>
        <w:rPr>
          <w:rFonts w:ascii="Times New Roman" w:eastAsiaTheme="minorHAnsi" w:hAnsi="Times New Roman"/>
          <w:b/>
          <w:color w:val="000000"/>
          <w:sz w:val="32"/>
          <w:szCs w:val="32"/>
        </w:rPr>
      </w:pPr>
      <w:r w:rsidRPr="00410B14">
        <w:rPr>
          <w:rFonts w:ascii="Times New Roman" w:eastAsiaTheme="minorHAnsi" w:hAnsi="Times New Roman"/>
          <w:b/>
          <w:color w:val="000000"/>
          <w:sz w:val="32"/>
          <w:szCs w:val="32"/>
        </w:rPr>
        <w:t xml:space="preserve">Nordic Region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934E9E">
        <w:rPr>
          <w:rFonts w:ascii="Times New Roman" w:eastAsiaTheme="minorHAnsi" w:hAnsi="Times New Roman"/>
          <w:color w:val="000000"/>
          <w:sz w:val="32"/>
          <w:szCs w:val="32"/>
        </w:rPr>
        <w:t xml:space="preserve">Denmark:        </w:t>
      </w:r>
      <w:r w:rsidR="00BC4237">
        <w:rPr>
          <w:rFonts w:ascii="Times New Roman" w:eastAsiaTheme="minorHAnsi" w:hAnsi="Times New Roman"/>
          <w:color w:val="000000"/>
          <w:sz w:val="32"/>
          <w:szCs w:val="32"/>
        </w:rPr>
        <w:t>1.4</w:t>
      </w:r>
      <w:r w:rsidR="00934E9E">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934E9E">
        <w:rPr>
          <w:rFonts w:ascii="Times New Roman" w:eastAsiaTheme="minorHAnsi" w:hAnsi="Times New Roman"/>
          <w:color w:val="000000"/>
          <w:sz w:val="32"/>
          <w:szCs w:val="32"/>
        </w:rPr>
        <w:t xml:space="preserve">Sweden            </w:t>
      </w:r>
      <w:r w:rsidR="00BC4237">
        <w:rPr>
          <w:rFonts w:ascii="Times New Roman" w:eastAsiaTheme="minorHAnsi" w:hAnsi="Times New Roman"/>
          <w:color w:val="000000"/>
          <w:sz w:val="32"/>
          <w:szCs w:val="32"/>
        </w:rPr>
        <w:t>2.6</w:t>
      </w:r>
      <w:r w:rsidR="00934E9E">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934E9E">
        <w:rPr>
          <w:rFonts w:ascii="Times New Roman" w:eastAsiaTheme="minorHAnsi" w:hAnsi="Times New Roman"/>
          <w:color w:val="000000"/>
          <w:sz w:val="32"/>
          <w:szCs w:val="32"/>
        </w:rPr>
        <w:t xml:space="preserve">Finland            </w:t>
      </w:r>
      <w:r w:rsidR="00BC4237">
        <w:rPr>
          <w:rFonts w:ascii="Times New Roman" w:eastAsiaTheme="minorHAnsi" w:hAnsi="Times New Roman"/>
          <w:color w:val="000000"/>
          <w:sz w:val="32"/>
          <w:szCs w:val="32"/>
        </w:rPr>
        <w:t>1.1</w:t>
      </w:r>
      <w:r w:rsidR="00934E9E">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0E220F" w:rsidRDefault="0046004C"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Norway           </w:t>
      </w:r>
      <w:r w:rsidR="0008171F">
        <w:rPr>
          <w:rFonts w:ascii="Times New Roman" w:eastAsiaTheme="minorHAnsi" w:hAnsi="Times New Roman"/>
          <w:color w:val="000000"/>
          <w:sz w:val="32"/>
          <w:szCs w:val="32"/>
        </w:rPr>
        <w:t xml:space="preserve"> 1.7</w:t>
      </w:r>
      <w:r>
        <w:rPr>
          <w:rFonts w:ascii="Times New Roman" w:eastAsiaTheme="minorHAnsi" w:hAnsi="Times New Roman"/>
          <w:color w:val="000000"/>
          <w:sz w:val="32"/>
          <w:szCs w:val="32"/>
        </w:rPr>
        <w:t xml:space="preserve">% </w:t>
      </w:r>
    </w:p>
    <w:p w:rsidR="0046004C" w:rsidRDefault="0046004C" w:rsidP="00410B14">
      <w:pPr>
        <w:widowControl/>
        <w:rPr>
          <w:rFonts w:ascii="Times New Roman" w:eastAsiaTheme="minorHAnsi" w:hAnsi="Times New Roman"/>
          <w:color w:val="000000"/>
          <w:sz w:val="32"/>
          <w:szCs w:val="32"/>
        </w:rPr>
      </w:pPr>
    </w:p>
    <w:p w:rsidR="000E220F" w:rsidRPr="00431324" w:rsidRDefault="000E220F" w:rsidP="000E220F">
      <w:pPr>
        <w:widowControl/>
        <w:rPr>
          <w:rFonts w:ascii="Times New Roman" w:eastAsiaTheme="minorHAnsi" w:hAnsi="Times New Roman"/>
          <w:b/>
          <w:color w:val="000000"/>
          <w:sz w:val="32"/>
          <w:szCs w:val="32"/>
        </w:rPr>
      </w:pPr>
      <w:r w:rsidRPr="00410B14">
        <w:rPr>
          <w:rFonts w:ascii="Times New Roman" w:eastAsiaTheme="minorHAnsi" w:hAnsi="Times New Roman"/>
          <w:b/>
          <w:color w:val="000000"/>
          <w:sz w:val="32"/>
          <w:szCs w:val="32"/>
        </w:rPr>
        <w:t xml:space="preserve">Southern Europe </w:t>
      </w:r>
    </w:p>
    <w:p w:rsidR="000E220F" w:rsidRPr="00410B14" w:rsidRDefault="000E220F" w:rsidP="000E220F">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Pr="00410B14">
        <w:rPr>
          <w:rFonts w:ascii="Times New Roman" w:eastAsiaTheme="minorHAnsi" w:hAnsi="Times New Roman"/>
          <w:color w:val="000000"/>
          <w:sz w:val="32"/>
          <w:szCs w:val="32"/>
        </w:rPr>
        <w:t xml:space="preserve">Greece </w:t>
      </w:r>
      <w:r>
        <w:rPr>
          <w:rFonts w:ascii="Times New Roman" w:eastAsiaTheme="minorHAnsi" w:hAnsi="Times New Roman"/>
          <w:color w:val="000000"/>
          <w:sz w:val="32"/>
          <w:szCs w:val="32"/>
        </w:rPr>
        <w:t xml:space="preserve">          </w:t>
      </w:r>
      <w:r w:rsidR="00934E9E">
        <w:rPr>
          <w:rFonts w:ascii="Times New Roman" w:eastAsiaTheme="minorHAnsi" w:hAnsi="Times New Roman"/>
          <w:color w:val="000000"/>
          <w:sz w:val="32"/>
          <w:szCs w:val="32"/>
        </w:rPr>
        <w:t xml:space="preserve">   </w:t>
      </w:r>
      <w:r w:rsidR="0008171F">
        <w:rPr>
          <w:rFonts w:ascii="Times New Roman" w:eastAsiaTheme="minorHAnsi" w:hAnsi="Times New Roman"/>
          <w:color w:val="000000"/>
          <w:sz w:val="32"/>
          <w:szCs w:val="32"/>
        </w:rPr>
        <w:t xml:space="preserve"> 1.2</w:t>
      </w:r>
      <w:r w:rsidR="00934E9E">
        <w:rPr>
          <w:rFonts w:ascii="Times New Roman" w:eastAsiaTheme="minorHAnsi" w:hAnsi="Times New Roman"/>
          <w:color w:val="000000"/>
          <w:sz w:val="32"/>
          <w:szCs w:val="32"/>
        </w:rPr>
        <w:t>%</w:t>
      </w:r>
    </w:p>
    <w:p w:rsidR="000E220F" w:rsidRPr="00410B14" w:rsidRDefault="000E220F" w:rsidP="000E220F">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934E9E">
        <w:rPr>
          <w:rFonts w:ascii="Times New Roman" w:eastAsiaTheme="minorHAnsi" w:hAnsi="Times New Roman"/>
          <w:color w:val="000000"/>
          <w:sz w:val="32"/>
          <w:szCs w:val="32"/>
        </w:rPr>
        <w:t xml:space="preserve">Spain                 </w:t>
      </w:r>
      <w:r w:rsidR="0008171F">
        <w:rPr>
          <w:rFonts w:ascii="Times New Roman" w:eastAsiaTheme="minorHAnsi" w:hAnsi="Times New Roman"/>
          <w:color w:val="000000"/>
          <w:sz w:val="32"/>
          <w:szCs w:val="32"/>
        </w:rPr>
        <w:t>2.6</w:t>
      </w:r>
      <w:r w:rsidR="00934E9E">
        <w:rPr>
          <w:rFonts w:ascii="Times New Roman" w:eastAsiaTheme="minorHAnsi" w:hAnsi="Times New Roman"/>
          <w:color w:val="000000"/>
          <w:sz w:val="32"/>
          <w:szCs w:val="32"/>
        </w:rPr>
        <w:t>%</w:t>
      </w:r>
      <w:r w:rsidRPr="00410B14">
        <w:rPr>
          <w:rFonts w:ascii="Times New Roman" w:eastAsiaTheme="minorHAnsi" w:hAnsi="Times New Roman"/>
          <w:color w:val="000000"/>
          <w:sz w:val="32"/>
          <w:szCs w:val="32"/>
        </w:rPr>
        <w:t xml:space="preserve"> </w:t>
      </w:r>
    </w:p>
    <w:p w:rsidR="000E220F" w:rsidRPr="00410B14" w:rsidRDefault="000E220F" w:rsidP="000E220F">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934E9E">
        <w:rPr>
          <w:rFonts w:ascii="Times New Roman" w:eastAsiaTheme="minorHAnsi" w:hAnsi="Times New Roman"/>
          <w:color w:val="000000"/>
          <w:sz w:val="32"/>
          <w:szCs w:val="32"/>
        </w:rPr>
        <w:t xml:space="preserve">Italy                   </w:t>
      </w:r>
      <w:r w:rsidR="0008171F">
        <w:rPr>
          <w:rFonts w:ascii="Times New Roman" w:eastAsiaTheme="minorHAnsi" w:hAnsi="Times New Roman"/>
          <w:color w:val="000000"/>
          <w:sz w:val="32"/>
          <w:szCs w:val="32"/>
        </w:rPr>
        <w:t>0.9</w:t>
      </w:r>
      <w:r w:rsidR="00934E9E">
        <w:rPr>
          <w:rFonts w:ascii="Times New Roman" w:eastAsiaTheme="minorHAnsi" w:hAnsi="Times New Roman"/>
          <w:color w:val="000000"/>
          <w:sz w:val="32"/>
          <w:szCs w:val="32"/>
        </w:rPr>
        <w:t>%</w:t>
      </w:r>
      <w:r w:rsidRPr="00410B14">
        <w:rPr>
          <w:rFonts w:ascii="Times New Roman" w:eastAsiaTheme="minorHAnsi" w:hAnsi="Times New Roman"/>
          <w:color w:val="000000"/>
          <w:sz w:val="32"/>
          <w:szCs w:val="32"/>
        </w:rPr>
        <w:t xml:space="preserve"> </w:t>
      </w:r>
    </w:p>
    <w:p w:rsidR="000E220F" w:rsidRDefault="000E220F" w:rsidP="000E220F">
      <w:pPr>
        <w:widowControl/>
        <w:rPr>
          <w:rFonts w:ascii="Times New Roman" w:eastAsiaTheme="minorHAnsi" w:hAnsi="Times New Roman"/>
          <w:color w:val="000000"/>
          <w:sz w:val="32"/>
          <w:szCs w:val="32"/>
        </w:rPr>
      </w:pPr>
    </w:p>
    <w:p w:rsidR="00431324" w:rsidRPr="00431324" w:rsidRDefault="00410B14" w:rsidP="00410B14">
      <w:pPr>
        <w:widowControl/>
        <w:rPr>
          <w:rFonts w:ascii="Times New Roman" w:eastAsiaTheme="minorHAnsi" w:hAnsi="Times New Roman"/>
          <w:b/>
          <w:color w:val="000000"/>
          <w:sz w:val="32"/>
          <w:szCs w:val="32"/>
        </w:rPr>
      </w:pPr>
      <w:r w:rsidRPr="00410B14">
        <w:rPr>
          <w:rFonts w:ascii="Times New Roman" w:eastAsiaTheme="minorHAnsi" w:hAnsi="Times New Roman"/>
          <w:b/>
          <w:color w:val="000000"/>
          <w:sz w:val="32"/>
          <w:szCs w:val="32"/>
        </w:rPr>
        <w:t xml:space="preserve">North America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FD132B">
        <w:rPr>
          <w:rFonts w:ascii="Times New Roman" w:eastAsiaTheme="minorHAnsi" w:hAnsi="Times New Roman"/>
          <w:color w:val="000000"/>
          <w:sz w:val="32"/>
          <w:szCs w:val="32"/>
        </w:rPr>
        <w:t xml:space="preserve">USA                 </w:t>
      </w:r>
      <w:r w:rsidR="00423233">
        <w:rPr>
          <w:rFonts w:ascii="Times New Roman" w:eastAsiaTheme="minorHAnsi" w:hAnsi="Times New Roman"/>
          <w:color w:val="000000"/>
          <w:sz w:val="32"/>
          <w:szCs w:val="32"/>
        </w:rPr>
        <w:t>2.3%</w:t>
      </w:r>
      <w:r w:rsidR="00410B14" w:rsidRPr="00410B14">
        <w:rPr>
          <w:rFonts w:ascii="Times New Roman" w:eastAsiaTheme="minorHAnsi" w:hAnsi="Times New Roman"/>
          <w:color w:val="000000"/>
          <w:sz w:val="32"/>
          <w:szCs w:val="32"/>
        </w:rPr>
        <w:t xml:space="preserve"> </w:t>
      </w:r>
      <w:r w:rsidR="00A47DFF">
        <w:rPr>
          <w:rFonts w:ascii="Times New Roman" w:eastAsiaTheme="minorHAnsi" w:hAnsi="Times New Roman"/>
          <w:color w:val="000000"/>
          <w:sz w:val="32"/>
          <w:szCs w:val="32"/>
        </w:rPr>
        <w:t xml:space="preserve">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FD132B">
        <w:rPr>
          <w:rFonts w:ascii="Times New Roman" w:eastAsiaTheme="minorHAnsi" w:hAnsi="Times New Roman"/>
          <w:color w:val="000000"/>
          <w:sz w:val="32"/>
          <w:szCs w:val="32"/>
        </w:rPr>
        <w:t xml:space="preserve">Canada </w:t>
      </w:r>
      <w:r w:rsidR="00410B14" w:rsidRPr="00410B14">
        <w:rPr>
          <w:rFonts w:ascii="Times New Roman" w:eastAsiaTheme="minorHAnsi" w:hAnsi="Times New Roman"/>
          <w:color w:val="000000"/>
          <w:sz w:val="32"/>
          <w:szCs w:val="32"/>
        </w:rPr>
        <w:t xml:space="preserve"> </w:t>
      </w:r>
      <w:r w:rsidR="00B71C51">
        <w:rPr>
          <w:rFonts w:ascii="Times New Roman" w:eastAsiaTheme="minorHAnsi" w:hAnsi="Times New Roman"/>
          <w:color w:val="000000"/>
          <w:sz w:val="32"/>
          <w:szCs w:val="32"/>
        </w:rPr>
        <w:t xml:space="preserve">           </w:t>
      </w:r>
      <w:r w:rsidR="00423233">
        <w:rPr>
          <w:rFonts w:ascii="Times New Roman" w:eastAsiaTheme="minorHAnsi" w:hAnsi="Times New Roman"/>
          <w:color w:val="000000"/>
          <w:sz w:val="32"/>
          <w:szCs w:val="32"/>
        </w:rPr>
        <w:t>2.0</w:t>
      </w:r>
      <w:r w:rsidR="00B71C51">
        <w:rPr>
          <w:rFonts w:ascii="Times New Roman" w:eastAsiaTheme="minorHAnsi" w:hAnsi="Times New Roman"/>
          <w:color w:val="000000"/>
          <w:sz w:val="32"/>
          <w:szCs w:val="32"/>
        </w:rPr>
        <w:t>%</w:t>
      </w:r>
    </w:p>
    <w:p w:rsidR="00431324" w:rsidRDefault="00431324" w:rsidP="00410B14">
      <w:pPr>
        <w:widowControl/>
        <w:rPr>
          <w:rFonts w:ascii="Times New Roman" w:eastAsiaTheme="minorHAnsi" w:hAnsi="Times New Roman"/>
          <w:color w:val="000000"/>
          <w:sz w:val="32"/>
          <w:szCs w:val="32"/>
        </w:rPr>
      </w:pPr>
    </w:p>
    <w:p w:rsidR="00431324" w:rsidRPr="00431324" w:rsidRDefault="00410B14" w:rsidP="00410B14">
      <w:pPr>
        <w:widowControl/>
        <w:rPr>
          <w:rFonts w:ascii="Times New Roman" w:eastAsiaTheme="minorHAnsi" w:hAnsi="Times New Roman"/>
          <w:b/>
          <w:color w:val="000000"/>
          <w:sz w:val="32"/>
          <w:szCs w:val="32"/>
        </w:rPr>
      </w:pPr>
      <w:r w:rsidRPr="00410B14">
        <w:rPr>
          <w:rFonts w:ascii="Times New Roman" w:eastAsiaTheme="minorHAnsi" w:hAnsi="Times New Roman"/>
          <w:b/>
          <w:color w:val="000000"/>
          <w:sz w:val="32"/>
          <w:szCs w:val="32"/>
        </w:rPr>
        <w:t xml:space="preserve">Asia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A47DFF">
        <w:rPr>
          <w:rFonts w:ascii="Times New Roman" w:eastAsiaTheme="minorHAnsi" w:hAnsi="Times New Roman"/>
          <w:color w:val="000000"/>
          <w:sz w:val="32"/>
          <w:szCs w:val="32"/>
        </w:rPr>
        <w:t xml:space="preserve">Japan                 </w:t>
      </w:r>
      <w:r w:rsidR="00BC6B70">
        <w:rPr>
          <w:rFonts w:ascii="Times New Roman" w:eastAsiaTheme="minorHAnsi" w:hAnsi="Times New Roman"/>
          <w:color w:val="000000"/>
          <w:sz w:val="32"/>
          <w:szCs w:val="32"/>
        </w:rPr>
        <w:t>1.2</w:t>
      </w:r>
      <w:r w:rsidR="00A47DFF">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410B14" w:rsidRPr="00410B1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A47DFF">
        <w:rPr>
          <w:rFonts w:ascii="Times New Roman" w:eastAsiaTheme="minorHAnsi" w:hAnsi="Times New Roman"/>
          <w:color w:val="000000"/>
          <w:sz w:val="32"/>
          <w:szCs w:val="32"/>
        </w:rPr>
        <w:t xml:space="preserve">South Korea      </w:t>
      </w:r>
      <w:r w:rsidR="00BC6B70">
        <w:rPr>
          <w:rFonts w:ascii="Times New Roman" w:eastAsiaTheme="minorHAnsi" w:hAnsi="Times New Roman"/>
          <w:color w:val="000000"/>
          <w:sz w:val="32"/>
          <w:szCs w:val="32"/>
        </w:rPr>
        <w:t>2.5</w:t>
      </w:r>
      <w:r w:rsidR="00A47DFF">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431324" w:rsidRDefault="00431324"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00A47DFF">
        <w:rPr>
          <w:rFonts w:ascii="Times New Roman" w:eastAsiaTheme="minorHAnsi" w:hAnsi="Times New Roman"/>
          <w:color w:val="000000"/>
          <w:sz w:val="32"/>
          <w:szCs w:val="32"/>
        </w:rPr>
        <w:t xml:space="preserve">Singapore          </w:t>
      </w:r>
      <w:r w:rsidR="00BC6B70">
        <w:rPr>
          <w:rFonts w:ascii="Times New Roman" w:eastAsiaTheme="minorHAnsi" w:hAnsi="Times New Roman"/>
          <w:color w:val="000000"/>
          <w:sz w:val="32"/>
          <w:szCs w:val="32"/>
        </w:rPr>
        <w:t>2.1</w:t>
      </w:r>
      <w:r w:rsidR="00A47DFF">
        <w:rPr>
          <w:rFonts w:ascii="Times New Roman" w:eastAsiaTheme="minorHAnsi" w:hAnsi="Times New Roman"/>
          <w:color w:val="000000"/>
          <w:sz w:val="32"/>
          <w:szCs w:val="32"/>
        </w:rPr>
        <w:t>%</w:t>
      </w:r>
      <w:r w:rsidR="00410B14" w:rsidRPr="00410B14">
        <w:rPr>
          <w:rFonts w:ascii="Times New Roman" w:eastAsiaTheme="minorHAnsi" w:hAnsi="Times New Roman"/>
          <w:color w:val="000000"/>
          <w:sz w:val="32"/>
          <w:szCs w:val="32"/>
        </w:rPr>
        <w:t xml:space="preserve"> </w:t>
      </w:r>
    </w:p>
    <w:p w:rsidR="00A47DFF" w:rsidRDefault="00A47DFF"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China                 </w:t>
      </w:r>
      <w:r w:rsidR="00BC6B70">
        <w:rPr>
          <w:rFonts w:ascii="Times New Roman" w:eastAsiaTheme="minorHAnsi" w:hAnsi="Times New Roman"/>
          <w:color w:val="000000"/>
          <w:sz w:val="32"/>
          <w:szCs w:val="32"/>
        </w:rPr>
        <w:t>6.5</w:t>
      </w:r>
      <w:r>
        <w:rPr>
          <w:rFonts w:ascii="Times New Roman" w:eastAsiaTheme="minorHAnsi" w:hAnsi="Times New Roman"/>
          <w:color w:val="000000"/>
          <w:sz w:val="32"/>
          <w:szCs w:val="32"/>
        </w:rPr>
        <w:t xml:space="preserve">%  </w:t>
      </w:r>
    </w:p>
    <w:p w:rsidR="00431324" w:rsidRDefault="001C37D7" w:rsidP="00410B14">
      <w:pPr>
        <w:widowControl/>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Indonesia           5.2%</w:t>
      </w:r>
    </w:p>
    <w:p w:rsidR="00410B14" w:rsidRPr="00410B14" w:rsidRDefault="00410B14" w:rsidP="00410B14">
      <w:pPr>
        <w:widowControl/>
        <w:rPr>
          <w:rFonts w:ascii="Times New Roman" w:eastAsiaTheme="minorHAnsi" w:hAnsi="Times New Roman"/>
          <w:color w:val="000000"/>
          <w:sz w:val="32"/>
          <w:szCs w:val="32"/>
        </w:rPr>
      </w:pPr>
      <w:r w:rsidRPr="00410B14">
        <w:rPr>
          <w:rFonts w:ascii="Times New Roman" w:eastAsiaTheme="minorHAnsi" w:hAnsi="Times New Roman"/>
          <w:color w:val="000000"/>
          <w:sz w:val="32"/>
          <w:szCs w:val="32"/>
        </w:rPr>
        <w:t xml:space="preserve"> </w:t>
      </w:r>
      <w:r w:rsidR="001C37D7">
        <w:rPr>
          <w:rFonts w:ascii="Times New Roman" w:eastAsiaTheme="minorHAnsi" w:hAnsi="Times New Roman"/>
          <w:color w:val="000000"/>
          <w:sz w:val="32"/>
          <w:szCs w:val="32"/>
        </w:rPr>
        <w:t xml:space="preserve">    India                  7.1%</w:t>
      </w:r>
    </w:p>
    <w:p w:rsidR="00410B14" w:rsidRPr="00431324" w:rsidRDefault="00410B14" w:rsidP="00410B14">
      <w:pPr>
        <w:rPr>
          <w:rFonts w:ascii="Times New Roman" w:hAnsi="Times New Roman"/>
          <w:b/>
          <w:i/>
          <w:sz w:val="32"/>
          <w:szCs w:val="32"/>
        </w:rPr>
      </w:pPr>
      <w:r w:rsidRPr="00431324">
        <w:rPr>
          <w:rFonts w:ascii="Times New Roman" w:eastAsiaTheme="minorHAnsi" w:hAnsi="Times New Roman"/>
          <w:i/>
          <w:color w:val="000000"/>
          <w:sz w:val="32"/>
          <w:szCs w:val="32"/>
        </w:rPr>
        <w:t xml:space="preserve">(Sources: </w:t>
      </w:r>
      <w:r w:rsidR="00324EED">
        <w:rPr>
          <w:rFonts w:ascii="Times New Roman" w:eastAsiaTheme="minorHAnsi" w:hAnsi="Times New Roman"/>
          <w:i/>
          <w:color w:val="000000"/>
          <w:sz w:val="32"/>
          <w:szCs w:val="32"/>
        </w:rPr>
        <w:t xml:space="preserve">The Economist/Haver Analytics, 29 April 2017/ US </w:t>
      </w:r>
      <w:r w:rsidR="00324EED">
        <w:rPr>
          <w:rFonts w:ascii="Times New Roman" w:eastAsiaTheme="minorHAnsi" w:hAnsi="Times New Roman"/>
          <w:i/>
          <w:color w:val="000000"/>
          <w:sz w:val="32"/>
          <w:szCs w:val="32"/>
        </w:rPr>
        <w:lastRenderedPageBreak/>
        <w:t>government</w:t>
      </w:r>
      <w:r w:rsidR="00FD132B">
        <w:rPr>
          <w:rFonts w:ascii="Times New Roman" w:eastAsiaTheme="minorHAnsi" w:hAnsi="Times New Roman"/>
          <w:i/>
          <w:color w:val="000000"/>
          <w:sz w:val="32"/>
          <w:szCs w:val="32"/>
        </w:rPr>
        <w:t>/Financial Times</w:t>
      </w:r>
      <w:r w:rsidR="00BC4237">
        <w:rPr>
          <w:rFonts w:ascii="Times New Roman" w:eastAsiaTheme="minorHAnsi" w:hAnsi="Times New Roman"/>
          <w:i/>
          <w:color w:val="000000"/>
          <w:sz w:val="32"/>
          <w:szCs w:val="32"/>
        </w:rPr>
        <w:t>/Bank of Finland</w:t>
      </w:r>
      <w:r w:rsidRPr="00431324">
        <w:rPr>
          <w:rFonts w:ascii="Times New Roman" w:eastAsiaTheme="minorHAnsi" w:hAnsi="Times New Roman"/>
          <w:i/>
          <w:color w:val="000000"/>
          <w:sz w:val="32"/>
          <w:szCs w:val="32"/>
        </w:rPr>
        <w:t>)</w:t>
      </w:r>
    </w:p>
    <w:p w:rsidR="00E4180D" w:rsidRDefault="00E4180D" w:rsidP="00553996">
      <w:pPr>
        <w:rPr>
          <w:rFonts w:ascii="Times New Roman" w:hAnsi="Times New Roman"/>
          <w:b/>
          <w:sz w:val="32"/>
          <w:szCs w:val="32"/>
        </w:rPr>
      </w:pPr>
    </w:p>
    <w:p w:rsidR="00E4180D" w:rsidRDefault="00E4180D" w:rsidP="00553996">
      <w:pPr>
        <w:rPr>
          <w:rFonts w:ascii="Times New Roman" w:hAnsi="Times New Roman"/>
          <w:b/>
          <w:sz w:val="32"/>
          <w:szCs w:val="32"/>
        </w:rPr>
      </w:pPr>
    </w:p>
    <w:p w:rsidR="00E4180D" w:rsidRDefault="00E4180D" w:rsidP="00553996">
      <w:pPr>
        <w:rPr>
          <w:rFonts w:ascii="Times New Roman" w:hAnsi="Times New Roman"/>
          <w:b/>
          <w:sz w:val="32"/>
          <w:szCs w:val="32"/>
        </w:rPr>
      </w:pPr>
    </w:p>
    <w:p w:rsidR="00EF1E66" w:rsidRPr="00410B14" w:rsidRDefault="00EF1E66" w:rsidP="00525357">
      <w:pPr>
        <w:jc w:val="center"/>
        <w:rPr>
          <w:rFonts w:ascii="Times New Roman" w:hAnsi="Times New Roman"/>
          <w:sz w:val="32"/>
          <w:szCs w:val="32"/>
        </w:rPr>
      </w:pPr>
    </w:p>
    <w:sectPr w:rsidR="00EF1E66" w:rsidRPr="00410B1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F9" w:rsidRDefault="00F075F9" w:rsidP="00A7292F">
      <w:r>
        <w:separator/>
      </w:r>
    </w:p>
  </w:endnote>
  <w:endnote w:type="continuationSeparator" w:id="0">
    <w:p w:rsidR="00F075F9" w:rsidRDefault="00F075F9" w:rsidP="00A7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charset w:val="00"/>
    <w:family w:val="roman"/>
    <w:pitch w:val="fixed"/>
    <w:sig w:usb0="00000003" w:usb1="00000000" w:usb2="00000000" w:usb3="00000000" w:csb0="00000001" w:csb1="00000000"/>
  </w:font>
  <w:font w:name="aleoregular">
    <w:altName w:val="Times New Roman"/>
    <w:charset w:val="00"/>
    <w:family w:val="auto"/>
    <w:pitch w:val="default"/>
  </w:font>
  <w:font w:name="Austin News Text Sem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ArialMT">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47295"/>
      <w:docPartObj>
        <w:docPartGallery w:val="Page Numbers (Bottom of Page)"/>
        <w:docPartUnique/>
      </w:docPartObj>
    </w:sdtPr>
    <w:sdtEndPr>
      <w:rPr>
        <w:noProof/>
      </w:rPr>
    </w:sdtEndPr>
    <w:sdtContent>
      <w:p w:rsidR="00027028" w:rsidRDefault="00027028">
        <w:pPr>
          <w:pStyle w:val="Footer"/>
          <w:jc w:val="right"/>
        </w:pPr>
        <w:r>
          <w:fldChar w:fldCharType="begin"/>
        </w:r>
        <w:r>
          <w:instrText xml:space="preserve"> PAGE   \* MERGEFORMAT </w:instrText>
        </w:r>
        <w:r>
          <w:fldChar w:fldCharType="separate"/>
        </w:r>
        <w:r w:rsidR="00D755EE">
          <w:rPr>
            <w:noProof/>
          </w:rPr>
          <w:t>1</w:t>
        </w:r>
        <w:r>
          <w:rPr>
            <w:noProof/>
          </w:rPr>
          <w:fldChar w:fldCharType="end"/>
        </w:r>
      </w:p>
    </w:sdtContent>
  </w:sdt>
  <w:p w:rsidR="00027028" w:rsidRDefault="00027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F9" w:rsidRDefault="00F075F9" w:rsidP="00A7292F">
      <w:r>
        <w:separator/>
      </w:r>
    </w:p>
  </w:footnote>
  <w:footnote w:type="continuationSeparator" w:id="0">
    <w:p w:rsidR="00F075F9" w:rsidRDefault="00F075F9" w:rsidP="00A72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AAE"/>
    <w:multiLevelType w:val="hybridMultilevel"/>
    <w:tmpl w:val="4380D6BA"/>
    <w:lvl w:ilvl="0" w:tplc="1B668EDE">
      <w:start w:val="1"/>
      <w:numFmt w:val="decimal"/>
      <w:lvlText w:val="%1."/>
      <w:lvlJc w:val="left"/>
      <w:pPr>
        <w:ind w:left="855" w:hanging="360"/>
      </w:pPr>
      <w:rPr>
        <w:rFonts w:ascii="Times New Roman" w:eastAsiaTheme="minorHAnsi" w:hAnsi="Times New Roman" w:cs="Times New Roman"/>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76F2A98"/>
    <w:multiLevelType w:val="hybridMultilevel"/>
    <w:tmpl w:val="779E58EC"/>
    <w:lvl w:ilvl="0" w:tplc="F18AD76A">
      <w:start w:val="1"/>
      <w:numFmt w:val="bullet"/>
      <w:lvlText w:val="•"/>
      <w:lvlJc w:val="left"/>
      <w:pPr>
        <w:tabs>
          <w:tab w:val="num" w:pos="720"/>
        </w:tabs>
        <w:ind w:left="720" w:hanging="360"/>
      </w:pPr>
      <w:rPr>
        <w:rFonts w:ascii="Arial" w:hAnsi="Arial" w:hint="default"/>
      </w:rPr>
    </w:lvl>
    <w:lvl w:ilvl="1" w:tplc="7B1ED422" w:tentative="1">
      <w:start w:val="1"/>
      <w:numFmt w:val="bullet"/>
      <w:lvlText w:val="•"/>
      <w:lvlJc w:val="left"/>
      <w:pPr>
        <w:tabs>
          <w:tab w:val="num" w:pos="1440"/>
        </w:tabs>
        <w:ind w:left="1440" w:hanging="360"/>
      </w:pPr>
      <w:rPr>
        <w:rFonts w:ascii="Arial" w:hAnsi="Arial" w:hint="default"/>
      </w:rPr>
    </w:lvl>
    <w:lvl w:ilvl="2" w:tplc="B69AAD06" w:tentative="1">
      <w:start w:val="1"/>
      <w:numFmt w:val="bullet"/>
      <w:lvlText w:val="•"/>
      <w:lvlJc w:val="left"/>
      <w:pPr>
        <w:tabs>
          <w:tab w:val="num" w:pos="2160"/>
        </w:tabs>
        <w:ind w:left="2160" w:hanging="360"/>
      </w:pPr>
      <w:rPr>
        <w:rFonts w:ascii="Arial" w:hAnsi="Arial" w:hint="default"/>
      </w:rPr>
    </w:lvl>
    <w:lvl w:ilvl="3" w:tplc="3A7E62E4" w:tentative="1">
      <w:start w:val="1"/>
      <w:numFmt w:val="bullet"/>
      <w:lvlText w:val="•"/>
      <w:lvlJc w:val="left"/>
      <w:pPr>
        <w:tabs>
          <w:tab w:val="num" w:pos="2880"/>
        </w:tabs>
        <w:ind w:left="2880" w:hanging="360"/>
      </w:pPr>
      <w:rPr>
        <w:rFonts w:ascii="Arial" w:hAnsi="Arial" w:hint="default"/>
      </w:rPr>
    </w:lvl>
    <w:lvl w:ilvl="4" w:tplc="3D1CE29A" w:tentative="1">
      <w:start w:val="1"/>
      <w:numFmt w:val="bullet"/>
      <w:lvlText w:val="•"/>
      <w:lvlJc w:val="left"/>
      <w:pPr>
        <w:tabs>
          <w:tab w:val="num" w:pos="3600"/>
        </w:tabs>
        <w:ind w:left="3600" w:hanging="360"/>
      </w:pPr>
      <w:rPr>
        <w:rFonts w:ascii="Arial" w:hAnsi="Arial" w:hint="default"/>
      </w:rPr>
    </w:lvl>
    <w:lvl w:ilvl="5" w:tplc="EA72988E" w:tentative="1">
      <w:start w:val="1"/>
      <w:numFmt w:val="bullet"/>
      <w:lvlText w:val="•"/>
      <w:lvlJc w:val="left"/>
      <w:pPr>
        <w:tabs>
          <w:tab w:val="num" w:pos="4320"/>
        </w:tabs>
        <w:ind w:left="4320" w:hanging="360"/>
      </w:pPr>
      <w:rPr>
        <w:rFonts w:ascii="Arial" w:hAnsi="Arial" w:hint="default"/>
      </w:rPr>
    </w:lvl>
    <w:lvl w:ilvl="6" w:tplc="15CEF0B0" w:tentative="1">
      <w:start w:val="1"/>
      <w:numFmt w:val="bullet"/>
      <w:lvlText w:val="•"/>
      <w:lvlJc w:val="left"/>
      <w:pPr>
        <w:tabs>
          <w:tab w:val="num" w:pos="5040"/>
        </w:tabs>
        <w:ind w:left="5040" w:hanging="360"/>
      </w:pPr>
      <w:rPr>
        <w:rFonts w:ascii="Arial" w:hAnsi="Arial" w:hint="default"/>
      </w:rPr>
    </w:lvl>
    <w:lvl w:ilvl="7" w:tplc="2F3431B4" w:tentative="1">
      <w:start w:val="1"/>
      <w:numFmt w:val="bullet"/>
      <w:lvlText w:val="•"/>
      <w:lvlJc w:val="left"/>
      <w:pPr>
        <w:tabs>
          <w:tab w:val="num" w:pos="5760"/>
        </w:tabs>
        <w:ind w:left="5760" w:hanging="360"/>
      </w:pPr>
      <w:rPr>
        <w:rFonts w:ascii="Arial" w:hAnsi="Arial" w:hint="default"/>
      </w:rPr>
    </w:lvl>
    <w:lvl w:ilvl="8" w:tplc="4EB62302" w:tentative="1">
      <w:start w:val="1"/>
      <w:numFmt w:val="bullet"/>
      <w:lvlText w:val="•"/>
      <w:lvlJc w:val="left"/>
      <w:pPr>
        <w:tabs>
          <w:tab w:val="num" w:pos="6480"/>
        </w:tabs>
        <w:ind w:left="6480" w:hanging="360"/>
      </w:pPr>
      <w:rPr>
        <w:rFonts w:ascii="Arial" w:hAnsi="Arial" w:hint="default"/>
      </w:rPr>
    </w:lvl>
  </w:abstractNum>
  <w:abstractNum w:abstractNumId="2">
    <w:nsid w:val="1E295262"/>
    <w:multiLevelType w:val="hybridMultilevel"/>
    <w:tmpl w:val="EE6C3228"/>
    <w:lvl w:ilvl="0" w:tplc="B5A625DC">
      <w:start w:val="1"/>
      <w:numFmt w:val="upperRoman"/>
      <w:lvlText w:val="%1."/>
      <w:lvlJc w:val="left"/>
      <w:pPr>
        <w:ind w:left="1530"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26EA0B89"/>
    <w:multiLevelType w:val="hybridMultilevel"/>
    <w:tmpl w:val="5980FE1A"/>
    <w:lvl w:ilvl="0" w:tplc="E6CA8CF0">
      <w:start w:val="1"/>
      <w:numFmt w:val="bullet"/>
      <w:lvlText w:val="•"/>
      <w:lvlJc w:val="left"/>
      <w:pPr>
        <w:tabs>
          <w:tab w:val="num" w:pos="720"/>
        </w:tabs>
        <w:ind w:left="720" w:hanging="360"/>
      </w:pPr>
      <w:rPr>
        <w:rFonts w:ascii="Arial" w:hAnsi="Arial" w:hint="default"/>
      </w:rPr>
    </w:lvl>
    <w:lvl w:ilvl="1" w:tplc="33F0CBCC" w:tentative="1">
      <w:start w:val="1"/>
      <w:numFmt w:val="bullet"/>
      <w:lvlText w:val="•"/>
      <w:lvlJc w:val="left"/>
      <w:pPr>
        <w:tabs>
          <w:tab w:val="num" w:pos="1440"/>
        </w:tabs>
        <w:ind w:left="1440" w:hanging="360"/>
      </w:pPr>
      <w:rPr>
        <w:rFonts w:ascii="Arial" w:hAnsi="Arial" w:hint="default"/>
      </w:rPr>
    </w:lvl>
    <w:lvl w:ilvl="2" w:tplc="03EA90F2" w:tentative="1">
      <w:start w:val="1"/>
      <w:numFmt w:val="bullet"/>
      <w:lvlText w:val="•"/>
      <w:lvlJc w:val="left"/>
      <w:pPr>
        <w:tabs>
          <w:tab w:val="num" w:pos="2160"/>
        </w:tabs>
        <w:ind w:left="2160" w:hanging="360"/>
      </w:pPr>
      <w:rPr>
        <w:rFonts w:ascii="Arial" w:hAnsi="Arial" w:hint="default"/>
      </w:rPr>
    </w:lvl>
    <w:lvl w:ilvl="3" w:tplc="FA7E644C" w:tentative="1">
      <w:start w:val="1"/>
      <w:numFmt w:val="bullet"/>
      <w:lvlText w:val="•"/>
      <w:lvlJc w:val="left"/>
      <w:pPr>
        <w:tabs>
          <w:tab w:val="num" w:pos="2880"/>
        </w:tabs>
        <w:ind w:left="2880" w:hanging="360"/>
      </w:pPr>
      <w:rPr>
        <w:rFonts w:ascii="Arial" w:hAnsi="Arial" w:hint="default"/>
      </w:rPr>
    </w:lvl>
    <w:lvl w:ilvl="4" w:tplc="0C3C9606" w:tentative="1">
      <w:start w:val="1"/>
      <w:numFmt w:val="bullet"/>
      <w:lvlText w:val="•"/>
      <w:lvlJc w:val="left"/>
      <w:pPr>
        <w:tabs>
          <w:tab w:val="num" w:pos="3600"/>
        </w:tabs>
        <w:ind w:left="3600" w:hanging="360"/>
      </w:pPr>
      <w:rPr>
        <w:rFonts w:ascii="Arial" w:hAnsi="Arial" w:hint="default"/>
      </w:rPr>
    </w:lvl>
    <w:lvl w:ilvl="5" w:tplc="E7DC7DB2" w:tentative="1">
      <w:start w:val="1"/>
      <w:numFmt w:val="bullet"/>
      <w:lvlText w:val="•"/>
      <w:lvlJc w:val="left"/>
      <w:pPr>
        <w:tabs>
          <w:tab w:val="num" w:pos="4320"/>
        </w:tabs>
        <w:ind w:left="4320" w:hanging="360"/>
      </w:pPr>
      <w:rPr>
        <w:rFonts w:ascii="Arial" w:hAnsi="Arial" w:hint="default"/>
      </w:rPr>
    </w:lvl>
    <w:lvl w:ilvl="6" w:tplc="95C40E56" w:tentative="1">
      <w:start w:val="1"/>
      <w:numFmt w:val="bullet"/>
      <w:lvlText w:val="•"/>
      <w:lvlJc w:val="left"/>
      <w:pPr>
        <w:tabs>
          <w:tab w:val="num" w:pos="5040"/>
        </w:tabs>
        <w:ind w:left="5040" w:hanging="360"/>
      </w:pPr>
      <w:rPr>
        <w:rFonts w:ascii="Arial" w:hAnsi="Arial" w:hint="default"/>
      </w:rPr>
    </w:lvl>
    <w:lvl w:ilvl="7" w:tplc="56148E50" w:tentative="1">
      <w:start w:val="1"/>
      <w:numFmt w:val="bullet"/>
      <w:lvlText w:val="•"/>
      <w:lvlJc w:val="left"/>
      <w:pPr>
        <w:tabs>
          <w:tab w:val="num" w:pos="5760"/>
        </w:tabs>
        <w:ind w:left="5760" w:hanging="360"/>
      </w:pPr>
      <w:rPr>
        <w:rFonts w:ascii="Arial" w:hAnsi="Arial" w:hint="default"/>
      </w:rPr>
    </w:lvl>
    <w:lvl w:ilvl="8" w:tplc="046268E0" w:tentative="1">
      <w:start w:val="1"/>
      <w:numFmt w:val="bullet"/>
      <w:lvlText w:val="•"/>
      <w:lvlJc w:val="left"/>
      <w:pPr>
        <w:tabs>
          <w:tab w:val="num" w:pos="6480"/>
        </w:tabs>
        <w:ind w:left="6480" w:hanging="360"/>
      </w:pPr>
      <w:rPr>
        <w:rFonts w:ascii="Arial" w:hAnsi="Arial" w:hint="default"/>
      </w:rPr>
    </w:lvl>
  </w:abstractNum>
  <w:abstractNum w:abstractNumId="4">
    <w:nsid w:val="31036F0D"/>
    <w:multiLevelType w:val="hybridMultilevel"/>
    <w:tmpl w:val="42E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E7DE1"/>
    <w:multiLevelType w:val="hybridMultilevel"/>
    <w:tmpl w:val="07466216"/>
    <w:lvl w:ilvl="0" w:tplc="52501AF8">
      <w:start w:val="1"/>
      <w:numFmt w:val="bullet"/>
      <w:lvlText w:val="•"/>
      <w:lvlJc w:val="left"/>
      <w:pPr>
        <w:tabs>
          <w:tab w:val="num" w:pos="720"/>
        </w:tabs>
        <w:ind w:left="720" w:hanging="360"/>
      </w:pPr>
      <w:rPr>
        <w:rFonts w:ascii="Arial" w:hAnsi="Arial" w:hint="default"/>
      </w:rPr>
    </w:lvl>
    <w:lvl w:ilvl="1" w:tplc="DE74AAC8" w:tentative="1">
      <w:start w:val="1"/>
      <w:numFmt w:val="bullet"/>
      <w:lvlText w:val="•"/>
      <w:lvlJc w:val="left"/>
      <w:pPr>
        <w:tabs>
          <w:tab w:val="num" w:pos="1440"/>
        </w:tabs>
        <w:ind w:left="1440" w:hanging="360"/>
      </w:pPr>
      <w:rPr>
        <w:rFonts w:ascii="Arial" w:hAnsi="Arial" w:hint="default"/>
      </w:rPr>
    </w:lvl>
    <w:lvl w:ilvl="2" w:tplc="60B80FDC" w:tentative="1">
      <w:start w:val="1"/>
      <w:numFmt w:val="bullet"/>
      <w:lvlText w:val="•"/>
      <w:lvlJc w:val="left"/>
      <w:pPr>
        <w:tabs>
          <w:tab w:val="num" w:pos="2160"/>
        </w:tabs>
        <w:ind w:left="2160" w:hanging="360"/>
      </w:pPr>
      <w:rPr>
        <w:rFonts w:ascii="Arial" w:hAnsi="Arial" w:hint="default"/>
      </w:rPr>
    </w:lvl>
    <w:lvl w:ilvl="3" w:tplc="F23EFA6A" w:tentative="1">
      <w:start w:val="1"/>
      <w:numFmt w:val="bullet"/>
      <w:lvlText w:val="•"/>
      <w:lvlJc w:val="left"/>
      <w:pPr>
        <w:tabs>
          <w:tab w:val="num" w:pos="2880"/>
        </w:tabs>
        <w:ind w:left="2880" w:hanging="360"/>
      </w:pPr>
      <w:rPr>
        <w:rFonts w:ascii="Arial" w:hAnsi="Arial" w:hint="default"/>
      </w:rPr>
    </w:lvl>
    <w:lvl w:ilvl="4" w:tplc="6B8EB464" w:tentative="1">
      <w:start w:val="1"/>
      <w:numFmt w:val="bullet"/>
      <w:lvlText w:val="•"/>
      <w:lvlJc w:val="left"/>
      <w:pPr>
        <w:tabs>
          <w:tab w:val="num" w:pos="3600"/>
        </w:tabs>
        <w:ind w:left="3600" w:hanging="360"/>
      </w:pPr>
      <w:rPr>
        <w:rFonts w:ascii="Arial" w:hAnsi="Arial" w:hint="default"/>
      </w:rPr>
    </w:lvl>
    <w:lvl w:ilvl="5" w:tplc="10365EEA" w:tentative="1">
      <w:start w:val="1"/>
      <w:numFmt w:val="bullet"/>
      <w:lvlText w:val="•"/>
      <w:lvlJc w:val="left"/>
      <w:pPr>
        <w:tabs>
          <w:tab w:val="num" w:pos="4320"/>
        </w:tabs>
        <w:ind w:left="4320" w:hanging="360"/>
      </w:pPr>
      <w:rPr>
        <w:rFonts w:ascii="Arial" w:hAnsi="Arial" w:hint="default"/>
      </w:rPr>
    </w:lvl>
    <w:lvl w:ilvl="6" w:tplc="B676654E" w:tentative="1">
      <w:start w:val="1"/>
      <w:numFmt w:val="bullet"/>
      <w:lvlText w:val="•"/>
      <w:lvlJc w:val="left"/>
      <w:pPr>
        <w:tabs>
          <w:tab w:val="num" w:pos="5040"/>
        </w:tabs>
        <w:ind w:left="5040" w:hanging="360"/>
      </w:pPr>
      <w:rPr>
        <w:rFonts w:ascii="Arial" w:hAnsi="Arial" w:hint="default"/>
      </w:rPr>
    </w:lvl>
    <w:lvl w:ilvl="7" w:tplc="B68E002A" w:tentative="1">
      <w:start w:val="1"/>
      <w:numFmt w:val="bullet"/>
      <w:lvlText w:val="•"/>
      <w:lvlJc w:val="left"/>
      <w:pPr>
        <w:tabs>
          <w:tab w:val="num" w:pos="5760"/>
        </w:tabs>
        <w:ind w:left="5760" w:hanging="360"/>
      </w:pPr>
      <w:rPr>
        <w:rFonts w:ascii="Arial" w:hAnsi="Arial" w:hint="default"/>
      </w:rPr>
    </w:lvl>
    <w:lvl w:ilvl="8" w:tplc="C1A8EAD0" w:tentative="1">
      <w:start w:val="1"/>
      <w:numFmt w:val="bullet"/>
      <w:lvlText w:val="•"/>
      <w:lvlJc w:val="left"/>
      <w:pPr>
        <w:tabs>
          <w:tab w:val="num" w:pos="6480"/>
        </w:tabs>
        <w:ind w:left="6480" w:hanging="360"/>
      </w:pPr>
      <w:rPr>
        <w:rFonts w:ascii="Arial" w:hAnsi="Arial" w:hint="default"/>
      </w:rPr>
    </w:lvl>
  </w:abstractNum>
  <w:abstractNum w:abstractNumId="6">
    <w:nsid w:val="3D204387"/>
    <w:multiLevelType w:val="hybridMultilevel"/>
    <w:tmpl w:val="D8CA48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0971E8A"/>
    <w:multiLevelType w:val="hybridMultilevel"/>
    <w:tmpl w:val="2A600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101FFC"/>
    <w:multiLevelType w:val="hybridMultilevel"/>
    <w:tmpl w:val="BEF2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104C6"/>
    <w:multiLevelType w:val="hybridMultilevel"/>
    <w:tmpl w:val="5FD4A61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432C30F2"/>
    <w:multiLevelType w:val="hybridMultilevel"/>
    <w:tmpl w:val="B6660CDC"/>
    <w:lvl w:ilvl="0" w:tplc="8632AE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473B5E"/>
    <w:multiLevelType w:val="hybridMultilevel"/>
    <w:tmpl w:val="EE6C3228"/>
    <w:lvl w:ilvl="0" w:tplc="B5A625DC">
      <w:start w:val="1"/>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4B216F8C"/>
    <w:multiLevelType w:val="hybridMultilevel"/>
    <w:tmpl w:val="25E8957C"/>
    <w:lvl w:ilvl="0" w:tplc="3B0A80BE">
      <w:start w:val="1"/>
      <w:numFmt w:val="bullet"/>
      <w:lvlText w:val="•"/>
      <w:lvlJc w:val="left"/>
      <w:pPr>
        <w:tabs>
          <w:tab w:val="num" w:pos="720"/>
        </w:tabs>
        <w:ind w:left="720" w:hanging="360"/>
      </w:pPr>
      <w:rPr>
        <w:rFonts w:ascii="Arial" w:hAnsi="Arial" w:hint="default"/>
      </w:rPr>
    </w:lvl>
    <w:lvl w:ilvl="1" w:tplc="6DD4C664" w:tentative="1">
      <w:start w:val="1"/>
      <w:numFmt w:val="bullet"/>
      <w:lvlText w:val="•"/>
      <w:lvlJc w:val="left"/>
      <w:pPr>
        <w:tabs>
          <w:tab w:val="num" w:pos="1440"/>
        </w:tabs>
        <w:ind w:left="1440" w:hanging="360"/>
      </w:pPr>
      <w:rPr>
        <w:rFonts w:ascii="Arial" w:hAnsi="Arial" w:hint="default"/>
      </w:rPr>
    </w:lvl>
    <w:lvl w:ilvl="2" w:tplc="A81825EC" w:tentative="1">
      <w:start w:val="1"/>
      <w:numFmt w:val="bullet"/>
      <w:lvlText w:val="•"/>
      <w:lvlJc w:val="left"/>
      <w:pPr>
        <w:tabs>
          <w:tab w:val="num" w:pos="2160"/>
        </w:tabs>
        <w:ind w:left="2160" w:hanging="360"/>
      </w:pPr>
      <w:rPr>
        <w:rFonts w:ascii="Arial" w:hAnsi="Arial" w:hint="default"/>
      </w:rPr>
    </w:lvl>
    <w:lvl w:ilvl="3" w:tplc="42308A34" w:tentative="1">
      <w:start w:val="1"/>
      <w:numFmt w:val="bullet"/>
      <w:lvlText w:val="•"/>
      <w:lvlJc w:val="left"/>
      <w:pPr>
        <w:tabs>
          <w:tab w:val="num" w:pos="2880"/>
        </w:tabs>
        <w:ind w:left="2880" w:hanging="360"/>
      </w:pPr>
      <w:rPr>
        <w:rFonts w:ascii="Arial" w:hAnsi="Arial" w:hint="default"/>
      </w:rPr>
    </w:lvl>
    <w:lvl w:ilvl="4" w:tplc="75FCAF98" w:tentative="1">
      <w:start w:val="1"/>
      <w:numFmt w:val="bullet"/>
      <w:lvlText w:val="•"/>
      <w:lvlJc w:val="left"/>
      <w:pPr>
        <w:tabs>
          <w:tab w:val="num" w:pos="3600"/>
        </w:tabs>
        <w:ind w:left="3600" w:hanging="360"/>
      </w:pPr>
      <w:rPr>
        <w:rFonts w:ascii="Arial" w:hAnsi="Arial" w:hint="default"/>
      </w:rPr>
    </w:lvl>
    <w:lvl w:ilvl="5" w:tplc="071E5C66" w:tentative="1">
      <w:start w:val="1"/>
      <w:numFmt w:val="bullet"/>
      <w:lvlText w:val="•"/>
      <w:lvlJc w:val="left"/>
      <w:pPr>
        <w:tabs>
          <w:tab w:val="num" w:pos="4320"/>
        </w:tabs>
        <w:ind w:left="4320" w:hanging="360"/>
      </w:pPr>
      <w:rPr>
        <w:rFonts w:ascii="Arial" w:hAnsi="Arial" w:hint="default"/>
      </w:rPr>
    </w:lvl>
    <w:lvl w:ilvl="6" w:tplc="1A4663AA" w:tentative="1">
      <w:start w:val="1"/>
      <w:numFmt w:val="bullet"/>
      <w:lvlText w:val="•"/>
      <w:lvlJc w:val="left"/>
      <w:pPr>
        <w:tabs>
          <w:tab w:val="num" w:pos="5040"/>
        </w:tabs>
        <w:ind w:left="5040" w:hanging="360"/>
      </w:pPr>
      <w:rPr>
        <w:rFonts w:ascii="Arial" w:hAnsi="Arial" w:hint="default"/>
      </w:rPr>
    </w:lvl>
    <w:lvl w:ilvl="7" w:tplc="D5D4DFB6" w:tentative="1">
      <w:start w:val="1"/>
      <w:numFmt w:val="bullet"/>
      <w:lvlText w:val="•"/>
      <w:lvlJc w:val="left"/>
      <w:pPr>
        <w:tabs>
          <w:tab w:val="num" w:pos="5760"/>
        </w:tabs>
        <w:ind w:left="5760" w:hanging="360"/>
      </w:pPr>
      <w:rPr>
        <w:rFonts w:ascii="Arial" w:hAnsi="Arial" w:hint="default"/>
      </w:rPr>
    </w:lvl>
    <w:lvl w:ilvl="8" w:tplc="F9783C20" w:tentative="1">
      <w:start w:val="1"/>
      <w:numFmt w:val="bullet"/>
      <w:lvlText w:val="•"/>
      <w:lvlJc w:val="left"/>
      <w:pPr>
        <w:tabs>
          <w:tab w:val="num" w:pos="6480"/>
        </w:tabs>
        <w:ind w:left="6480" w:hanging="360"/>
      </w:pPr>
      <w:rPr>
        <w:rFonts w:ascii="Arial" w:hAnsi="Arial" w:hint="default"/>
      </w:rPr>
    </w:lvl>
  </w:abstractNum>
  <w:abstractNum w:abstractNumId="13">
    <w:nsid w:val="4E8C1A29"/>
    <w:multiLevelType w:val="hybridMultilevel"/>
    <w:tmpl w:val="AF5A895C"/>
    <w:lvl w:ilvl="0" w:tplc="1750CED4">
      <w:start w:val="1"/>
      <w:numFmt w:val="bullet"/>
      <w:lvlText w:val="-"/>
      <w:lvlJc w:val="left"/>
      <w:pPr>
        <w:tabs>
          <w:tab w:val="num" w:pos="720"/>
        </w:tabs>
        <w:ind w:left="720" w:hanging="360"/>
      </w:pPr>
      <w:rPr>
        <w:rFonts w:ascii="Times New Roman" w:hAnsi="Times New Roman" w:hint="default"/>
      </w:rPr>
    </w:lvl>
    <w:lvl w:ilvl="1" w:tplc="16FE55D8" w:tentative="1">
      <w:start w:val="1"/>
      <w:numFmt w:val="bullet"/>
      <w:lvlText w:val="-"/>
      <w:lvlJc w:val="left"/>
      <w:pPr>
        <w:tabs>
          <w:tab w:val="num" w:pos="1440"/>
        </w:tabs>
        <w:ind w:left="1440" w:hanging="360"/>
      </w:pPr>
      <w:rPr>
        <w:rFonts w:ascii="Times New Roman" w:hAnsi="Times New Roman" w:hint="default"/>
      </w:rPr>
    </w:lvl>
    <w:lvl w:ilvl="2" w:tplc="B262D638" w:tentative="1">
      <w:start w:val="1"/>
      <w:numFmt w:val="bullet"/>
      <w:lvlText w:val="-"/>
      <w:lvlJc w:val="left"/>
      <w:pPr>
        <w:tabs>
          <w:tab w:val="num" w:pos="2160"/>
        </w:tabs>
        <w:ind w:left="2160" w:hanging="360"/>
      </w:pPr>
      <w:rPr>
        <w:rFonts w:ascii="Times New Roman" w:hAnsi="Times New Roman" w:hint="default"/>
      </w:rPr>
    </w:lvl>
    <w:lvl w:ilvl="3" w:tplc="CBD2B504" w:tentative="1">
      <w:start w:val="1"/>
      <w:numFmt w:val="bullet"/>
      <w:lvlText w:val="-"/>
      <w:lvlJc w:val="left"/>
      <w:pPr>
        <w:tabs>
          <w:tab w:val="num" w:pos="2880"/>
        </w:tabs>
        <w:ind w:left="2880" w:hanging="360"/>
      </w:pPr>
      <w:rPr>
        <w:rFonts w:ascii="Times New Roman" w:hAnsi="Times New Roman" w:hint="default"/>
      </w:rPr>
    </w:lvl>
    <w:lvl w:ilvl="4" w:tplc="D3E23B8E" w:tentative="1">
      <w:start w:val="1"/>
      <w:numFmt w:val="bullet"/>
      <w:lvlText w:val="-"/>
      <w:lvlJc w:val="left"/>
      <w:pPr>
        <w:tabs>
          <w:tab w:val="num" w:pos="3600"/>
        </w:tabs>
        <w:ind w:left="3600" w:hanging="360"/>
      </w:pPr>
      <w:rPr>
        <w:rFonts w:ascii="Times New Roman" w:hAnsi="Times New Roman" w:hint="default"/>
      </w:rPr>
    </w:lvl>
    <w:lvl w:ilvl="5" w:tplc="4A806366" w:tentative="1">
      <w:start w:val="1"/>
      <w:numFmt w:val="bullet"/>
      <w:lvlText w:val="-"/>
      <w:lvlJc w:val="left"/>
      <w:pPr>
        <w:tabs>
          <w:tab w:val="num" w:pos="4320"/>
        </w:tabs>
        <w:ind w:left="4320" w:hanging="360"/>
      </w:pPr>
      <w:rPr>
        <w:rFonts w:ascii="Times New Roman" w:hAnsi="Times New Roman" w:hint="default"/>
      </w:rPr>
    </w:lvl>
    <w:lvl w:ilvl="6" w:tplc="C9A2059C" w:tentative="1">
      <w:start w:val="1"/>
      <w:numFmt w:val="bullet"/>
      <w:lvlText w:val="-"/>
      <w:lvlJc w:val="left"/>
      <w:pPr>
        <w:tabs>
          <w:tab w:val="num" w:pos="5040"/>
        </w:tabs>
        <w:ind w:left="5040" w:hanging="360"/>
      </w:pPr>
      <w:rPr>
        <w:rFonts w:ascii="Times New Roman" w:hAnsi="Times New Roman" w:hint="default"/>
      </w:rPr>
    </w:lvl>
    <w:lvl w:ilvl="7" w:tplc="B5BA2DD4" w:tentative="1">
      <w:start w:val="1"/>
      <w:numFmt w:val="bullet"/>
      <w:lvlText w:val="-"/>
      <w:lvlJc w:val="left"/>
      <w:pPr>
        <w:tabs>
          <w:tab w:val="num" w:pos="5760"/>
        </w:tabs>
        <w:ind w:left="5760" w:hanging="360"/>
      </w:pPr>
      <w:rPr>
        <w:rFonts w:ascii="Times New Roman" w:hAnsi="Times New Roman" w:hint="default"/>
      </w:rPr>
    </w:lvl>
    <w:lvl w:ilvl="8" w:tplc="A45AA26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DE2B04"/>
    <w:multiLevelType w:val="hybridMultilevel"/>
    <w:tmpl w:val="EB2A541A"/>
    <w:lvl w:ilvl="0" w:tplc="DCFE878C">
      <w:start w:val="1"/>
      <w:numFmt w:val="bullet"/>
      <w:lvlText w:val="•"/>
      <w:lvlJc w:val="left"/>
      <w:pPr>
        <w:tabs>
          <w:tab w:val="num" w:pos="720"/>
        </w:tabs>
        <w:ind w:left="720" w:hanging="360"/>
      </w:pPr>
      <w:rPr>
        <w:rFonts w:ascii="Arial" w:hAnsi="Arial" w:hint="default"/>
      </w:rPr>
    </w:lvl>
    <w:lvl w:ilvl="1" w:tplc="75025C5E" w:tentative="1">
      <w:start w:val="1"/>
      <w:numFmt w:val="bullet"/>
      <w:lvlText w:val="•"/>
      <w:lvlJc w:val="left"/>
      <w:pPr>
        <w:tabs>
          <w:tab w:val="num" w:pos="1440"/>
        </w:tabs>
        <w:ind w:left="1440" w:hanging="360"/>
      </w:pPr>
      <w:rPr>
        <w:rFonts w:ascii="Arial" w:hAnsi="Arial" w:hint="default"/>
      </w:rPr>
    </w:lvl>
    <w:lvl w:ilvl="2" w:tplc="FD8A3E54" w:tentative="1">
      <w:start w:val="1"/>
      <w:numFmt w:val="bullet"/>
      <w:lvlText w:val="•"/>
      <w:lvlJc w:val="left"/>
      <w:pPr>
        <w:tabs>
          <w:tab w:val="num" w:pos="2160"/>
        </w:tabs>
        <w:ind w:left="2160" w:hanging="360"/>
      </w:pPr>
      <w:rPr>
        <w:rFonts w:ascii="Arial" w:hAnsi="Arial" w:hint="default"/>
      </w:rPr>
    </w:lvl>
    <w:lvl w:ilvl="3" w:tplc="76621DD8" w:tentative="1">
      <w:start w:val="1"/>
      <w:numFmt w:val="bullet"/>
      <w:lvlText w:val="•"/>
      <w:lvlJc w:val="left"/>
      <w:pPr>
        <w:tabs>
          <w:tab w:val="num" w:pos="2880"/>
        </w:tabs>
        <w:ind w:left="2880" w:hanging="360"/>
      </w:pPr>
      <w:rPr>
        <w:rFonts w:ascii="Arial" w:hAnsi="Arial" w:hint="default"/>
      </w:rPr>
    </w:lvl>
    <w:lvl w:ilvl="4" w:tplc="68A292D6" w:tentative="1">
      <w:start w:val="1"/>
      <w:numFmt w:val="bullet"/>
      <w:lvlText w:val="•"/>
      <w:lvlJc w:val="left"/>
      <w:pPr>
        <w:tabs>
          <w:tab w:val="num" w:pos="3600"/>
        </w:tabs>
        <w:ind w:left="3600" w:hanging="360"/>
      </w:pPr>
      <w:rPr>
        <w:rFonts w:ascii="Arial" w:hAnsi="Arial" w:hint="default"/>
      </w:rPr>
    </w:lvl>
    <w:lvl w:ilvl="5" w:tplc="B19081D6" w:tentative="1">
      <w:start w:val="1"/>
      <w:numFmt w:val="bullet"/>
      <w:lvlText w:val="•"/>
      <w:lvlJc w:val="left"/>
      <w:pPr>
        <w:tabs>
          <w:tab w:val="num" w:pos="4320"/>
        </w:tabs>
        <w:ind w:left="4320" w:hanging="360"/>
      </w:pPr>
      <w:rPr>
        <w:rFonts w:ascii="Arial" w:hAnsi="Arial" w:hint="default"/>
      </w:rPr>
    </w:lvl>
    <w:lvl w:ilvl="6" w:tplc="64127A92" w:tentative="1">
      <w:start w:val="1"/>
      <w:numFmt w:val="bullet"/>
      <w:lvlText w:val="•"/>
      <w:lvlJc w:val="left"/>
      <w:pPr>
        <w:tabs>
          <w:tab w:val="num" w:pos="5040"/>
        </w:tabs>
        <w:ind w:left="5040" w:hanging="360"/>
      </w:pPr>
      <w:rPr>
        <w:rFonts w:ascii="Arial" w:hAnsi="Arial" w:hint="default"/>
      </w:rPr>
    </w:lvl>
    <w:lvl w:ilvl="7" w:tplc="B50E4EBA" w:tentative="1">
      <w:start w:val="1"/>
      <w:numFmt w:val="bullet"/>
      <w:lvlText w:val="•"/>
      <w:lvlJc w:val="left"/>
      <w:pPr>
        <w:tabs>
          <w:tab w:val="num" w:pos="5760"/>
        </w:tabs>
        <w:ind w:left="5760" w:hanging="360"/>
      </w:pPr>
      <w:rPr>
        <w:rFonts w:ascii="Arial" w:hAnsi="Arial" w:hint="default"/>
      </w:rPr>
    </w:lvl>
    <w:lvl w:ilvl="8" w:tplc="A21815D6" w:tentative="1">
      <w:start w:val="1"/>
      <w:numFmt w:val="bullet"/>
      <w:lvlText w:val="•"/>
      <w:lvlJc w:val="left"/>
      <w:pPr>
        <w:tabs>
          <w:tab w:val="num" w:pos="6480"/>
        </w:tabs>
        <w:ind w:left="6480" w:hanging="360"/>
      </w:pPr>
      <w:rPr>
        <w:rFonts w:ascii="Arial" w:hAnsi="Arial" w:hint="default"/>
      </w:rPr>
    </w:lvl>
  </w:abstractNum>
  <w:abstractNum w:abstractNumId="15">
    <w:nsid w:val="611F34A0"/>
    <w:multiLevelType w:val="hybridMultilevel"/>
    <w:tmpl w:val="C07A92D8"/>
    <w:lvl w:ilvl="0" w:tplc="AD9A7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BF3228"/>
    <w:multiLevelType w:val="hybridMultilevel"/>
    <w:tmpl w:val="A6687AD6"/>
    <w:lvl w:ilvl="0" w:tplc="57444BC8">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nsid w:val="6F3170BB"/>
    <w:multiLevelType w:val="hybridMultilevel"/>
    <w:tmpl w:val="F07C4F40"/>
    <w:lvl w:ilvl="0" w:tplc="A4469198">
      <w:start w:val="1"/>
      <w:numFmt w:val="bullet"/>
      <w:lvlText w:val="•"/>
      <w:lvlJc w:val="left"/>
      <w:pPr>
        <w:tabs>
          <w:tab w:val="num" w:pos="720"/>
        </w:tabs>
        <w:ind w:left="720" w:hanging="360"/>
      </w:pPr>
      <w:rPr>
        <w:rFonts w:ascii="Arial" w:hAnsi="Arial" w:hint="default"/>
      </w:rPr>
    </w:lvl>
    <w:lvl w:ilvl="1" w:tplc="E93E9002" w:tentative="1">
      <w:start w:val="1"/>
      <w:numFmt w:val="bullet"/>
      <w:lvlText w:val="•"/>
      <w:lvlJc w:val="left"/>
      <w:pPr>
        <w:tabs>
          <w:tab w:val="num" w:pos="1440"/>
        </w:tabs>
        <w:ind w:left="1440" w:hanging="360"/>
      </w:pPr>
      <w:rPr>
        <w:rFonts w:ascii="Arial" w:hAnsi="Arial" w:hint="default"/>
      </w:rPr>
    </w:lvl>
    <w:lvl w:ilvl="2" w:tplc="1076EC70" w:tentative="1">
      <w:start w:val="1"/>
      <w:numFmt w:val="bullet"/>
      <w:lvlText w:val="•"/>
      <w:lvlJc w:val="left"/>
      <w:pPr>
        <w:tabs>
          <w:tab w:val="num" w:pos="2160"/>
        </w:tabs>
        <w:ind w:left="2160" w:hanging="360"/>
      </w:pPr>
      <w:rPr>
        <w:rFonts w:ascii="Arial" w:hAnsi="Arial" w:hint="default"/>
      </w:rPr>
    </w:lvl>
    <w:lvl w:ilvl="3" w:tplc="2CF05790" w:tentative="1">
      <w:start w:val="1"/>
      <w:numFmt w:val="bullet"/>
      <w:lvlText w:val="•"/>
      <w:lvlJc w:val="left"/>
      <w:pPr>
        <w:tabs>
          <w:tab w:val="num" w:pos="2880"/>
        </w:tabs>
        <w:ind w:left="2880" w:hanging="360"/>
      </w:pPr>
      <w:rPr>
        <w:rFonts w:ascii="Arial" w:hAnsi="Arial" w:hint="default"/>
      </w:rPr>
    </w:lvl>
    <w:lvl w:ilvl="4" w:tplc="C97E6CC0" w:tentative="1">
      <w:start w:val="1"/>
      <w:numFmt w:val="bullet"/>
      <w:lvlText w:val="•"/>
      <w:lvlJc w:val="left"/>
      <w:pPr>
        <w:tabs>
          <w:tab w:val="num" w:pos="3600"/>
        </w:tabs>
        <w:ind w:left="3600" w:hanging="360"/>
      </w:pPr>
      <w:rPr>
        <w:rFonts w:ascii="Arial" w:hAnsi="Arial" w:hint="default"/>
      </w:rPr>
    </w:lvl>
    <w:lvl w:ilvl="5" w:tplc="93362660" w:tentative="1">
      <w:start w:val="1"/>
      <w:numFmt w:val="bullet"/>
      <w:lvlText w:val="•"/>
      <w:lvlJc w:val="left"/>
      <w:pPr>
        <w:tabs>
          <w:tab w:val="num" w:pos="4320"/>
        </w:tabs>
        <w:ind w:left="4320" w:hanging="360"/>
      </w:pPr>
      <w:rPr>
        <w:rFonts w:ascii="Arial" w:hAnsi="Arial" w:hint="default"/>
      </w:rPr>
    </w:lvl>
    <w:lvl w:ilvl="6" w:tplc="850825F0" w:tentative="1">
      <w:start w:val="1"/>
      <w:numFmt w:val="bullet"/>
      <w:lvlText w:val="•"/>
      <w:lvlJc w:val="left"/>
      <w:pPr>
        <w:tabs>
          <w:tab w:val="num" w:pos="5040"/>
        </w:tabs>
        <w:ind w:left="5040" w:hanging="360"/>
      </w:pPr>
      <w:rPr>
        <w:rFonts w:ascii="Arial" w:hAnsi="Arial" w:hint="default"/>
      </w:rPr>
    </w:lvl>
    <w:lvl w:ilvl="7" w:tplc="AA40C676" w:tentative="1">
      <w:start w:val="1"/>
      <w:numFmt w:val="bullet"/>
      <w:lvlText w:val="•"/>
      <w:lvlJc w:val="left"/>
      <w:pPr>
        <w:tabs>
          <w:tab w:val="num" w:pos="5760"/>
        </w:tabs>
        <w:ind w:left="5760" w:hanging="360"/>
      </w:pPr>
      <w:rPr>
        <w:rFonts w:ascii="Arial" w:hAnsi="Arial" w:hint="default"/>
      </w:rPr>
    </w:lvl>
    <w:lvl w:ilvl="8" w:tplc="45FC3906" w:tentative="1">
      <w:start w:val="1"/>
      <w:numFmt w:val="bullet"/>
      <w:lvlText w:val="•"/>
      <w:lvlJc w:val="left"/>
      <w:pPr>
        <w:tabs>
          <w:tab w:val="num" w:pos="6480"/>
        </w:tabs>
        <w:ind w:left="6480" w:hanging="360"/>
      </w:pPr>
      <w:rPr>
        <w:rFonts w:ascii="Arial" w:hAnsi="Arial" w:hint="default"/>
      </w:rPr>
    </w:lvl>
  </w:abstractNum>
  <w:abstractNum w:abstractNumId="18">
    <w:nsid w:val="7374001B"/>
    <w:multiLevelType w:val="hybridMultilevel"/>
    <w:tmpl w:val="7534C7B4"/>
    <w:lvl w:ilvl="0" w:tplc="BCCC4D76">
      <w:start w:val="1"/>
      <w:numFmt w:val="bullet"/>
      <w:lvlText w:val="•"/>
      <w:lvlJc w:val="left"/>
      <w:pPr>
        <w:tabs>
          <w:tab w:val="num" w:pos="720"/>
        </w:tabs>
        <w:ind w:left="720" w:hanging="360"/>
      </w:pPr>
      <w:rPr>
        <w:rFonts w:ascii="Arial" w:hAnsi="Arial" w:hint="default"/>
      </w:rPr>
    </w:lvl>
    <w:lvl w:ilvl="1" w:tplc="085E7C64" w:tentative="1">
      <w:start w:val="1"/>
      <w:numFmt w:val="bullet"/>
      <w:lvlText w:val="•"/>
      <w:lvlJc w:val="left"/>
      <w:pPr>
        <w:tabs>
          <w:tab w:val="num" w:pos="1440"/>
        </w:tabs>
        <w:ind w:left="1440" w:hanging="360"/>
      </w:pPr>
      <w:rPr>
        <w:rFonts w:ascii="Arial" w:hAnsi="Arial" w:hint="default"/>
      </w:rPr>
    </w:lvl>
    <w:lvl w:ilvl="2" w:tplc="65D0603A" w:tentative="1">
      <w:start w:val="1"/>
      <w:numFmt w:val="bullet"/>
      <w:lvlText w:val="•"/>
      <w:lvlJc w:val="left"/>
      <w:pPr>
        <w:tabs>
          <w:tab w:val="num" w:pos="2160"/>
        </w:tabs>
        <w:ind w:left="2160" w:hanging="360"/>
      </w:pPr>
      <w:rPr>
        <w:rFonts w:ascii="Arial" w:hAnsi="Arial" w:hint="default"/>
      </w:rPr>
    </w:lvl>
    <w:lvl w:ilvl="3" w:tplc="30B4C0A8" w:tentative="1">
      <w:start w:val="1"/>
      <w:numFmt w:val="bullet"/>
      <w:lvlText w:val="•"/>
      <w:lvlJc w:val="left"/>
      <w:pPr>
        <w:tabs>
          <w:tab w:val="num" w:pos="2880"/>
        </w:tabs>
        <w:ind w:left="2880" w:hanging="360"/>
      </w:pPr>
      <w:rPr>
        <w:rFonts w:ascii="Arial" w:hAnsi="Arial" w:hint="default"/>
      </w:rPr>
    </w:lvl>
    <w:lvl w:ilvl="4" w:tplc="79346558" w:tentative="1">
      <w:start w:val="1"/>
      <w:numFmt w:val="bullet"/>
      <w:lvlText w:val="•"/>
      <w:lvlJc w:val="left"/>
      <w:pPr>
        <w:tabs>
          <w:tab w:val="num" w:pos="3600"/>
        </w:tabs>
        <w:ind w:left="3600" w:hanging="360"/>
      </w:pPr>
      <w:rPr>
        <w:rFonts w:ascii="Arial" w:hAnsi="Arial" w:hint="default"/>
      </w:rPr>
    </w:lvl>
    <w:lvl w:ilvl="5" w:tplc="429CAF3C" w:tentative="1">
      <w:start w:val="1"/>
      <w:numFmt w:val="bullet"/>
      <w:lvlText w:val="•"/>
      <w:lvlJc w:val="left"/>
      <w:pPr>
        <w:tabs>
          <w:tab w:val="num" w:pos="4320"/>
        </w:tabs>
        <w:ind w:left="4320" w:hanging="360"/>
      </w:pPr>
      <w:rPr>
        <w:rFonts w:ascii="Arial" w:hAnsi="Arial" w:hint="default"/>
      </w:rPr>
    </w:lvl>
    <w:lvl w:ilvl="6" w:tplc="3692E0DC" w:tentative="1">
      <w:start w:val="1"/>
      <w:numFmt w:val="bullet"/>
      <w:lvlText w:val="•"/>
      <w:lvlJc w:val="left"/>
      <w:pPr>
        <w:tabs>
          <w:tab w:val="num" w:pos="5040"/>
        </w:tabs>
        <w:ind w:left="5040" w:hanging="360"/>
      </w:pPr>
      <w:rPr>
        <w:rFonts w:ascii="Arial" w:hAnsi="Arial" w:hint="default"/>
      </w:rPr>
    </w:lvl>
    <w:lvl w:ilvl="7" w:tplc="014621D4" w:tentative="1">
      <w:start w:val="1"/>
      <w:numFmt w:val="bullet"/>
      <w:lvlText w:val="•"/>
      <w:lvlJc w:val="left"/>
      <w:pPr>
        <w:tabs>
          <w:tab w:val="num" w:pos="5760"/>
        </w:tabs>
        <w:ind w:left="5760" w:hanging="360"/>
      </w:pPr>
      <w:rPr>
        <w:rFonts w:ascii="Arial" w:hAnsi="Arial" w:hint="default"/>
      </w:rPr>
    </w:lvl>
    <w:lvl w:ilvl="8" w:tplc="124AE40E" w:tentative="1">
      <w:start w:val="1"/>
      <w:numFmt w:val="bullet"/>
      <w:lvlText w:val="•"/>
      <w:lvlJc w:val="left"/>
      <w:pPr>
        <w:tabs>
          <w:tab w:val="num" w:pos="6480"/>
        </w:tabs>
        <w:ind w:left="6480" w:hanging="360"/>
      </w:pPr>
      <w:rPr>
        <w:rFonts w:ascii="Arial" w:hAnsi="Arial" w:hint="default"/>
      </w:rPr>
    </w:lvl>
  </w:abstractNum>
  <w:abstractNum w:abstractNumId="19">
    <w:nsid w:val="73972598"/>
    <w:multiLevelType w:val="hybridMultilevel"/>
    <w:tmpl w:val="FFCE3F76"/>
    <w:lvl w:ilvl="0" w:tplc="088AEE60">
      <w:start w:val="1"/>
      <w:numFmt w:val="bullet"/>
      <w:lvlText w:val="•"/>
      <w:lvlJc w:val="left"/>
      <w:pPr>
        <w:tabs>
          <w:tab w:val="num" w:pos="720"/>
        </w:tabs>
        <w:ind w:left="720" w:hanging="360"/>
      </w:pPr>
      <w:rPr>
        <w:rFonts w:ascii="Arial" w:hAnsi="Arial" w:hint="default"/>
      </w:rPr>
    </w:lvl>
    <w:lvl w:ilvl="1" w:tplc="818C5F5A" w:tentative="1">
      <w:start w:val="1"/>
      <w:numFmt w:val="bullet"/>
      <w:lvlText w:val="•"/>
      <w:lvlJc w:val="left"/>
      <w:pPr>
        <w:tabs>
          <w:tab w:val="num" w:pos="1440"/>
        </w:tabs>
        <w:ind w:left="1440" w:hanging="360"/>
      </w:pPr>
      <w:rPr>
        <w:rFonts w:ascii="Arial" w:hAnsi="Arial" w:hint="default"/>
      </w:rPr>
    </w:lvl>
    <w:lvl w:ilvl="2" w:tplc="7400AA36" w:tentative="1">
      <w:start w:val="1"/>
      <w:numFmt w:val="bullet"/>
      <w:lvlText w:val="•"/>
      <w:lvlJc w:val="left"/>
      <w:pPr>
        <w:tabs>
          <w:tab w:val="num" w:pos="2160"/>
        </w:tabs>
        <w:ind w:left="2160" w:hanging="360"/>
      </w:pPr>
      <w:rPr>
        <w:rFonts w:ascii="Arial" w:hAnsi="Arial" w:hint="default"/>
      </w:rPr>
    </w:lvl>
    <w:lvl w:ilvl="3" w:tplc="744ABD46" w:tentative="1">
      <w:start w:val="1"/>
      <w:numFmt w:val="bullet"/>
      <w:lvlText w:val="•"/>
      <w:lvlJc w:val="left"/>
      <w:pPr>
        <w:tabs>
          <w:tab w:val="num" w:pos="2880"/>
        </w:tabs>
        <w:ind w:left="2880" w:hanging="360"/>
      </w:pPr>
      <w:rPr>
        <w:rFonts w:ascii="Arial" w:hAnsi="Arial" w:hint="default"/>
      </w:rPr>
    </w:lvl>
    <w:lvl w:ilvl="4" w:tplc="98AC67A6" w:tentative="1">
      <w:start w:val="1"/>
      <w:numFmt w:val="bullet"/>
      <w:lvlText w:val="•"/>
      <w:lvlJc w:val="left"/>
      <w:pPr>
        <w:tabs>
          <w:tab w:val="num" w:pos="3600"/>
        </w:tabs>
        <w:ind w:left="3600" w:hanging="360"/>
      </w:pPr>
      <w:rPr>
        <w:rFonts w:ascii="Arial" w:hAnsi="Arial" w:hint="default"/>
      </w:rPr>
    </w:lvl>
    <w:lvl w:ilvl="5" w:tplc="D7E033F8" w:tentative="1">
      <w:start w:val="1"/>
      <w:numFmt w:val="bullet"/>
      <w:lvlText w:val="•"/>
      <w:lvlJc w:val="left"/>
      <w:pPr>
        <w:tabs>
          <w:tab w:val="num" w:pos="4320"/>
        </w:tabs>
        <w:ind w:left="4320" w:hanging="360"/>
      </w:pPr>
      <w:rPr>
        <w:rFonts w:ascii="Arial" w:hAnsi="Arial" w:hint="default"/>
      </w:rPr>
    </w:lvl>
    <w:lvl w:ilvl="6" w:tplc="1456A954" w:tentative="1">
      <w:start w:val="1"/>
      <w:numFmt w:val="bullet"/>
      <w:lvlText w:val="•"/>
      <w:lvlJc w:val="left"/>
      <w:pPr>
        <w:tabs>
          <w:tab w:val="num" w:pos="5040"/>
        </w:tabs>
        <w:ind w:left="5040" w:hanging="360"/>
      </w:pPr>
      <w:rPr>
        <w:rFonts w:ascii="Arial" w:hAnsi="Arial" w:hint="default"/>
      </w:rPr>
    </w:lvl>
    <w:lvl w:ilvl="7" w:tplc="73060892" w:tentative="1">
      <w:start w:val="1"/>
      <w:numFmt w:val="bullet"/>
      <w:lvlText w:val="•"/>
      <w:lvlJc w:val="left"/>
      <w:pPr>
        <w:tabs>
          <w:tab w:val="num" w:pos="5760"/>
        </w:tabs>
        <w:ind w:left="5760" w:hanging="360"/>
      </w:pPr>
      <w:rPr>
        <w:rFonts w:ascii="Arial" w:hAnsi="Arial" w:hint="default"/>
      </w:rPr>
    </w:lvl>
    <w:lvl w:ilvl="8" w:tplc="11A64E98" w:tentative="1">
      <w:start w:val="1"/>
      <w:numFmt w:val="bullet"/>
      <w:lvlText w:val="•"/>
      <w:lvlJc w:val="left"/>
      <w:pPr>
        <w:tabs>
          <w:tab w:val="num" w:pos="6480"/>
        </w:tabs>
        <w:ind w:left="6480" w:hanging="360"/>
      </w:pPr>
      <w:rPr>
        <w:rFonts w:ascii="Arial" w:hAnsi="Arial" w:hint="default"/>
      </w:rPr>
    </w:lvl>
  </w:abstractNum>
  <w:abstractNum w:abstractNumId="20">
    <w:nsid w:val="77D7388E"/>
    <w:multiLevelType w:val="hybridMultilevel"/>
    <w:tmpl w:val="CDAA95E8"/>
    <w:lvl w:ilvl="0" w:tplc="8E5AB8B6">
      <w:start w:val="1"/>
      <w:numFmt w:val="bullet"/>
      <w:lvlText w:val="•"/>
      <w:lvlJc w:val="left"/>
      <w:pPr>
        <w:tabs>
          <w:tab w:val="num" w:pos="720"/>
        </w:tabs>
        <w:ind w:left="720" w:hanging="360"/>
      </w:pPr>
      <w:rPr>
        <w:rFonts w:ascii="Arial" w:hAnsi="Arial" w:hint="default"/>
      </w:rPr>
    </w:lvl>
    <w:lvl w:ilvl="1" w:tplc="BBA40792" w:tentative="1">
      <w:start w:val="1"/>
      <w:numFmt w:val="bullet"/>
      <w:lvlText w:val="•"/>
      <w:lvlJc w:val="left"/>
      <w:pPr>
        <w:tabs>
          <w:tab w:val="num" w:pos="1440"/>
        </w:tabs>
        <w:ind w:left="1440" w:hanging="360"/>
      </w:pPr>
      <w:rPr>
        <w:rFonts w:ascii="Arial" w:hAnsi="Arial" w:hint="default"/>
      </w:rPr>
    </w:lvl>
    <w:lvl w:ilvl="2" w:tplc="E446F2E2" w:tentative="1">
      <w:start w:val="1"/>
      <w:numFmt w:val="bullet"/>
      <w:lvlText w:val="•"/>
      <w:lvlJc w:val="left"/>
      <w:pPr>
        <w:tabs>
          <w:tab w:val="num" w:pos="2160"/>
        </w:tabs>
        <w:ind w:left="2160" w:hanging="360"/>
      </w:pPr>
      <w:rPr>
        <w:rFonts w:ascii="Arial" w:hAnsi="Arial" w:hint="default"/>
      </w:rPr>
    </w:lvl>
    <w:lvl w:ilvl="3" w:tplc="563CB398" w:tentative="1">
      <w:start w:val="1"/>
      <w:numFmt w:val="bullet"/>
      <w:lvlText w:val="•"/>
      <w:lvlJc w:val="left"/>
      <w:pPr>
        <w:tabs>
          <w:tab w:val="num" w:pos="2880"/>
        </w:tabs>
        <w:ind w:left="2880" w:hanging="360"/>
      </w:pPr>
      <w:rPr>
        <w:rFonts w:ascii="Arial" w:hAnsi="Arial" w:hint="default"/>
      </w:rPr>
    </w:lvl>
    <w:lvl w:ilvl="4" w:tplc="8098EA72" w:tentative="1">
      <w:start w:val="1"/>
      <w:numFmt w:val="bullet"/>
      <w:lvlText w:val="•"/>
      <w:lvlJc w:val="left"/>
      <w:pPr>
        <w:tabs>
          <w:tab w:val="num" w:pos="3600"/>
        </w:tabs>
        <w:ind w:left="3600" w:hanging="360"/>
      </w:pPr>
      <w:rPr>
        <w:rFonts w:ascii="Arial" w:hAnsi="Arial" w:hint="default"/>
      </w:rPr>
    </w:lvl>
    <w:lvl w:ilvl="5" w:tplc="DD64C24A" w:tentative="1">
      <w:start w:val="1"/>
      <w:numFmt w:val="bullet"/>
      <w:lvlText w:val="•"/>
      <w:lvlJc w:val="left"/>
      <w:pPr>
        <w:tabs>
          <w:tab w:val="num" w:pos="4320"/>
        </w:tabs>
        <w:ind w:left="4320" w:hanging="360"/>
      </w:pPr>
      <w:rPr>
        <w:rFonts w:ascii="Arial" w:hAnsi="Arial" w:hint="default"/>
      </w:rPr>
    </w:lvl>
    <w:lvl w:ilvl="6" w:tplc="10F25732" w:tentative="1">
      <w:start w:val="1"/>
      <w:numFmt w:val="bullet"/>
      <w:lvlText w:val="•"/>
      <w:lvlJc w:val="left"/>
      <w:pPr>
        <w:tabs>
          <w:tab w:val="num" w:pos="5040"/>
        </w:tabs>
        <w:ind w:left="5040" w:hanging="360"/>
      </w:pPr>
      <w:rPr>
        <w:rFonts w:ascii="Arial" w:hAnsi="Arial" w:hint="default"/>
      </w:rPr>
    </w:lvl>
    <w:lvl w:ilvl="7" w:tplc="8E12AA6E" w:tentative="1">
      <w:start w:val="1"/>
      <w:numFmt w:val="bullet"/>
      <w:lvlText w:val="•"/>
      <w:lvlJc w:val="left"/>
      <w:pPr>
        <w:tabs>
          <w:tab w:val="num" w:pos="5760"/>
        </w:tabs>
        <w:ind w:left="5760" w:hanging="360"/>
      </w:pPr>
      <w:rPr>
        <w:rFonts w:ascii="Arial" w:hAnsi="Arial" w:hint="default"/>
      </w:rPr>
    </w:lvl>
    <w:lvl w:ilvl="8" w:tplc="EEE8E50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5"/>
  </w:num>
  <w:num w:numId="4">
    <w:abstractNumId w:val="14"/>
  </w:num>
  <w:num w:numId="5">
    <w:abstractNumId w:val="20"/>
  </w:num>
  <w:num w:numId="6">
    <w:abstractNumId w:val="3"/>
  </w:num>
  <w:num w:numId="7">
    <w:abstractNumId w:val="19"/>
  </w:num>
  <w:num w:numId="8">
    <w:abstractNumId w:val="1"/>
  </w:num>
  <w:num w:numId="9">
    <w:abstractNumId w:val="6"/>
  </w:num>
  <w:num w:numId="10">
    <w:abstractNumId w:val="8"/>
  </w:num>
  <w:num w:numId="11">
    <w:abstractNumId w:val="18"/>
  </w:num>
  <w:num w:numId="12">
    <w:abstractNumId w:val="17"/>
  </w:num>
  <w:num w:numId="13">
    <w:abstractNumId w:val="7"/>
  </w:num>
  <w:num w:numId="14">
    <w:abstractNumId w:val="9"/>
  </w:num>
  <w:num w:numId="15">
    <w:abstractNumId w:val="4"/>
  </w:num>
  <w:num w:numId="16">
    <w:abstractNumId w:val="0"/>
  </w:num>
  <w:num w:numId="17">
    <w:abstractNumId w:val="2"/>
  </w:num>
  <w:num w:numId="18">
    <w:abstractNumId w:val="11"/>
  </w:num>
  <w:num w:numId="19">
    <w:abstractNumId w:val="10"/>
  </w:num>
  <w:num w:numId="20">
    <w:abstractNumId w:val="15"/>
  </w:num>
  <w:num w:numId="21">
    <w:abstractNumId w:val="16"/>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Valela">
    <w15:presenceInfo w15:providerId="Windows Live" w15:userId="e1d09687595b7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FB"/>
    <w:rsid w:val="00000BF7"/>
    <w:rsid w:val="00000D86"/>
    <w:rsid w:val="000014F7"/>
    <w:rsid w:val="00001E89"/>
    <w:rsid w:val="0000679D"/>
    <w:rsid w:val="00012677"/>
    <w:rsid w:val="00013596"/>
    <w:rsid w:val="00014957"/>
    <w:rsid w:val="0001518E"/>
    <w:rsid w:val="00017A63"/>
    <w:rsid w:val="00024867"/>
    <w:rsid w:val="00025497"/>
    <w:rsid w:val="00025673"/>
    <w:rsid w:val="00027028"/>
    <w:rsid w:val="0003000B"/>
    <w:rsid w:val="00031C0B"/>
    <w:rsid w:val="000321F5"/>
    <w:rsid w:val="00034AE5"/>
    <w:rsid w:val="00034EF2"/>
    <w:rsid w:val="000352F5"/>
    <w:rsid w:val="00037A95"/>
    <w:rsid w:val="00037E66"/>
    <w:rsid w:val="00042D4A"/>
    <w:rsid w:val="0004345A"/>
    <w:rsid w:val="0004526F"/>
    <w:rsid w:val="00050EF9"/>
    <w:rsid w:val="00051DEE"/>
    <w:rsid w:val="00051FCB"/>
    <w:rsid w:val="000522D6"/>
    <w:rsid w:val="0005502C"/>
    <w:rsid w:val="00055142"/>
    <w:rsid w:val="0005518B"/>
    <w:rsid w:val="000562D3"/>
    <w:rsid w:val="00056A24"/>
    <w:rsid w:val="00062CB9"/>
    <w:rsid w:val="0006365D"/>
    <w:rsid w:val="0006378A"/>
    <w:rsid w:val="000648BC"/>
    <w:rsid w:val="00065485"/>
    <w:rsid w:val="00065B4E"/>
    <w:rsid w:val="000667E7"/>
    <w:rsid w:val="00067EE1"/>
    <w:rsid w:val="00071DA5"/>
    <w:rsid w:val="00073142"/>
    <w:rsid w:val="00075CD4"/>
    <w:rsid w:val="00075EBD"/>
    <w:rsid w:val="0007676A"/>
    <w:rsid w:val="00080368"/>
    <w:rsid w:val="0008171F"/>
    <w:rsid w:val="00083EEA"/>
    <w:rsid w:val="000860AE"/>
    <w:rsid w:val="000863C4"/>
    <w:rsid w:val="00086EE6"/>
    <w:rsid w:val="00092062"/>
    <w:rsid w:val="0009258F"/>
    <w:rsid w:val="000926BF"/>
    <w:rsid w:val="00093916"/>
    <w:rsid w:val="00094DA2"/>
    <w:rsid w:val="0009583E"/>
    <w:rsid w:val="000972D0"/>
    <w:rsid w:val="00097A8B"/>
    <w:rsid w:val="000A126C"/>
    <w:rsid w:val="000A2427"/>
    <w:rsid w:val="000A54BE"/>
    <w:rsid w:val="000B149E"/>
    <w:rsid w:val="000B2766"/>
    <w:rsid w:val="000B47C0"/>
    <w:rsid w:val="000C0866"/>
    <w:rsid w:val="000C35D4"/>
    <w:rsid w:val="000C3600"/>
    <w:rsid w:val="000C3C74"/>
    <w:rsid w:val="000C6E50"/>
    <w:rsid w:val="000D04D5"/>
    <w:rsid w:val="000D06A8"/>
    <w:rsid w:val="000D38B5"/>
    <w:rsid w:val="000D3BFE"/>
    <w:rsid w:val="000D4E8D"/>
    <w:rsid w:val="000D5075"/>
    <w:rsid w:val="000D5C82"/>
    <w:rsid w:val="000D6021"/>
    <w:rsid w:val="000D660D"/>
    <w:rsid w:val="000E220F"/>
    <w:rsid w:val="000E51A3"/>
    <w:rsid w:val="000E5EA3"/>
    <w:rsid w:val="000E6EB8"/>
    <w:rsid w:val="000E7532"/>
    <w:rsid w:val="000F14B9"/>
    <w:rsid w:val="000F19C8"/>
    <w:rsid w:val="000F3DD0"/>
    <w:rsid w:val="000F4A12"/>
    <w:rsid w:val="000F74D4"/>
    <w:rsid w:val="00101FC0"/>
    <w:rsid w:val="001054E2"/>
    <w:rsid w:val="00106BF8"/>
    <w:rsid w:val="0012777C"/>
    <w:rsid w:val="00127B16"/>
    <w:rsid w:val="00133272"/>
    <w:rsid w:val="00134AA5"/>
    <w:rsid w:val="00136439"/>
    <w:rsid w:val="00137480"/>
    <w:rsid w:val="00140F8C"/>
    <w:rsid w:val="0014111A"/>
    <w:rsid w:val="001418BA"/>
    <w:rsid w:val="00142AEB"/>
    <w:rsid w:val="00144D6E"/>
    <w:rsid w:val="0014581A"/>
    <w:rsid w:val="001459AB"/>
    <w:rsid w:val="0014775B"/>
    <w:rsid w:val="00153C5F"/>
    <w:rsid w:val="00156287"/>
    <w:rsid w:val="00156ACB"/>
    <w:rsid w:val="001576DA"/>
    <w:rsid w:val="00157F03"/>
    <w:rsid w:val="00165B70"/>
    <w:rsid w:val="00165C57"/>
    <w:rsid w:val="00167627"/>
    <w:rsid w:val="00167BB6"/>
    <w:rsid w:val="00171596"/>
    <w:rsid w:val="001733CD"/>
    <w:rsid w:val="00173F6D"/>
    <w:rsid w:val="00177987"/>
    <w:rsid w:val="0018412A"/>
    <w:rsid w:val="00184BD8"/>
    <w:rsid w:val="0018513A"/>
    <w:rsid w:val="001863A2"/>
    <w:rsid w:val="00186C42"/>
    <w:rsid w:val="00190048"/>
    <w:rsid w:val="0019300F"/>
    <w:rsid w:val="00194615"/>
    <w:rsid w:val="0019502A"/>
    <w:rsid w:val="00195876"/>
    <w:rsid w:val="00196CF3"/>
    <w:rsid w:val="001A1E1E"/>
    <w:rsid w:val="001A3AB0"/>
    <w:rsid w:val="001A4A71"/>
    <w:rsid w:val="001A6550"/>
    <w:rsid w:val="001A6F9E"/>
    <w:rsid w:val="001A7BA2"/>
    <w:rsid w:val="001B0BE0"/>
    <w:rsid w:val="001B2EFC"/>
    <w:rsid w:val="001B3347"/>
    <w:rsid w:val="001B3EA6"/>
    <w:rsid w:val="001B41A4"/>
    <w:rsid w:val="001B5851"/>
    <w:rsid w:val="001C141E"/>
    <w:rsid w:val="001C1E7F"/>
    <w:rsid w:val="001C37D7"/>
    <w:rsid w:val="001C4357"/>
    <w:rsid w:val="001C6CFC"/>
    <w:rsid w:val="001D0771"/>
    <w:rsid w:val="001D564F"/>
    <w:rsid w:val="001D666F"/>
    <w:rsid w:val="001E186A"/>
    <w:rsid w:val="001E2E4F"/>
    <w:rsid w:val="001E74D5"/>
    <w:rsid w:val="001F01AB"/>
    <w:rsid w:val="001F1CB8"/>
    <w:rsid w:val="001F5311"/>
    <w:rsid w:val="001F63D4"/>
    <w:rsid w:val="001F67A6"/>
    <w:rsid w:val="001F7E81"/>
    <w:rsid w:val="00200058"/>
    <w:rsid w:val="00200483"/>
    <w:rsid w:val="00200CF6"/>
    <w:rsid w:val="00202784"/>
    <w:rsid w:val="00204036"/>
    <w:rsid w:val="00206BA3"/>
    <w:rsid w:val="00207DA7"/>
    <w:rsid w:val="002127C5"/>
    <w:rsid w:val="002130CB"/>
    <w:rsid w:val="002142B8"/>
    <w:rsid w:val="002145D2"/>
    <w:rsid w:val="00217EDE"/>
    <w:rsid w:val="00221C75"/>
    <w:rsid w:val="00225283"/>
    <w:rsid w:val="002263CD"/>
    <w:rsid w:val="00227726"/>
    <w:rsid w:val="00230465"/>
    <w:rsid w:val="002361C4"/>
    <w:rsid w:val="00237203"/>
    <w:rsid w:val="002375A3"/>
    <w:rsid w:val="002408F3"/>
    <w:rsid w:val="00240D07"/>
    <w:rsid w:val="0024107D"/>
    <w:rsid w:val="002429FD"/>
    <w:rsid w:val="00250369"/>
    <w:rsid w:val="00252118"/>
    <w:rsid w:val="002536E8"/>
    <w:rsid w:val="002550DA"/>
    <w:rsid w:val="002600DB"/>
    <w:rsid w:val="002620E0"/>
    <w:rsid w:val="00263966"/>
    <w:rsid w:val="00264209"/>
    <w:rsid w:val="00272951"/>
    <w:rsid w:val="00272F7B"/>
    <w:rsid w:val="0027308A"/>
    <w:rsid w:val="002746E8"/>
    <w:rsid w:val="002801D5"/>
    <w:rsid w:val="00284F8D"/>
    <w:rsid w:val="002857A9"/>
    <w:rsid w:val="00286B08"/>
    <w:rsid w:val="002931E2"/>
    <w:rsid w:val="00294C5A"/>
    <w:rsid w:val="00295A64"/>
    <w:rsid w:val="002A0F47"/>
    <w:rsid w:val="002A1AA3"/>
    <w:rsid w:val="002A33DD"/>
    <w:rsid w:val="002A4C5F"/>
    <w:rsid w:val="002A56D6"/>
    <w:rsid w:val="002A5787"/>
    <w:rsid w:val="002B2DB5"/>
    <w:rsid w:val="002B3BBF"/>
    <w:rsid w:val="002B3DC3"/>
    <w:rsid w:val="002B3E1E"/>
    <w:rsid w:val="002B5DDF"/>
    <w:rsid w:val="002B6CA5"/>
    <w:rsid w:val="002B6E05"/>
    <w:rsid w:val="002C010C"/>
    <w:rsid w:val="002C0B86"/>
    <w:rsid w:val="002C1301"/>
    <w:rsid w:val="002C1F98"/>
    <w:rsid w:val="002C2816"/>
    <w:rsid w:val="002C2A68"/>
    <w:rsid w:val="002C3389"/>
    <w:rsid w:val="002C612C"/>
    <w:rsid w:val="002C766E"/>
    <w:rsid w:val="002D043D"/>
    <w:rsid w:val="002D35E9"/>
    <w:rsid w:val="002D5CC6"/>
    <w:rsid w:val="002D6D6D"/>
    <w:rsid w:val="002E01F9"/>
    <w:rsid w:val="002E0EC5"/>
    <w:rsid w:val="002E2E2C"/>
    <w:rsid w:val="002E351A"/>
    <w:rsid w:val="002E3D9B"/>
    <w:rsid w:val="002F0467"/>
    <w:rsid w:val="002F0612"/>
    <w:rsid w:val="002F07BF"/>
    <w:rsid w:val="002F30B5"/>
    <w:rsid w:val="002F3269"/>
    <w:rsid w:val="002F32F8"/>
    <w:rsid w:val="002F4328"/>
    <w:rsid w:val="002F5C4F"/>
    <w:rsid w:val="002F718D"/>
    <w:rsid w:val="002F7500"/>
    <w:rsid w:val="00301896"/>
    <w:rsid w:val="0030396A"/>
    <w:rsid w:val="00306E2A"/>
    <w:rsid w:val="00310D48"/>
    <w:rsid w:val="00314A49"/>
    <w:rsid w:val="003151EB"/>
    <w:rsid w:val="003155DE"/>
    <w:rsid w:val="0032205B"/>
    <w:rsid w:val="00322E0D"/>
    <w:rsid w:val="00324EED"/>
    <w:rsid w:val="00326B7F"/>
    <w:rsid w:val="00327E92"/>
    <w:rsid w:val="00331400"/>
    <w:rsid w:val="003326A8"/>
    <w:rsid w:val="00332950"/>
    <w:rsid w:val="00334677"/>
    <w:rsid w:val="003355FB"/>
    <w:rsid w:val="00335CB1"/>
    <w:rsid w:val="003427B8"/>
    <w:rsid w:val="00345C91"/>
    <w:rsid w:val="003470EA"/>
    <w:rsid w:val="003471A4"/>
    <w:rsid w:val="0034735B"/>
    <w:rsid w:val="00347518"/>
    <w:rsid w:val="00350F98"/>
    <w:rsid w:val="003525D4"/>
    <w:rsid w:val="00353CCD"/>
    <w:rsid w:val="00353D38"/>
    <w:rsid w:val="00354FAD"/>
    <w:rsid w:val="003554DB"/>
    <w:rsid w:val="003646C2"/>
    <w:rsid w:val="00364908"/>
    <w:rsid w:val="0036603D"/>
    <w:rsid w:val="003666A6"/>
    <w:rsid w:val="0037055B"/>
    <w:rsid w:val="0037211C"/>
    <w:rsid w:val="00373C36"/>
    <w:rsid w:val="0037759E"/>
    <w:rsid w:val="0038008F"/>
    <w:rsid w:val="003805C9"/>
    <w:rsid w:val="00384100"/>
    <w:rsid w:val="003842C9"/>
    <w:rsid w:val="00386C20"/>
    <w:rsid w:val="00390C7A"/>
    <w:rsid w:val="0039148E"/>
    <w:rsid w:val="00391656"/>
    <w:rsid w:val="00395185"/>
    <w:rsid w:val="00396456"/>
    <w:rsid w:val="003A0BDC"/>
    <w:rsid w:val="003A1FE2"/>
    <w:rsid w:val="003A2384"/>
    <w:rsid w:val="003A34D4"/>
    <w:rsid w:val="003A35C7"/>
    <w:rsid w:val="003A5CDA"/>
    <w:rsid w:val="003A6DCE"/>
    <w:rsid w:val="003A73BC"/>
    <w:rsid w:val="003B0738"/>
    <w:rsid w:val="003B4E08"/>
    <w:rsid w:val="003B5724"/>
    <w:rsid w:val="003C0904"/>
    <w:rsid w:val="003C0A39"/>
    <w:rsid w:val="003C6FD2"/>
    <w:rsid w:val="003D071A"/>
    <w:rsid w:val="003D115F"/>
    <w:rsid w:val="003D3505"/>
    <w:rsid w:val="003D422F"/>
    <w:rsid w:val="003D4A2E"/>
    <w:rsid w:val="003D6C56"/>
    <w:rsid w:val="003D784C"/>
    <w:rsid w:val="003E1036"/>
    <w:rsid w:val="003E207D"/>
    <w:rsid w:val="003E30E4"/>
    <w:rsid w:val="003E356E"/>
    <w:rsid w:val="003E3BCB"/>
    <w:rsid w:val="003E6DA7"/>
    <w:rsid w:val="003F2A02"/>
    <w:rsid w:val="003F7371"/>
    <w:rsid w:val="00400470"/>
    <w:rsid w:val="0040252E"/>
    <w:rsid w:val="00404872"/>
    <w:rsid w:val="00405861"/>
    <w:rsid w:val="004065B5"/>
    <w:rsid w:val="00410AD5"/>
    <w:rsid w:val="00410B14"/>
    <w:rsid w:val="00411002"/>
    <w:rsid w:val="00412DED"/>
    <w:rsid w:val="00416D02"/>
    <w:rsid w:val="004173D9"/>
    <w:rsid w:val="00417401"/>
    <w:rsid w:val="004176FF"/>
    <w:rsid w:val="00421815"/>
    <w:rsid w:val="00422943"/>
    <w:rsid w:val="00423233"/>
    <w:rsid w:val="004248B7"/>
    <w:rsid w:val="00430B9D"/>
    <w:rsid w:val="00431324"/>
    <w:rsid w:val="00432AD2"/>
    <w:rsid w:val="00433805"/>
    <w:rsid w:val="004350D1"/>
    <w:rsid w:val="004369F2"/>
    <w:rsid w:val="00437F18"/>
    <w:rsid w:val="00440036"/>
    <w:rsid w:val="004416E6"/>
    <w:rsid w:val="00442D8D"/>
    <w:rsid w:val="00442FE5"/>
    <w:rsid w:val="00444B18"/>
    <w:rsid w:val="004478C2"/>
    <w:rsid w:val="00450084"/>
    <w:rsid w:val="00451FE2"/>
    <w:rsid w:val="0046004C"/>
    <w:rsid w:val="00464547"/>
    <w:rsid w:val="00464BAF"/>
    <w:rsid w:val="004666C5"/>
    <w:rsid w:val="00466775"/>
    <w:rsid w:val="00470D88"/>
    <w:rsid w:val="004741EA"/>
    <w:rsid w:val="00476C89"/>
    <w:rsid w:val="00480433"/>
    <w:rsid w:val="0048458D"/>
    <w:rsid w:val="0048548E"/>
    <w:rsid w:val="004858EB"/>
    <w:rsid w:val="004863EC"/>
    <w:rsid w:val="00486404"/>
    <w:rsid w:val="004870F6"/>
    <w:rsid w:val="0048712F"/>
    <w:rsid w:val="004902AE"/>
    <w:rsid w:val="00490A80"/>
    <w:rsid w:val="004915DE"/>
    <w:rsid w:val="00497929"/>
    <w:rsid w:val="004A0770"/>
    <w:rsid w:val="004A0D50"/>
    <w:rsid w:val="004A12FF"/>
    <w:rsid w:val="004A2E84"/>
    <w:rsid w:val="004A5A4C"/>
    <w:rsid w:val="004A5D27"/>
    <w:rsid w:val="004B36B7"/>
    <w:rsid w:val="004B3CF7"/>
    <w:rsid w:val="004B4A8D"/>
    <w:rsid w:val="004C116C"/>
    <w:rsid w:val="004C1D82"/>
    <w:rsid w:val="004C3C0E"/>
    <w:rsid w:val="004C5E73"/>
    <w:rsid w:val="004C6B47"/>
    <w:rsid w:val="004C747F"/>
    <w:rsid w:val="004D063F"/>
    <w:rsid w:val="004D6692"/>
    <w:rsid w:val="004D6810"/>
    <w:rsid w:val="004D683B"/>
    <w:rsid w:val="004E0255"/>
    <w:rsid w:val="004E0C9C"/>
    <w:rsid w:val="004E235A"/>
    <w:rsid w:val="004E3720"/>
    <w:rsid w:val="004E44D7"/>
    <w:rsid w:val="004E4E5B"/>
    <w:rsid w:val="004E54EC"/>
    <w:rsid w:val="004E7242"/>
    <w:rsid w:val="004E75C8"/>
    <w:rsid w:val="004F0DE0"/>
    <w:rsid w:val="004F63CC"/>
    <w:rsid w:val="00501B1F"/>
    <w:rsid w:val="005021D4"/>
    <w:rsid w:val="0050256D"/>
    <w:rsid w:val="00512E58"/>
    <w:rsid w:val="00517813"/>
    <w:rsid w:val="00517B7A"/>
    <w:rsid w:val="005208A7"/>
    <w:rsid w:val="00521CD3"/>
    <w:rsid w:val="005222B3"/>
    <w:rsid w:val="005231C9"/>
    <w:rsid w:val="00524CF1"/>
    <w:rsid w:val="00525303"/>
    <w:rsid w:val="00525357"/>
    <w:rsid w:val="00525BB3"/>
    <w:rsid w:val="005329C6"/>
    <w:rsid w:val="0053309B"/>
    <w:rsid w:val="00533CC2"/>
    <w:rsid w:val="0053702F"/>
    <w:rsid w:val="00541528"/>
    <w:rsid w:val="005447F7"/>
    <w:rsid w:val="005448CC"/>
    <w:rsid w:val="005470B9"/>
    <w:rsid w:val="00550EEF"/>
    <w:rsid w:val="005522FB"/>
    <w:rsid w:val="00553996"/>
    <w:rsid w:val="00553E09"/>
    <w:rsid w:val="005610F8"/>
    <w:rsid w:val="00563569"/>
    <w:rsid w:val="00563FAE"/>
    <w:rsid w:val="00564074"/>
    <w:rsid w:val="0056448E"/>
    <w:rsid w:val="0056468B"/>
    <w:rsid w:val="00564765"/>
    <w:rsid w:val="00564BCC"/>
    <w:rsid w:val="0056554A"/>
    <w:rsid w:val="00565AAA"/>
    <w:rsid w:val="0057510A"/>
    <w:rsid w:val="005765DC"/>
    <w:rsid w:val="00577D5E"/>
    <w:rsid w:val="00580DFA"/>
    <w:rsid w:val="00581730"/>
    <w:rsid w:val="00582FAD"/>
    <w:rsid w:val="00584CFC"/>
    <w:rsid w:val="00587284"/>
    <w:rsid w:val="005959BA"/>
    <w:rsid w:val="00595B3C"/>
    <w:rsid w:val="00595C5C"/>
    <w:rsid w:val="00596266"/>
    <w:rsid w:val="00597109"/>
    <w:rsid w:val="005972C5"/>
    <w:rsid w:val="005977D4"/>
    <w:rsid w:val="005A00A8"/>
    <w:rsid w:val="005A03CA"/>
    <w:rsid w:val="005A3E40"/>
    <w:rsid w:val="005A58A1"/>
    <w:rsid w:val="005B08B0"/>
    <w:rsid w:val="005B11EA"/>
    <w:rsid w:val="005B1BE0"/>
    <w:rsid w:val="005B29B8"/>
    <w:rsid w:val="005B398B"/>
    <w:rsid w:val="005B66A7"/>
    <w:rsid w:val="005B6EC9"/>
    <w:rsid w:val="005C00D5"/>
    <w:rsid w:val="005C0AC8"/>
    <w:rsid w:val="005C0EA6"/>
    <w:rsid w:val="005C26B0"/>
    <w:rsid w:val="005C3DA4"/>
    <w:rsid w:val="005C44B6"/>
    <w:rsid w:val="005C4A95"/>
    <w:rsid w:val="005C59F9"/>
    <w:rsid w:val="005D02A0"/>
    <w:rsid w:val="005D498A"/>
    <w:rsid w:val="005D6C82"/>
    <w:rsid w:val="005E07D1"/>
    <w:rsid w:val="005E08DF"/>
    <w:rsid w:val="005E25F3"/>
    <w:rsid w:val="005E3C01"/>
    <w:rsid w:val="005E4726"/>
    <w:rsid w:val="005E476F"/>
    <w:rsid w:val="005E60F5"/>
    <w:rsid w:val="005F2296"/>
    <w:rsid w:val="005F36AB"/>
    <w:rsid w:val="005F3D30"/>
    <w:rsid w:val="005F4A59"/>
    <w:rsid w:val="005F51A6"/>
    <w:rsid w:val="00600855"/>
    <w:rsid w:val="00600F95"/>
    <w:rsid w:val="00605E0C"/>
    <w:rsid w:val="00610B2A"/>
    <w:rsid w:val="00610F8F"/>
    <w:rsid w:val="006110C6"/>
    <w:rsid w:val="0061166E"/>
    <w:rsid w:val="006124CB"/>
    <w:rsid w:val="00612628"/>
    <w:rsid w:val="00614A69"/>
    <w:rsid w:val="006157D2"/>
    <w:rsid w:val="00616F62"/>
    <w:rsid w:val="00623A19"/>
    <w:rsid w:val="00623C1A"/>
    <w:rsid w:val="00625223"/>
    <w:rsid w:val="00626EC2"/>
    <w:rsid w:val="006316BA"/>
    <w:rsid w:val="0063451E"/>
    <w:rsid w:val="00636255"/>
    <w:rsid w:val="00637F65"/>
    <w:rsid w:val="006404C6"/>
    <w:rsid w:val="00640ACC"/>
    <w:rsid w:val="00641A82"/>
    <w:rsid w:val="00641F02"/>
    <w:rsid w:val="006436C9"/>
    <w:rsid w:val="00643948"/>
    <w:rsid w:val="00644C4E"/>
    <w:rsid w:val="006524A6"/>
    <w:rsid w:val="00652E5A"/>
    <w:rsid w:val="0065500B"/>
    <w:rsid w:val="006552DF"/>
    <w:rsid w:val="00660ADD"/>
    <w:rsid w:val="00664EE0"/>
    <w:rsid w:val="0066718D"/>
    <w:rsid w:val="00667A2E"/>
    <w:rsid w:val="00670412"/>
    <w:rsid w:val="006710ED"/>
    <w:rsid w:val="00671F07"/>
    <w:rsid w:val="00675363"/>
    <w:rsid w:val="00676492"/>
    <w:rsid w:val="00677C03"/>
    <w:rsid w:val="00680F8C"/>
    <w:rsid w:val="00687888"/>
    <w:rsid w:val="00691458"/>
    <w:rsid w:val="00692318"/>
    <w:rsid w:val="00693C1D"/>
    <w:rsid w:val="00693E95"/>
    <w:rsid w:val="00694336"/>
    <w:rsid w:val="00694B68"/>
    <w:rsid w:val="00695ECE"/>
    <w:rsid w:val="00696C8F"/>
    <w:rsid w:val="006A0285"/>
    <w:rsid w:val="006A559D"/>
    <w:rsid w:val="006A6DF5"/>
    <w:rsid w:val="006B1CC6"/>
    <w:rsid w:val="006B27A2"/>
    <w:rsid w:val="006B2C08"/>
    <w:rsid w:val="006B3522"/>
    <w:rsid w:val="006B5B2F"/>
    <w:rsid w:val="006B6053"/>
    <w:rsid w:val="006B7B02"/>
    <w:rsid w:val="006C15FE"/>
    <w:rsid w:val="006C3E90"/>
    <w:rsid w:val="006D3780"/>
    <w:rsid w:val="006D4B2F"/>
    <w:rsid w:val="006D6FBB"/>
    <w:rsid w:val="006D7365"/>
    <w:rsid w:val="006E0D79"/>
    <w:rsid w:val="006E482A"/>
    <w:rsid w:val="006E5386"/>
    <w:rsid w:val="006E7B98"/>
    <w:rsid w:val="006F1851"/>
    <w:rsid w:val="006F355C"/>
    <w:rsid w:val="006F5386"/>
    <w:rsid w:val="006F67C7"/>
    <w:rsid w:val="006F731F"/>
    <w:rsid w:val="006F745A"/>
    <w:rsid w:val="007009F4"/>
    <w:rsid w:val="00702779"/>
    <w:rsid w:val="00703862"/>
    <w:rsid w:val="0071039B"/>
    <w:rsid w:val="007104C0"/>
    <w:rsid w:val="0071151C"/>
    <w:rsid w:val="007143D1"/>
    <w:rsid w:val="00714F52"/>
    <w:rsid w:val="00716ED1"/>
    <w:rsid w:val="00720D97"/>
    <w:rsid w:val="0072172C"/>
    <w:rsid w:val="007222AF"/>
    <w:rsid w:val="00722D24"/>
    <w:rsid w:val="00723DEC"/>
    <w:rsid w:val="00732E41"/>
    <w:rsid w:val="007338D9"/>
    <w:rsid w:val="00737B83"/>
    <w:rsid w:val="007417F6"/>
    <w:rsid w:val="007434CE"/>
    <w:rsid w:val="007443B1"/>
    <w:rsid w:val="007462B7"/>
    <w:rsid w:val="00747220"/>
    <w:rsid w:val="007472B1"/>
    <w:rsid w:val="00750D7E"/>
    <w:rsid w:val="007511AF"/>
    <w:rsid w:val="00753663"/>
    <w:rsid w:val="0075374F"/>
    <w:rsid w:val="00754D2D"/>
    <w:rsid w:val="007607EC"/>
    <w:rsid w:val="00761887"/>
    <w:rsid w:val="00762022"/>
    <w:rsid w:val="00763246"/>
    <w:rsid w:val="00767FC1"/>
    <w:rsid w:val="00775F8E"/>
    <w:rsid w:val="007769EB"/>
    <w:rsid w:val="00777041"/>
    <w:rsid w:val="007803D5"/>
    <w:rsid w:val="00780469"/>
    <w:rsid w:val="0078204F"/>
    <w:rsid w:val="00782F4F"/>
    <w:rsid w:val="007835B6"/>
    <w:rsid w:val="00784CF8"/>
    <w:rsid w:val="0078528B"/>
    <w:rsid w:val="00785679"/>
    <w:rsid w:val="007860D1"/>
    <w:rsid w:val="007864FA"/>
    <w:rsid w:val="00787D57"/>
    <w:rsid w:val="00790575"/>
    <w:rsid w:val="00793755"/>
    <w:rsid w:val="0079507A"/>
    <w:rsid w:val="007971D3"/>
    <w:rsid w:val="00797607"/>
    <w:rsid w:val="007978B1"/>
    <w:rsid w:val="007A0532"/>
    <w:rsid w:val="007A15D4"/>
    <w:rsid w:val="007A2277"/>
    <w:rsid w:val="007A2BD2"/>
    <w:rsid w:val="007A340F"/>
    <w:rsid w:val="007A46A8"/>
    <w:rsid w:val="007A4E77"/>
    <w:rsid w:val="007A6F0C"/>
    <w:rsid w:val="007A745D"/>
    <w:rsid w:val="007B01AA"/>
    <w:rsid w:val="007B0AB8"/>
    <w:rsid w:val="007B0B14"/>
    <w:rsid w:val="007B1B0A"/>
    <w:rsid w:val="007B29E0"/>
    <w:rsid w:val="007B2F73"/>
    <w:rsid w:val="007B4C50"/>
    <w:rsid w:val="007B539C"/>
    <w:rsid w:val="007B592C"/>
    <w:rsid w:val="007B5E82"/>
    <w:rsid w:val="007B6370"/>
    <w:rsid w:val="007B63E8"/>
    <w:rsid w:val="007B64C7"/>
    <w:rsid w:val="007B7942"/>
    <w:rsid w:val="007C19F0"/>
    <w:rsid w:val="007C226D"/>
    <w:rsid w:val="007C4D0F"/>
    <w:rsid w:val="007C4DB7"/>
    <w:rsid w:val="007C6606"/>
    <w:rsid w:val="007D0410"/>
    <w:rsid w:val="007D21A2"/>
    <w:rsid w:val="007D3D62"/>
    <w:rsid w:val="007D45DB"/>
    <w:rsid w:val="007D6898"/>
    <w:rsid w:val="007D6D8E"/>
    <w:rsid w:val="007E158C"/>
    <w:rsid w:val="007E1AFB"/>
    <w:rsid w:val="007E7EBE"/>
    <w:rsid w:val="007F011B"/>
    <w:rsid w:val="007F0684"/>
    <w:rsid w:val="007F11BB"/>
    <w:rsid w:val="007F1AED"/>
    <w:rsid w:val="007F4071"/>
    <w:rsid w:val="007F4A2D"/>
    <w:rsid w:val="007F78D7"/>
    <w:rsid w:val="00800AEC"/>
    <w:rsid w:val="0080301E"/>
    <w:rsid w:val="008051FC"/>
    <w:rsid w:val="008107C9"/>
    <w:rsid w:val="0081181F"/>
    <w:rsid w:val="00811AA8"/>
    <w:rsid w:val="00823AEF"/>
    <w:rsid w:val="008254FA"/>
    <w:rsid w:val="00832F15"/>
    <w:rsid w:val="008344AC"/>
    <w:rsid w:val="008355E9"/>
    <w:rsid w:val="00837391"/>
    <w:rsid w:val="00837FB7"/>
    <w:rsid w:val="00841A96"/>
    <w:rsid w:val="00841EAB"/>
    <w:rsid w:val="008434DC"/>
    <w:rsid w:val="008466FB"/>
    <w:rsid w:val="00846CF4"/>
    <w:rsid w:val="0084793E"/>
    <w:rsid w:val="008506A6"/>
    <w:rsid w:val="00851DBD"/>
    <w:rsid w:val="00853C35"/>
    <w:rsid w:val="008569DD"/>
    <w:rsid w:val="00856EC5"/>
    <w:rsid w:val="00857B24"/>
    <w:rsid w:val="00863245"/>
    <w:rsid w:val="0086493A"/>
    <w:rsid w:val="00867152"/>
    <w:rsid w:val="008719F2"/>
    <w:rsid w:val="00871A64"/>
    <w:rsid w:val="00873818"/>
    <w:rsid w:val="00874965"/>
    <w:rsid w:val="00875562"/>
    <w:rsid w:val="00875CDA"/>
    <w:rsid w:val="008777BD"/>
    <w:rsid w:val="00880642"/>
    <w:rsid w:val="008818C0"/>
    <w:rsid w:val="00882C5A"/>
    <w:rsid w:val="00882EB8"/>
    <w:rsid w:val="008839DB"/>
    <w:rsid w:val="00885DA0"/>
    <w:rsid w:val="008872E8"/>
    <w:rsid w:val="00891C90"/>
    <w:rsid w:val="00892D4B"/>
    <w:rsid w:val="00893AE2"/>
    <w:rsid w:val="00895B99"/>
    <w:rsid w:val="008972F5"/>
    <w:rsid w:val="008A034F"/>
    <w:rsid w:val="008A0922"/>
    <w:rsid w:val="008A4D2E"/>
    <w:rsid w:val="008A4F5A"/>
    <w:rsid w:val="008A4FD0"/>
    <w:rsid w:val="008A5732"/>
    <w:rsid w:val="008B67F6"/>
    <w:rsid w:val="008B7372"/>
    <w:rsid w:val="008B7D48"/>
    <w:rsid w:val="008C4DDE"/>
    <w:rsid w:val="008C5B8D"/>
    <w:rsid w:val="008C6251"/>
    <w:rsid w:val="008D31F2"/>
    <w:rsid w:val="008D3EC5"/>
    <w:rsid w:val="008D56B0"/>
    <w:rsid w:val="008D58E2"/>
    <w:rsid w:val="008D6E69"/>
    <w:rsid w:val="008E023D"/>
    <w:rsid w:val="008E0B99"/>
    <w:rsid w:val="008E4C9C"/>
    <w:rsid w:val="008E51BF"/>
    <w:rsid w:val="008E7FED"/>
    <w:rsid w:val="008F116E"/>
    <w:rsid w:val="008F11B8"/>
    <w:rsid w:val="008F38DC"/>
    <w:rsid w:val="008F3C22"/>
    <w:rsid w:val="008F4629"/>
    <w:rsid w:val="008F471A"/>
    <w:rsid w:val="008F5165"/>
    <w:rsid w:val="008F6734"/>
    <w:rsid w:val="008F7394"/>
    <w:rsid w:val="008F73CB"/>
    <w:rsid w:val="00901BC0"/>
    <w:rsid w:val="0090287A"/>
    <w:rsid w:val="00902C2D"/>
    <w:rsid w:val="00903026"/>
    <w:rsid w:val="00903677"/>
    <w:rsid w:val="0090494F"/>
    <w:rsid w:val="00905F83"/>
    <w:rsid w:val="00907670"/>
    <w:rsid w:val="00910D78"/>
    <w:rsid w:val="00911C7C"/>
    <w:rsid w:val="009129D2"/>
    <w:rsid w:val="009140CF"/>
    <w:rsid w:val="00917D25"/>
    <w:rsid w:val="00920AED"/>
    <w:rsid w:val="00922062"/>
    <w:rsid w:val="00923E32"/>
    <w:rsid w:val="009251BF"/>
    <w:rsid w:val="00930C0C"/>
    <w:rsid w:val="0093165C"/>
    <w:rsid w:val="0093278A"/>
    <w:rsid w:val="00933538"/>
    <w:rsid w:val="00934E9E"/>
    <w:rsid w:val="00935363"/>
    <w:rsid w:val="00936320"/>
    <w:rsid w:val="00936E60"/>
    <w:rsid w:val="0093787C"/>
    <w:rsid w:val="00937991"/>
    <w:rsid w:val="00937A88"/>
    <w:rsid w:val="009405D0"/>
    <w:rsid w:val="0094527E"/>
    <w:rsid w:val="009457F6"/>
    <w:rsid w:val="00945B3D"/>
    <w:rsid w:val="00945F03"/>
    <w:rsid w:val="0094635F"/>
    <w:rsid w:val="00946C07"/>
    <w:rsid w:val="00952D98"/>
    <w:rsid w:val="00953883"/>
    <w:rsid w:val="00953F6D"/>
    <w:rsid w:val="00956953"/>
    <w:rsid w:val="00962A22"/>
    <w:rsid w:val="00963E8D"/>
    <w:rsid w:val="0097148C"/>
    <w:rsid w:val="00972454"/>
    <w:rsid w:val="0097251C"/>
    <w:rsid w:val="00972524"/>
    <w:rsid w:val="009736D6"/>
    <w:rsid w:val="00974AFC"/>
    <w:rsid w:val="00981DB4"/>
    <w:rsid w:val="00984CEB"/>
    <w:rsid w:val="00985A97"/>
    <w:rsid w:val="00985B0F"/>
    <w:rsid w:val="00987387"/>
    <w:rsid w:val="00987844"/>
    <w:rsid w:val="00993DFC"/>
    <w:rsid w:val="0099571D"/>
    <w:rsid w:val="00997393"/>
    <w:rsid w:val="009A5D98"/>
    <w:rsid w:val="009A60E8"/>
    <w:rsid w:val="009A699D"/>
    <w:rsid w:val="009B219A"/>
    <w:rsid w:val="009B3886"/>
    <w:rsid w:val="009B569F"/>
    <w:rsid w:val="009B6CCC"/>
    <w:rsid w:val="009B74B6"/>
    <w:rsid w:val="009C1A74"/>
    <w:rsid w:val="009C2285"/>
    <w:rsid w:val="009D38A8"/>
    <w:rsid w:val="009D3B76"/>
    <w:rsid w:val="009D6782"/>
    <w:rsid w:val="009D7640"/>
    <w:rsid w:val="009D76E4"/>
    <w:rsid w:val="009E1131"/>
    <w:rsid w:val="009E20B1"/>
    <w:rsid w:val="009E374C"/>
    <w:rsid w:val="009E37AE"/>
    <w:rsid w:val="009E5440"/>
    <w:rsid w:val="009E5DD2"/>
    <w:rsid w:val="009E7685"/>
    <w:rsid w:val="009F11AA"/>
    <w:rsid w:val="009F3715"/>
    <w:rsid w:val="009F4440"/>
    <w:rsid w:val="009F69C1"/>
    <w:rsid w:val="009F6D2D"/>
    <w:rsid w:val="00A00A4A"/>
    <w:rsid w:val="00A00AFC"/>
    <w:rsid w:val="00A0334D"/>
    <w:rsid w:val="00A07754"/>
    <w:rsid w:val="00A0786F"/>
    <w:rsid w:val="00A106A7"/>
    <w:rsid w:val="00A10E72"/>
    <w:rsid w:val="00A1347A"/>
    <w:rsid w:val="00A158C2"/>
    <w:rsid w:val="00A16049"/>
    <w:rsid w:val="00A16DB7"/>
    <w:rsid w:val="00A17C58"/>
    <w:rsid w:val="00A202F1"/>
    <w:rsid w:val="00A248B4"/>
    <w:rsid w:val="00A255EB"/>
    <w:rsid w:val="00A25CA4"/>
    <w:rsid w:val="00A279B3"/>
    <w:rsid w:val="00A308E7"/>
    <w:rsid w:val="00A402A1"/>
    <w:rsid w:val="00A40D41"/>
    <w:rsid w:val="00A418C8"/>
    <w:rsid w:val="00A428CE"/>
    <w:rsid w:val="00A42A3D"/>
    <w:rsid w:val="00A451C3"/>
    <w:rsid w:val="00A46638"/>
    <w:rsid w:val="00A47517"/>
    <w:rsid w:val="00A47DFF"/>
    <w:rsid w:val="00A50E44"/>
    <w:rsid w:val="00A52ABA"/>
    <w:rsid w:val="00A53DE1"/>
    <w:rsid w:val="00A54149"/>
    <w:rsid w:val="00A544AA"/>
    <w:rsid w:val="00A565C9"/>
    <w:rsid w:val="00A57502"/>
    <w:rsid w:val="00A57630"/>
    <w:rsid w:val="00A57EBA"/>
    <w:rsid w:val="00A61804"/>
    <w:rsid w:val="00A61F9A"/>
    <w:rsid w:val="00A61FF4"/>
    <w:rsid w:val="00A64889"/>
    <w:rsid w:val="00A65548"/>
    <w:rsid w:val="00A677EA"/>
    <w:rsid w:val="00A70C7E"/>
    <w:rsid w:val="00A7224A"/>
    <w:rsid w:val="00A7292F"/>
    <w:rsid w:val="00A7327D"/>
    <w:rsid w:val="00A73694"/>
    <w:rsid w:val="00A749FC"/>
    <w:rsid w:val="00A74F71"/>
    <w:rsid w:val="00A7577A"/>
    <w:rsid w:val="00A77AB6"/>
    <w:rsid w:val="00A80011"/>
    <w:rsid w:val="00A80B0C"/>
    <w:rsid w:val="00A81083"/>
    <w:rsid w:val="00A8267C"/>
    <w:rsid w:val="00A9195F"/>
    <w:rsid w:val="00A91CCF"/>
    <w:rsid w:val="00A929FD"/>
    <w:rsid w:val="00A92D7D"/>
    <w:rsid w:val="00A93780"/>
    <w:rsid w:val="00A940B7"/>
    <w:rsid w:val="00A96F0D"/>
    <w:rsid w:val="00A97CF4"/>
    <w:rsid w:val="00AA1AE1"/>
    <w:rsid w:val="00AA23FC"/>
    <w:rsid w:val="00AA3A12"/>
    <w:rsid w:val="00AA5D46"/>
    <w:rsid w:val="00AA6B82"/>
    <w:rsid w:val="00AA6F87"/>
    <w:rsid w:val="00AA7B25"/>
    <w:rsid w:val="00AB11BA"/>
    <w:rsid w:val="00AB143C"/>
    <w:rsid w:val="00AB26DD"/>
    <w:rsid w:val="00AB3AB3"/>
    <w:rsid w:val="00AB46BA"/>
    <w:rsid w:val="00AB530D"/>
    <w:rsid w:val="00AB6894"/>
    <w:rsid w:val="00AB75DD"/>
    <w:rsid w:val="00AC157D"/>
    <w:rsid w:val="00AC3814"/>
    <w:rsid w:val="00AC4030"/>
    <w:rsid w:val="00AC4D2C"/>
    <w:rsid w:val="00AC4E74"/>
    <w:rsid w:val="00AC5266"/>
    <w:rsid w:val="00AC545A"/>
    <w:rsid w:val="00AC70B3"/>
    <w:rsid w:val="00AD0839"/>
    <w:rsid w:val="00AD1B37"/>
    <w:rsid w:val="00AD636E"/>
    <w:rsid w:val="00AE297F"/>
    <w:rsid w:val="00AE3DA8"/>
    <w:rsid w:val="00AE44AE"/>
    <w:rsid w:val="00AE4C2E"/>
    <w:rsid w:val="00AF038A"/>
    <w:rsid w:val="00AF10E9"/>
    <w:rsid w:val="00AF1D45"/>
    <w:rsid w:val="00AF2626"/>
    <w:rsid w:val="00AF2BD0"/>
    <w:rsid w:val="00AF2D0B"/>
    <w:rsid w:val="00AF323E"/>
    <w:rsid w:val="00AF3B21"/>
    <w:rsid w:val="00AF4982"/>
    <w:rsid w:val="00AF4EF7"/>
    <w:rsid w:val="00AF6725"/>
    <w:rsid w:val="00AF7270"/>
    <w:rsid w:val="00B06882"/>
    <w:rsid w:val="00B11B6F"/>
    <w:rsid w:val="00B157C0"/>
    <w:rsid w:val="00B15FF9"/>
    <w:rsid w:val="00B21EA7"/>
    <w:rsid w:val="00B229F7"/>
    <w:rsid w:val="00B23894"/>
    <w:rsid w:val="00B24477"/>
    <w:rsid w:val="00B24CF0"/>
    <w:rsid w:val="00B24D10"/>
    <w:rsid w:val="00B24E30"/>
    <w:rsid w:val="00B2589E"/>
    <w:rsid w:val="00B25A0E"/>
    <w:rsid w:val="00B26050"/>
    <w:rsid w:val="00B26222"/>
    <w:rsid w:val="00B263E7"/>
    <w:rsid w:val="00B30FBB"/>
    <w:rsid w:val="00B31E2E"/>
    <w:rsid w:val="00B329F3"/>
    <w:rsid w:val="00B337D2"/>
    <w:rsid w:val="00B34195"/>
    <w:rsid w:val="00B34E9F"/>
    <w:rsid w:val="00B36819"/>
    <w:rsid w:val="00B40FC0"/>
    <w:rsid w:val="00B4433C"/>
    <w:rsid w:val="00B452A6"/>
    <w:rsid w:val="00B46860"/>
    <w:rsid w:val="00B46F41"/>
    <w:rsid w:val="00B472E1"/>
    <w:rsid w:val="00B47579"/>
    <w:rsid w:val="00B50274"/>
    <w:rsid w:val="00B507AB"/>
    <w:rsid w:val="00B50B31"/>
    <w:rsid w:val="00B5139E"/>
    <w:rsid w:val="00B54A70"/>
    <w:rsid w:val="00B56C5A"/>
    <w:rsid w:val="00B570F2"/>
    <w:rsid w:val="00B60EAD"/>
    <w:rsid w:val="00B641EE"/>
    <w:rsid w:val="00B64BAE"/>
    <w:rsid w:val="00B661B3"/>
    <w:rsid w:val="00B67EC1"/>
    <w:rsid w:val="00B71C51"/>
    <w:rsid w:val="00B730AB"/>
    <w:rsid w:val="00B749EC"/>
    <w:rsid w:val="00B753C6"/>
    <w:rsid w:val="00B75FE6"/>
    <w:rsid w:val="00B77AAE"/>
    <w:rsid w:val="00B80A67"/>
    <w:rsid w:val="00B8157A"/>
    <w:rsid w:val="00B81F50"/>
    <w:rsid w:val="00B83B96"/>
    <w:rsid w:val="00B83C45"/>
    <w:rsid w:val="00B85786"/>
    <w:rsid w:val="00B85AD7"/>
    <w:rsid w:val="00B905EC"/>
    <w:rsid w:val="00B9165B"/>
    <w:rsid w:val="00B92A70"/>
    <w:rsid w:val="00B92A91"/>
    <w:rsid w:val="00B93461"/>
    <w:rsid w:val="00B9468E"/>
    <w:rsid w:val="00B9581F"/>
    <w:rsid w:val="00B95A5A"/>
    <w:rsid w:val="00B9607B"/>
    <w:rsid w:val="00B9695A"/>
    <w:rsid w:val="00B96F48"/>
    <w:rsid w:val="00B97171"/>
    <w:rsid w:val="00B976AA"/>
    <w:rsid w:val="00BA2CDA"/>
    <w:rsid w:val="00BA4939"/>
    <w:rsid w:val="00BA53A5"/>
    <w:rsid w:val="00BB2E03"/>
    <w:rsid w:val="00BB4538"/>
    <w:rsid w:val="00BB50CC"/>
    <w:rsid w:val="00BC0571"/>
    <w:rsid w:val="00BC3057"/>
    <w:rsid w:val="00BC374F"/>
    <w:rsid w:val="00BC4237"/>
    <w:rsid w:val="00BC452A"/>
    <w:rsid w:val="00BC575D"/>
    <w:rsid w:val="00BC6AF6"/>
    <w:rsid w:val="00BC6B70"/>
    <w:rsid w:val="00BC7F26"/>
    <w:rsid w:val="00BD064D"/>
    <w:rsid w:val="00BD0AA2"/>
    <w:rsid w:val="00BD2753"/>
    <w:rsid w:val="00BD2A34"/>
    <w:rsid w:val="00BD2FF5"/>
    <w:rsid w:val="00BD3021"/>
    <w:rsid w:val="00BD7659"/>
    <w:rsid w:val="00BD7E31"/>
    <w:rsid w:val="00BE1602"/>
    <w:rsid w:val="00BE4E7B"/>
    <w:rsid w:val="00BE5C9C"/>
    <w:rsid w:val="00BE6AE3"/>
    <w:rsid w:val="00BE6B4B"/>
    <w:rsid w:val="00BF5E26"/>
    <w:rsid w:val="00BF5E31"/>
    <w:rsid w:val="00BF6E9A"/>
    <w:rsid w:val="00BF7F3F"/>
    <w:rsid w:val="00C00C67"/>
    <w:rsid w:val="00C01C7F"/>
    <w:rsid w:val="00C02788"/>
    <w:rsid w:val="00C042C6"/>
    <w:rsid w:val="00C048CC"/>
    <w:rsid w:val="00C05C4D"/>
    <w:rsid w:val="00C06A17"/>
    <w:rsid w:val="00C11491"/>
    <w:rsid w:val="00C15AD3"/>
    <w:rsid w:val="00C162F7"/>
    <w:rsid w:val="00C165F1"/>
    <w:rsid w:val="00C16D8D"/>
    <w:rsid w:val="00C16E9D"/>
    <w:rsid w:val="00C20305"/>
    <w:rsid w:val="00C23208"/>
    <w:rsid w:val="00C23CF4"/>
    <w:rsid w:val="00C27C67"/>
    <w:rsid w:val="00C30FF4"/>
    <w:rsid w:val="00C31A3B"/>
    <w:rsid w:val="00C32E88"/>
    <w:rsid w:val="00C34677"/>
    <w:rsid w:val="00C34BDF"/>
    <w:rsid w:val="00C37C34"/>
    <w:rsid w:val="00C42073"/>
    <w:rsid w:val="00C437FC"/>
    <w:rsid w:val="00C44F3F"/>
    <w:rsid w:val="00C463AC"/>
    <w:rsid w:val="00C46B8B"/>
    <w:rsid w:val="00C474C0"/>
    <w:rsid w:val="00C478F3"/>
    <w:rsid w:val="00C538BC"/>
    <w:rsid w:val="00C540F0"/>
    <w:rsid w:val="00C54236"/>
    <w:rsid w:val="00C635EA"/>
    <w:rsid w:val="00C65AFA"/>
    <w:rsid w:val="00C66A81"/>
    <w:rsid w:val="00C66FEF"/>
    <w:rsid w:val="00C67662"/>
    <w:rsid w:val="00C70B40"/>
    <w:rsid w:val="00C75302"/>
    <w:rsid w:val="00C76793"/>
    <w:rsid w:val="00C81390"/>
    <w:rsid w:val="00C825EE"/>
    <w:rsid w:val="00C827CE"/>
    <w:rsid w:val="00C82E7A"/>
    <w:rsid w:val="00C83F22"/>
    <w:rsid w:val="00C8501A"/>
    <w:rsid w:val="00C86D8C"/>
    <w:rsid w:val="00C87FFD"/>
    <w:rsid w:val="00C901CE"/>
    <w:rsid w:val="00C914B3"/>
    <w:rsid w:val="00C9347D"/>
    <w:rsid w:val="00C95302"/>
    <w:rsid w:val="00C96679"/>
    <w:rsid w:val="00CA0016"/>
    <w:rsid w:val="00CA054E"/>
    <w:rsid w:val="00CA0B5C"/>
    <w:rsid w:val="00CA2532"/>
    <w:rsid w:val="00CA2F61"/>
    <w:rsid w:val="00CA3286"/>
    <w:rsid w:val="00CB14A6"/>
    <w:rsid w:val="00CB268C"/>
    <w:rsid w:val="00CB2B38"/>
    <w:rsid w:val="00CB3925"/>
    <w:rsid w:val="00CB74F0"/>
    <w:rsid w:val="00CB7702"/>
    <w:rsid w:val="00CB7B33"/>
    <w:rsid w:val="00CC369F"/>
    <w:rsid w:val="00CC4549"/>
    <w:rsid w:val="00CC4553"/>
    <w:rsid w:val="00CC4B12"/>
    <w:rsid w:val="00CC558A"/>
    <w:rsid w:val="00CD2F19"/>
    <w:rsid w:val="00CE1903"/>
    <w:rsid w:val="00CE60E7"/>
    <w:rsid w:val="00CF1C18"/>
    <w:rsid w:val="00CF1D80"/>
    <w:rsid w:val="00CF6620"/>
    <w:rsid w:val="00CF72E0"/>
    <w:rsid w:val="00D00A7B"/>
    <w:rsid w:val="00D00DFF"/>
    <w:rsid w:val="00D0189E"/>
    <w:rsid w:val="00D0422F"/>
    <w:rsid w:val="00D04E52"/>
    <w:rsid w:val="00D0657F"/>
    <w:rsid w:val="00D06B56"/>
    <w:rsid w:val="00D1440F"/>
    <w:rsid w:val="00D178B2"/>
    <w:rsid w:val="00D23E09"/>
    <w:rsid w:val="00D27344"/>
    <w:rsid w:val="00D2760E"/>
    <w:rsid w:val="00D306D5"/>
    <w:rsid w:val="00D34165"/>
    <w:rsid w:val="00D34AEB"/>
    <w:rsid w:val="00D35B40"/>
    <w:rsid w:val="00D37ED7"/>
    <w:rsid w:val="00D412F0"/>
    <w:rsid w:val="00D42378"/>
    <w:rsid w:val="00D42A64"/>
    <w:rsid w:val="00D42EE0"/>
    <w:rsid w:val="00D43AA5"/>
    <w:rsid w:val="00D43ED4"/>
    <w:rsid w:val="00D4684E"/>
    <w:rsid w:val="00D47761"/>
    <w:rsid w:val="00D47D41"/>
    <w:rsid w:val="00D54B2F"/>
    <w:rsid w:val="00D54C0E"/>
    <w:rsid w:val="00D54E1F"/>
    <w:rsid w:val="00D56575"/>
    <w:rsid w:val="00D56940"/>
    <w:rsid w:val="00D57183"/>
    <w:rsid w:val="00D61360"/>
    <w:rsid w:val="00D6224D"/>
    <w:rsid w:val="00D657BA"/>
    <w:rsid w:val="00D66180"/>
    <w:rsid w:val="00D66E51"/>
    <w:rsid w:val="00D67282"/>
    <w:rsid w:val="00D679ED"/>
    <w:rsid w:val="00D67E3E"/>
    <w:rsid w:val="00D73435"/>
    <w:rsid w:val="00D74C84"/>
    <w:rsid w:val="00D75354"/>
    <w:rsid w:val="00D755EE"/>
    <w:rsid w:val="00D75DF7"/>
    <w:rsid w:val="00D81056"/>
    <w:rsid w:val="00D8110E"/>
    <w:rsid w:val="00D816B7"/>
    <w:rsid w:val="00D81C14"/>
    <w:rsid w:val="00D82AFE"/>
    <w:rsid w:val="00D83AEF"/>
    <w:rsid w:val="00D85201"/>
    <w:rsid w:val="00D85E64"/>
    <w:rsid w:val="00D861A2"/>
    <w:rsid w:val="00D868D1"/>
    <w:rsid w:val="00D86A98"/>
    <w:rsid w:val="00D918C3"/>
    <w:rsid w:val="00D923A9"/>
    <w:rsid w:val="00D962E4"/>
    <w:rsid w:val="00D97B4B"/>
    <w:rsid w:val="00DA04A5"/>
    <w:rsid w:val="00DA0E21"/>
    <w:rsid w:val="00DA3146"/>
    <w:rsid w:val="00DB1C64"/>
    <w:rsid w:val="00DB243A"/>
    <w:rsid w:val="00DB28E8"/>
    <w:rsid w:val="00DB6729"/>
    <w:rsid w:val="00DC01BB"/>
    <w:rsid w:val="00DC1281"/>
    <w:rsid w:val="00DC334B"/>
    <w:rsid w:val="00DC3365"/>
    <w:rsid w:val="00DD0576"/>
    <w:rsid w:val="00DD1A57"/>
    <w:rsid w:val="00DD3ABE"/>
    <w:rsid w:val="00DD48FF"/>
    <w:rsid w:val="00DD5077"/>
    <w:rsid w:val="00DD5673"/>
    <w:rsid w:val="00DE0236"/>
    <w:rsid w:val="00DE0E61"/>
    <w:rsid w:val="00DE28D0"/>
    <w:rsid w:val="00DE7085"/>
    <w:rsid w:val="00DF011E"/>
    <w:rsid w:val="00DF3D48"/>
    <w:rsid w:val="00DF402C"/>
    <w:rsid w:val="00DF568C"/>
    <w:rsid w:val="00DF5893"/>
    <w:rsid w:val="00DF7A01"/>
    <w:rsid w:val="00E00FE0"/>
    <w:rsid w:val="00E045C3"/>
    <w:rsid w:val="00E10869"/>
    <w:rsid w:val="00E11108"/>
    <w:rsid w:val="00E13224"/>
    <w:rsid w:val="00E13DC1"/>
    <w:rsid w:val="00E214DE"/>
    <w:rsid w:val="00E22BA1"/>
    <w:rsid w:val="00E2538E"/>
    <w:rsid w:val="00E2619B"/>
    <w:rsid w:val="00E32381"/>
    <w:rsid w:val="00E37E7B"/>
    <w:rsid w:val="00E4026C"/>
    <w:rsid w:val="00E403B1"/>
    <w:rsid w:val="00E4180D"/>
    <w:rsid w:val="00E44291"/>
    <w:rsid w:val="00E44829"/>
    <w:rsid w:val="00E44B22"/>
    <w:rsid w:val="00E452DA"/>
    <w:rsid w:val="00E5212B"/>
    <w:rsid w:val="00E53A25"/>
    <w:rsid w:val="00E55BDE"/>
    <w:rsid w:val="00E55E87"/>
    <w:rsid w:val="00E569F0"/>
    <w:rsid w:val="00E57019"/>
    <w:rsid w:val="00E70D19"/>
    <w:rsid w:val="00E72115"/>
    <w:rsid w:val="00E73156"/>
    <w:rsid w:val="00E748DA"/>
    <w:rsid w:val="00E7672A"/>
    <w:rsid w:val="00E85322"/>
    <w:rsid w:val="00E87535"/>
    <w:rsid w:val="00E87A97"/>
    <w:rsid w:val="00E9042F"/>
    <w:rsid w:val="00E91860"/>
    <w:rsid w:val="00E92BC8"/>
    <w:rsid w:val="00E933C8"/>
    <w:rsid w:val="00E934BC"/>
    <w:rsid w:val="00E93C74"/>
    <w:rsid w:val="00E97007"/>
    <w:rsid w:val="00EA43CF"/>
    <w:rsid w:val="00EA48F3"/>
    <w:rsid w:val="00EB23DE"/>
    <w:rsid w:val="00EB56B0"/>
    <w:rsid w:val="00EB63EF"/>
    <w:rsid w:val="00EB6D02"/>
    <w:rsid w:val="00EB6F2D"/>
    <w:rsid w:val="00EB7A7C"/>
    <w:rsid w:val="00EC1EA2"/>
    <w:rsid w:val="00EC33C7"/>
    <w:rsid w:val="00EC3504"/>
    <w:rsid w:val="00EC685A"/>
    <w:rsid w:val="00ED1879"/>
    <w:rsid w:val="00ED45AA"/>
    <w:rsid w:val="00ED665E"/>
    <w:rsid w:val="00EE203D"/>
    <w:rsid w:val="00EE2D1D"/>
    <w:rsid w:val="00EE3845"/>
    <w:rsid w:val="00EE5F31"/>
    <w:rsid w:val="00EE5F8E"/>
    <w:rsid w:val="00EE647F"/>
    <w:rsid w:val="00EF0287"/>
    <w:rsid w:val="00EF1E66"/>
    <w:rsid w:val="00EF2B8E"/>
    <w:rsid w:val="00EF376A"/>
    <w:rsid w:val="00EF7195"/>
    <w:rsid w:val="00EF74F4"/>
    <w:rsid w:val="00EF7A69"/>
    <w:rsid w:val="00F00040"/>
    <w:rsid w:val="00F01AC6"/>
    <w:rsid w:val="00F01EE0"/>
    <w:rsid w:val="00F02265"/>
    <w:rsid w:val="00F03304"/>
    <w:rsid w:val="00F03AF6"/>
    <w:rsid w:val="00F07264"/>
    <w:rsid w:val="00F075F9"/>
    <w:rsid w:val="00F12897"/>
    <w:rsid w:val="00F157B3"/>
    <w:rsid w:val="00F157CE"/>
    <w:rsid w:val="00F16938"/>
    <w:rsid w:val="00F232A0"/>
    <w:rsid w:val="00F23AE5"/>
    <w:rsid w:val="00F30635"/>
    <w:rsid w:val="00F3149D"/>
    <w:rsid w:val="00F31863"/>
    <w:rsid w:val="00F37200"/>
    <w:rsid w:val="00F37DFF"/>
    <w:rsid w:val="00F40F72"/>
    <w:rsid w:val="00F41286"/>
    <w:rsid w:val="00F41406"/>
    <w:rsid w:val="00F42DA5"/>
    <w:rsid w:val="00F50FE1"/>
    <w:rsid w:val="00F51172"/>
    <w:rsid w:val="00F569D9"/>
    <w:rsid w:val="00F56E45"/>
    <w:rsid w:val="00F610C5"/>
    <w:rsid w:val="00F61321"/>
    <w:rsid w:val="00F65917"/>
    <w:rsid w:val="00F66652"/>
    <w:rsid w:val="00F66B23"/>
    <w:rsid w:val="00F672AA"/>
    <w:rsid w:val="00F67770"/>
    <w:rsid w:val="00F71D73"/>
    <w:rsid w:val="00F721A9"/>
    <w:rsid w:val="00F7277E"/>
    <w:rsid w:val="00F737B4"/>
    <w:rsid w:val="00F75723"/>
    <w:rsid w:val="00F75E63"/>
    <w:rsid w:val="00F760C9"/>
    <w:rsid w:val="00F816CF"/>
    <w:rsid w:val="00F82E00"/>
    <w:rsid w:val="00F83599"/>
    <w:rsid w:val="00F84834"/>
    <w:rsid w:val="00F85C52"/>
    <w:rsid w:val="00F87060"/>
    <w:rsid w:val="00F87E41"/>
    <w:rsid w:val="00F91C3C"/>
    <w:rsid w:val="00F92E64"/>
    <w:rsid w:val="00F92EC2"/>
    <w:rsid w:val="00F94110"/>
    <w:rsid w:val="00F96E8B"/>
    <w:rsid w:val="00FA2190"/>
    <w:rsid w:val="00FA309A"/>
    <w:rsid w:val="00FA3AEB"/>
    <w:rsid w:val="00FB03C2"/>
    <w:rsid w:val="00FB20FF"/>
    <w:rsid w:val="00FB35D3"/>
    <w:rsid w:val="00FB4307"/>
    <w:rsid w:val="00FB43BC"/>
    <w:rsid w:val="00FC089A"/>
    <w:rsid w:val="00FC0D79"/>
    <w:rsid w:val="00FC29D0"/>
    <w:rsid w:val="00FC4498"/>
    <w:rsid w:val="00FC5364"/>
    <w:rsid w:val="00FC5AD5"/>
    <w:rsid w:val="00FD0B8D"/>
    <w:rsid w:val="00FD132B"/>
    <w:rsid w:val="00FD2FE4"/>
    <w:rsid w:val="00FD4584"/>
    <w:rsid w:val="00FD52D5"/>
    <w:rsid w:val="00FD5D0B"/>
    <w:rsid w:val="00FD6D92"/>
    <w:rsid w:val="00FD736C"/>
    <w:rsid w:val="00FD7402"/>
    <w:rsid w:val="00FE0060"/>
    <w:rsid w:val="00FE0AC2"/>
    <w:rsid w:val="00FE0C56"/>
    <w:rsid w:val="00FE129C"/>
    <w:rsid w:val="00FE3700"/>
    <w:rsid w:val="00FE50C3"/>
    <w:rsid w:val="00FE54F3"/>
    <w:rsid w:val="00FE74A5"/>
    <w:rsid w:val="00FE78C3"/>
    <w:rsid w:val="00FF059C"/>
    <w:rsid w:val="00FF1922"/>
    <w:rsid w:val="00FF4CBA"/>
    <w:rsid w:val="00FF5387"/>
    <w:rsid w:val="00FF6D57"/>
    <w:rsid w:val="00FF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57"/>
    <w:pPr>
      <w:widowControl w:val="0"/>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link w:val="Heading1Char"/>
    <w:uiPriority w:val="9"/>
    <w:qFormat/>
    <w:rsid w:val="00AB6894"/>
    <w:pPr>
      <w:widowControl/>
      <w:autoSpaceDE/>
      <w:autoSpaceDN/>
      <w:adjustRightInd/>
      <w:spacing w:after="158"/>
      <w:outlineLvl w:val="0"/>
    </w:pPr>
    <w:rPr>
      <w:rFonts w:ascii="aleoregular" w:hAnsi="aleoregular"/>
      <w:color w:val="777777"/>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2FB"/>
    <w:pPr>
      <w:spacing w:after="0" w:line="240" w:lineRule="auto"/>
    </w:pPr>
  </w:style>
  <w:style w:type="paragraph" w:styleId="Header">
    <w:name w:val="header"/>
    <w:basedOn w:val="Normal"/>
    <w:link w:val="HeaderChar"/>
    <w:uiPriority w:val="99"/>
    <w:unhideWhenUsed/>
    <w:rsid w:val="00A7292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292F"/>
  </w:style>
  <w:style w:type="paragraph" w:styleId="Footer">
    <w:name w:val="footer"/>
    <w:basedOn w:val="Normal"/>
    <w:link w:val="FooterChar"/>
    <w:uiPriority w:val="99"/>
    <w:unhideWhenUsed/>
    <w:rsid w:val="00A7292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292F"/>
  </w:style>
  <w:style w:type="paragraph" w:styleId="NormalWeb">
    <w:name w:val="Normal (Web)"/>
    <w:basedOn w:val="Normal"/>
    <w:uiPriority w:val="99"/>
    <w:semiHidden/>
    <w:unhideWhenUsed/>
    <w:rsid w:val="000A54BE"/>
    <w:pPr>
      <w:widowControl/>
      <w:autoSpaceDE/>
      <w:autoSpaceDN/>
      <w:adjustRightInd/>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D3ABE"/>
    <w:pPr>
      <w:ind w:left="720"/>
      <w:contextualSpacing/>
    </w:pPr>
  </w:style>
  <w:style w:type="character" w:styleId="Strong">
    <w:name w:val="Strong"/>
    <w:basedOn w:val="DefaultParagraphFont"/>
    <w:uiPriority w:val="22"/>
    <w:qFormat/>
    <w:rsid w:val="00AB6894"/>
    <w:rPr>
      <w:b/>
      <w:bCs/>
    </w:rPr>
  </w:style>
  <w:style w:type="character" w:customStyle="1" w:styleId="titleauthoretc5">
    <w:name w:val="titleauthoretc5"/>
    <w:basedOn w:val="DefaultParagraphFont"/>
    <w:rsid w:val="00AB6894"/>
  </w:style>
  <w:style w:type="character" w:customStyle="1" w:styleId="Heading1Char">
    <w:name w:val="Heading 1 Char"/>
    <w:basedOn w:val="DefaultParagraphFont"/>
    <w:link w:val="Heading1"/>
    <w:uiPriority w:val="9"/>
    <w:rsid w:val="00AB6894"/>
    <w:rPr>
      <w:rFonts w:ascii="aleoregular" w:eastAsia="Times New Roman" w:hAnsi="aleoregular" w:cs="Times New Roman"/>
      <w:color w:val="777777"/>
      <w:kern w:val="36"/>
      <w:sz w:val="42"/>
      <w:szCs w:val="42"/>
    </w:rPr>
  </w:style>
  <w:style w:type="paragraph" w:customStyle="1" w:styleId="Default">
    <w:name w:val="Default"/>
    <w:rsid w:val="00DF5893"/>
    <w:pPr>
      <w:autoSpaceDE w:val="0"/>
      <w:autoSpaceDN w:val="0"/>
      <w:adjustRightInd w:val="0"/>
      <w:spacing w:after="0" w:line="240" w:lineRule="auto"/>
    </w:pPr>
    <w:rPr>
      <w:rFonts w:ascii="Calibri" w:hAnsi="Calibri" w:cs="Calibri"/>
      <w:color w:val="000000"/>
      <w:sz w:val="24"/>
      <w:szCs w:val="24"/>
    </w:rPr>
  </w:style>
  <w:style w:type="character" w:customStyle="1" w:styleId="article-classifiergap">
    <w:name w:val="article-classifier__gap"/>
    <w:basedOn w:val="DefaultParagraphFont"/>
    <w:rsid w:val="0053702F"/>
  </w:style>
  <w:style w:type="paragraph" w:styleId="BalloonText">
    <w:name w:val="Balloon Text"/>
    <w:basedOn w:val="Normal"/>
    <w:link w:val="BalloonTextChar"/>
    <w:uiPriority w:val="99"/>
    <w:semiHidden/>
    <w:unhideWhenUsed/>
    <w:rsid w:val="000E5EA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5EA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E203D"/>
    <w:rPr>
      <w:sz w:val="18"/>
      <w:szCs w:val="18"/>
    </w:rPr>
  </w:style>
  <w:style w:type="paragraph" w:styleId="CommentText">
    <w:name w:val="annotation text"/>
    <w:basedOn w:val="Normal"/>
    <w:link w:val="CommentTextChar"/>
    <w:uiPriority w:val="99"/>
    <w:semiHidden/>
    <w:unhideWhenUsed/>
    <w:rsid w:val="00EE203D"/>
    <w:rPr>
      <w:sz w:val="24"/>
      <w:szCs w:val="24"/>
    </w:rPr>
  </w:style>
  <w:style w:type="character" w:customStyle="1" w:styleId="CommentTextChar">
    <w:name w:val="Comment Text Char"/>
    <w:basedOn w:val="DefaultParagraphFont"/>
    <w:link w:val="CommentText"/>
    <w:uiPriority w:val="99"/>
    <w:semiHidden/>
    <w:rsid w:val="00EE203D"/>
    <w:rPr>
      <w:rFonts w:ascii="Courier 10cpi" w:eastAsia="Times New Roman" w:hAnsi="Courier 10cpi" w:cs="Times New Roman"/>
      <w:sz w:val="24"/>
      <w:szCs w:val="24"/>
    </w:rPr>
  </w:style>
  <w:style w:type="paragraph" w:styleId="CommentSubject">
    <w:name w:val="annotation subject"/>
    <w:basedOn w:val="CommentText"/>
    <w:next w:val="CommentText"/>
    <w:link w:val="CommentSubjectChar"/>
    <w:uiPriority w:val="99"/>
    <w:semiHidden/>
    <w:unhideWhenUsed/>
    <w:rsid w:val="00EE203D"/>
    <w:rPr>
      <w:b/>
      <w:bCs/>
      <w:sz w:val="20"/>
      <w:szCs w:val="20"/>
    </w:rPr>
  </w:style>
  <w:style w:type="character" w:customStyle="1" w:styleId="CommentSubjectChar">
    <w:name w:val="Comment Subject Char"/>
    <w:basedOn w:val="CommentTextChar"/>
    <w:link w:val="CommentSubject"/>
    <w:uiPriority w:val="99"/>
    <w:semiHidden/>
    <w:rsid w:val="00EE203D"/>
    <w:rPr>
      <w:rFonts w:ascii="Courier 10cpi" w:eastAsia="Times New Roman" w:hAnsi="Courier 10cp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57"/>
    <w:pPr>
      <w:widowControl w:val="0"/>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link w:val="Heading1Char"/>
    <w:uiPriority w:val="9"/>
    <w:qFormat/>
    <w:rsid w:val="00AB6894"/>
    <w:pPr>
      <w:widowControl/>
      <w:autoSpaceDE/>
      <w:autoSpaceDN/>
      <w:adjustRightInd/>
      <w:spacing w:after="158"/>
      <w:outlineLvl w:val="0"/>
    </w:pPr>
    <w:rPr>
      <w:rFonts w:ascii="aleoregular" w:hAnsi="aleoregular"/>
      <w:color w:val="777777"/>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2FB"/>
    <w:pPr>
      <w:spacing w:after="0" w:line="240" w:lineRule="auto"/>
    </w:pPr>
  </w:style>
  <w:style w:type="paragraph" w:styleId="Header">
    <w:name w:val="header"/>
    <w:basedOn w:val="Normal"/>
    <w:link w:val="HeaderChar"/>
    <w:uiPriority w:val="99"/>
    <w:unhideWhenUsed/>
    <w:rsid w:val="00A7292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292F"/>
  </w:style>
  <w:style w:type="paragraph" w:styleId="Footer">
    <w:name w:val="footer"/>
    <w:basedOn w:val="Normal"/>
    <w:link w:val="FooterChar"/>
    <w:uiPriority w:val="99"/>
    <w:unhideWhenUsed/>
    <w:rsid w:val="00A7292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292F"/>
  </w:style>
  <w:style w:type="paragraph" w:styleId="NormalWeb">
    <w:name w:val="Normal (Web)"/>
    <w:basedOn w:val="Normal"/>
    <w:uiPriority w:val="99"/>
    <w:semiHidden/>
    <w:unhideWhenUsed/>
    <w:rsid w:val="000A54BE"/>
    <w:pPr>
      <w:widowControl/>
      <w:autoSpaceDE/>
      <w:autoSpaceDN/>
      <w:adjustRightInd/>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D3ABE"/>
    <w:pPr>
      <w:ind w:left="720"/>
      <w:contextualSpacing/>
    </w:pPr>
  </w:style>
  <w:style w:type="character" w:styleId="Strong">
    <w:name w:val="Strong"/>
    <w:basedOn w:val="DefaultParagraphFont"/>
    <w:uiPriority w:val="22"/>
    <w:qFormat/>
    <w:rsid w:val="00AB6894"/>
    <w:rPr>
      <w:b/>
      <w:bCs/>
    </w:rPr>
  </w:style>
  <w:style w:type="character" w:customStyle="1" w:styleId="titleauthoretc5">
    <w:name w:val="titleauthoretc5"/>
    <w:basedOn w:val="DefaultParagraphFont"/>
    <w:rsid w:val="00AB6894"/>
  </w:style>
  <w:style w:type="character" w:customStyle="1" w:styleId="Heading1Char">
    <w:name w:val="Heading 1 Char"/>
    <w:basedOn w:val="DefaultParagraphFont"/>
    <w:link w:val="Heading1"/>
    <w:uiPriority w:val="9"/>
    <w:rsid w:val="00AB6894"/>
    <w:rPr>
      <w:rFonts w:ascii="aleoregular" w:eastAsia="Times New Roman" w:hAnsi="aleoregular" w:cs="Times New Roman"/>
      <w:color w:val="777777"/>
      <w:kern w:val="36"/>
      <w:sz w:val="42"/>
      <w:szCs w:val="42"/>
    </w:rPr>
  </w:style>
  <w:style w:type="paragraph" w:customStyle="1" w:styleId="Default">
    <w:name w:val="Default"/>
    <w:rsid w:val="00DF5893"/>
    <w:pPr>
      <w:autoSpaceDE w:val="0"/>
      <w:autoSpaceDN w:val="0"/>
      <w:adjustRightInd w:val="0"/>
      <w:spacing w:after="0" w:line="240" w:lineRule="auto"/>
    </w:pPr>
    <w:rPr>
      <w:rFonts w:ascii="Calibri" w:hAnsi="Calibri" w:cs="Calibri"/>
      <w:color w:val="000000"/>
      <w:sz w:val="24"/>
      <w:szCs w:val="24"/>
    </w:rPr>
  </w:style>
  <w:style w:type="character" w:customStyle="1" w:styleId="article-classifiergap">
    <w:name w:val="article-classifier__gap"/>
    <w:basedOn w:val="DefaultParagraphFont"/>
    <w:rsid w:val="0053702F"/>
  </w:style>
  <w:style w:type="paragraph" w:styleId="BalloonText">
    <w:name w:val="Balloon Text"/>
    <w:basedOn w:val="Normal"/>
    <w:link w:val="BalloonTextChar"/>
    <w:uiPriority w:val="99"/>
    <w:semiHidden/>
    <w:unhideWhenUsed/>
    <w:rsid w:val="000E5EA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5EA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E203D"/>
    <w:rPr>
      <w:sz w:val="18"/>
      <w:szCs w:val="18"/>
    </w:rPr>
  </w:style>
  <w:style w:type="paragraph" w:styleId="CommentText">
    <w:name w:val="annotation text"/>
    <w:basedOn w:val="Normal"/>
    <w:link w:val="CommentTextChar"/>
    <w:uiPriority w:val="99"/>
    <w:semiHidden/>
    <w:unhideWhenUsed/>
    <w:rsid w:val="00EE203D"/>
    <w:rPr>
      <w:sz w:val="24"/>
      <w:szCs w:val="24"/>
    </w:rPr>
  </w:style>
  <w:style w:type="character" w:customStyle="1" w:styleId="CommentTextChar">
    <w:name w:val="Comment Text Char"/>
    <w:basedOn w:val="DefaultParagraphFont"/>
    <w:link w:val="CommentText"/>
    <w:uiPriority w:val="99"/>
    <w:semiHidden/>
    <w:rsid w:val="00EE203D"/>
    <w:rPr>
      <w:rFonts w:ascii="Courier 10cpi" w:eastAsia="Times New Roman" w:hAnsi="Courier 10cpi" w:cs="Times New Roman"/>
      <w:sz w:val="24"/>
      <w:szCs w:val="24"/>
    </w:rPr>
  </w:style>
  <w:style w:type="paragraph" w:styleId="CommentSubject">
    <w:name w:val="annotation subject"/>
    <w:basedOn w:val="CommentText"/>
    <w:next w:val="CommentText"/>
    <w:link w:val="CommentSubjectChar"/>
    <w:uiPriority w:val="99"/>
    <w:semiHidden/>
    <w:unhideWhenUsed/>
    <w:rsid w:val="00EE203D"/>
    <w:rPr>
      <w:b/>
      <w:bCs/>
      <w:sz w:val="20"/>
      <w:szCs w:val="20"/>
    </w:rPr>
  </w:style>
  <w:style w:type="character" w:customStyle="1" w:styleId="CommentSubjectChar">
    <w:name w:val="Comment Subject Char"/>
    <w:basedOn w:val="CommentTextChar"/>
    <w:link w:val="CommentSubject"/>
    <w:uiPriority w:val="99"/>
    <w:semiHidden/>
    <w:rsid w:val="00EE203D"/>
    <w:rPr>
      <w:rFonts w:ascii="Courier 10cpi" w:eastAsia="Times New Roman" w:hAnsi="Courier 10cp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276">
      <w:bodyDiv w:val="1"/>
      <w:marLeft w:val="0"/>
      <w:marRight w:val="0"/>
      <w:marTop w:val="0"/>
      <w:marBottom w:val="0"/>
      <w:divBdr>
        <w:top w:val="none" w:sz="0" w:space="0" w:color="auto"/>
        <w:left w:val="none" w:sz="0" w:space="0" w:color="auto"/>
        <w:bottom w:val="none" w:sz="0" w:space="0" w:color="auto"/>
        <w:right w:val="none" w:sz="0" w:space="0" w:color="auto"/>
      </w:divBdr>
      <w:divsChild>
        <w:div w:id="1188762456">
          <w:marLeft w:val="360"/>
          <w:marRight w:val="0"/>
          <w:marTop w:val="200"/>
          <w:marBottom w:val="0"/>
          <w:divBdr>
            <w:top w:val="none" w:sz="0" w:space="0" w:color="auto"/>
            <w:left w:val="none" w:sz="0" w:space="0" w:color="auto"/>
            <w:bottom w:val="none" w:sz="0" w:space="0" w:color="auto"/>
            <w:right w:val="none" w:sz="0" w:space="0" w:color="auto"/>
          </w:divBdr>
        </w:div>
        <w:div w:id="716204520">
          <w:marLeft w:val="360"/>
          <w:marRight w:val="0"/>
          <w:marTop w:val="200"/>
          <w:marBottom w:val="0"/>
          <w:divBdr>
            <w:top w:val="none" w:sz="0" w:space="0" w:color="auto"/>
            <w:left w:val="none" w:sz="0" w:space="0" w:color="auto"/>
            <w:bottom w:val="none" w:sz="0" w:space="0" w:color="auto"/>
            <w:right w:val="none" w:sz="0" w:space="0" w:color="auto"/>
          </w:divBdr>
        </w:div>
        <w:div w:id="2051221447">
          <w:marLeft w:val="360"/>
          <w:marRight w:val="0"/>
          <w:marTop w:val="200"/>
          <w:marBottom w:val="0"/>
          <w:divBdr>
            <w:top w:val="none" w:sz="0" w:space="0" w:color="auto"/>
            <w:left w:val="none" w:sz="0" w:space="0" w:color="auto"/>
            <w:bottom w:val="none" w:sz="0" w:space="0" w:color="auto"/>
            <w:right w:val="none" w:sz="0" w:space="0" w:color="auto"/>
          </w:divBdr>
        </w:div>
        <w:div w:id="1680158939">
          <w:marLeft w:val="360"/>
          <w:marRight w:val="0"/>
          <w:marTop w:val="200"/>
          <w:marBottom w:val="0"/>
          <w:divBdr>
            <w:top w:val="none" w:sz="0" w:space="0" w:color="auto"/>
            <w:left w:val="none" w:sz="0" w:space="0" w:color="auto"/>
            <w:bottom w:val="none" w:sz="0" w:space="0" w:color="auto"/>
            <w:right w:val="none" w:sz="0" w:space="0" w:color="auto"/>
          </w:divBdr>
        </w:div>
        <w:div w:id="2043433356">
          <w:marLeft w:val="360"/>
          <w:marRight w:val="0"/>
          <w:marTop w:val="200"/>
          <w:marBottom w:val="0"/>
          <w:divBdr>
            <w:top w:val="none" w:sz="0" w:space="0" w:color="auto"/>
            <w:left w:val="none" w:sz="0" w:space="0" w:color="auto"/>
            <w:bottom w:val="none" w:sz="0" w:space="0" w:color="auto"/>
            <w:right w:val="none" w:sz="0" w:space="0" w:color="auto"/>
          </w:divBdr>
        </w:div>
      </w:divsChild>
    </w:div>
    <w:div w:id="27031628">
      <w:bodyDiv w:val="1"/>
      <w:marLeft w:val="0"/>
      <w:marRight w:val="0"/>
      <w:marTop w:val="0"/>
      <w:marBottom w:val="0"/>
      <w:divBdr>
        <w:top w:val="none" w:sz="0" w:space="0" w:color="auto"/>
        <w:left w:val="none" w:sz="0" w:space="0" w:color="auto"/>
        <w:bottom w:val="none" w:sz="0" w:space="0" w:color="auto"/>
        <w:right w:val="none" w:sz="0" w:space="0" w:color="auto"/>
      </w:divBdr>
      <w:divsChild>
        <w:div w:id="579871893">
          <w:marLeft w:val="0"/>
          <w:marRight w:val="1"/>
          <w:marTop w:val="0"/>
          <w:marBottom w:val="0"/>
          <w:divBdr>
            <w:top w:val="none" w:sz="0" w:space="0" w:color="auto"/>
            <w:left w:val="none" w:sz="0" w:space="0" w:color="auto"/>
            <w:bottom w:val="none" w:sz="0" w:space="0" w:color="auto"/>
            <w:right w:val="none" w:sz="0" w:space="0" w:color="auto"/>
          </w:divBdr>
          <w:divsChild>
            <w:div w:id="797533088">
              <w:marLeft w:val="0"/>
              <w:marRight w:val="0"/>
              <w:marTop w:val="0"/>
              <w:marBottom w:val="0"/>
              <w:divBdr>
                <w:top w:val="none" w:sz="0" w:space="0" w:color="auto"/>
                <w:left w:val="none" w:sz="0" w:space="0" w:color="auto"/>
                <w:bottom w:val="none" w:sz="0" w:space="0" w:color="auto"/>
                <w:right w:val="none" w:sz="0" w:space="0" w:color="auto"/>
              </w:divBdr>
              <w:divsChild>
                <w:div w:id="1741752191">
                  <w:marLeft w:val="0"/>
                  <w:marRight w:val="1"/>
                  <w:marTop w:val="0"/>
                  <w:marBottom w:val="0"/>
                  <w:divBdr>
                    <w:top w:val="none" w:sz="0" w:space="0" w:color="auto"/>
                    <w:left w:val="none" w:sz="0" w:space="0" w:color="auto"/>
                    <w:bottom w:val="none" w:sz="0" w:space="0" w:color="auto"/>
                    <w:right w:val="none" w:sz="0" w:space="0" w:color="auto"/>
                  </w:divBdr>
                  <w:divsChild>
                    <w:div w:id="35007140">
                      <w:marLeft w:val="0"/>
                      <w:marRight w:val="0"/>
                      <w:marTop w:val="0"/>
                      <w:marBottom w:val="0"/>
                      <w:divBdr>
                        <w:top w:val="none" w:sz="0" w:space="0" w:color="auto"/>
                        <w:left w:val="none" w:sz="0" w:space="0" w:color="auto"/>
                        <w:bottom w:val="none" w:sz="0" w:space="0" w:color="auto"/>
                        <w:right w:val="none" w:sz="0" w:space="0" w:color="auto"/>
                      </w:divBdr>
                      <w:divsChild>
                        <w:div w:id="1533768097">
                          <w:marLeft w:val="0"/>
                          <w:marRight w:val="0"/>
                          <w:marTop w:val="0"/>
                          <w:marBottom w:val="0"/>
                          <w:divBdr>
                            <w:top w:val="none" w:sz="0" w:space="0" w:color="auto"/>
                            <w:left w:val="none" w:sz="0" w:space="0" w:color="auto"/>
                            <w:bottom w:val="none" w:sz="0" w:space="0" w:color="auto"/>
                            <w:right w:val="none" w:sz="0" w:space="0" w:color="auto"/>
                          </w:divBdr>
                          <w:divsChild>
                            <w:div w:id="1792281566">
                              <w:marLeft w:val="0"/>
                              <w:marRight w:val="0"/>
                              <w:marTop w:val="0"/>
                              <w:marBottom w:val="0"/>
                              <w:divBdr>
                                <w:top w:val="none" w:sz="0" w:space="0" w:color="auto"/>
                                <w:left w:val="none" w:sz="0" w:space="0" w:color="auto"/>
                                <w:bottom w:val="none" w:sz="0" w:space="0" w:color="auto"/>
                                <w:right w:val="none" w:sz="0" w:space="0" w:color="auto"/>
                              </w:divBdr>
                            </w:div>
                          </w:divsChild>
                        </w:div>
                        <w:div w:id="186023745">
                          <w:marLeft w:val="0"/>
                          <w:marRight w:val="0"/>
                          <w:marTop w:val="0"/>
                          <w:marBottom w:val="0"/>
                          <w:divBdr>
                            <w:top w:val="none" w:sz="0" w:space="0" w:color="auto"/>
                            <w:left w:val="none" w:sz="0" w:space="0" w:color="auto"/>
                            <w:bottom w:val="none" w:sz="0" w:space="0" w:color="auto"/>
                            <w:right w:val="none" w:sz="0" w:space="0" w:color="auto"/>
                          </w:divBdr>
                          <w:divsChild>
                            <w:div w:id="582840665">
                              <w:marLeft w:val="0"/>
                              <w:marRight w:val="0"/>
                              <w:marTop w:val="120"/>
                              <w:marBottom w:val="360"/>
                              <w:divBdr>
                                <w:top w:val="none" w:sz="0" w:space="0" w:color="auto"/>
                                <w:left w:val="none" w:sz="0" w:space="0" w:color="auto"/>
                                <w:bottom w:val="none" w:sz="0" w:space="0" w:color="auto"/>
                                <w:right w:val="none" w:sz="0" w:space="0" w:color="auto"/>
                              </w:divBdr>
                              <w:divsChild>
                                <w:div w:id="17817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1870">
      <w:bodyDiv w:val="1"/>
      <w:marLeft w:val="0"/>
      <w:marRight w:val="0"/>
      <w:marTop w:val="0"/>
      <w:marBottom w:val="0"/>
      <w:divBdr>
        <w:top w:val="none" w:sz="0" w:space="0" w:color="auto"/>
        <w:left w:val="none" w:sz="0" w:space="0" w:color="auto"/>
        <w:bottom w:val="none" w:sz="0" w:space="0" w:color="auto"/>
        <w:right w:val="none" w:sz="0" w:space="0" w:color="auto"/>
      </w:divBdr>
    </w:div>
    <w:div w:id="148249813">
      <w:bodyDiv w:val="1"/>
      <w:marLeft w:val="0"/>
      <w:marRight w:val="0"/>
      <w:marTop w:val="0"/>
      <w:marBottom w:val="0"/>
      <w:divBdr>
        <w:top w:val="none" w:sz="0" w:space="0" w:color="auto"/>
        <w:left w:val="none" w:sz="0" w:space="0" w:color="auto"/>
        <w:bottom w:val="none" w:sz="0" w:space="0" w:color="auto"/>
        <w:right w:val="none" w:sz="0" w:space="0" w:color="auto"/>
      </w:divBdr>
      <w:divsChild>
        <w:div w:id="551621823">
          <w:marLeft w:val="360"/>
          <w:marRight w:val="0"/>
          <w:marTop w:val="200"/>
          <w:marBottom w:val="0"/>
          <w:divBdr>
            <w:top w:val="none" w:sz="0" w:space="0" w:color="auto"/>
            <w:left w:val="none" w:sz="0" w:space="0" w:color="auto"/>
            <w:bottom w:val="none" w:sz="0" w:space="0" w:color="auto"/>
            <w:right w:val="none" w:sz="0" w:space="0" w:color="auto"/>
          </w:divBdr>
        </w:div>
        <w:div w:id="1883589916">
          <w:marLeft w:val="360"/>
          <w:marRight w:val="0"/>
          <w:marTop w:val="200"/>
          <w:marBottom w:val="0"/>
          <w:divBdr>
            <w:top w:val="none" w:sz="0" w:space="0" w:color="auto"/>
            <w:left w:val="none" w:sz="0" w:space="0" w:color="auto"/>
            <w:bottom w:val="none" w:sz="0" w:space="0" w:color="auto"/>
            <w:right w:val="none" w:sz="0" w:space="0" w:color="auto"/>
          </w:divBdr>
        </w:div>
        <w:div w:id="1806507815">
          <w:marLeft w:val="360"/>
          <w:marRight w:val="0"/>
          <w:marTop w:val="200"/>
          <w:marBottom w:val="0"/>
          <w:divBdr>
            <w:top w:val="none" w:sz="0" w:space="0" w:color="auto"/>
            <w:left w:val="none" w:sz="0" w:space="0" w:color="auto"/>
            <w:bottom w:val="none" w:sz="0" w:space="0" w:color="auto"/>
            <w:right w:val="none" w:sz="0" w:space="0" w:color="auto"/>
          </w:divBdr>
        </w:div>
        <w:div w:id="1710302441">
          <w:marLeft w:val="360"/>
          <w:marRight w:val="0"/>
          <w:marTop w:val="200"/>
          <w:marBottom w:val="0"/>
          <w:divBdr>
            <w:top w:val="none" w:sz="0" w:space="0" w:color="auto"/>
            <w:left w:val="none" w:sz="0" w:space="0" w:color="auto"/>
            <w:bottom w:val="none" w:sz="0" w:space="0" w:color="auto"/>
            <w:right w:val="none" w:sz="0" w:space="0" w:color="auto"/>
          </w:divBdr>
        </w:div>
      </w:divsChild>
    </w:div>
    <w:div w:id="181284681">
      <w:bodyDiv w:val="1"/>
      <w:marLeft w:val="0"/>
      <w:marRight w:val="0"/>
      <w:marTop w:val="0"/>
      <w:marBottom w:val="0"/>
      <w:divBdr>
        <w:top w:val="none" w:sz="0" w:space="0" w:color="auto"/>
        <w:left w:val="none" w:sz="0" w:space="0" w:color="auto"/>
        <w:bottom w:val="none" w:sz="0" w:space="0" w:color="auto"/>
        <w:right w:val="none" w:sz="0" w:space="0" w:color="auto"/>
      </w:divBdr>
    </w:div>
    <w:div w:id="224923069">
      <w:bodyDiv w:val="1"/>
      <w:marLeft w:val="0"/>
      <w:marRight w:val="0"/>
      <w:marTop w:val="0"/>
      <w:marBottom w:val="0"/>
      <w:divBdr>
        <w:top w:val="none" w:sz="0" w:space="0" w:color="auto"/>
        <w:left w:val="none" w:sz="0" w:space="0" w:color="auto"/>
        <w:bottom w:val="none" w:sz="0" w:space="0" w:color="auto"/>
        <w:right w:val="none" w:sz="0" w:space="0" w:color="auto"/>
      </w:divBdr>
      <w:divsChild>
        <w:div w:id="755591669">
          <w:marLeft w:val="360"/>
          <w:marRight w:val="0"/>
          <w:marTop w:val="200"/>
          <w:marBottom w:val="0"/>
          <w:divBdr>
            <w:top w:val="none" w:sz="0" w:space="0" w:color="auto"/>
            <w:left w:val="none" w:sz="0" w:space="0" w:color="auto"/>
            <w:bottom w:val="none" w:sz="0" w:space="0" w:color="auto"/>
            <w:right w:val="none" w:sz="0" w:space="0" w:color="auto"/>
          </w:divBdr>
        </w:div>
        <w:div w:id="1349987554">
          <w:marLeft w:val="360"/>
          <w:marRight w:val="0"/>
          <w:marTop w:val="200"/>
          <w:marBottom w:val="0"/>
          <w:divBdr>
            <w:top w:val="none" w:sz="0" w:space="0" w:color="auto"/>
            <w:left w:val="none" w:sz="0" w:space="0" w:color="auto"/>
            <w:bottom w:val="none" w:sz="0" w:space="0" w:color="auto"/>
            <w:right w:val="none" w:sz="0" w:space="0" w:color="auto"/>
          </w:divBdr>
        </w:div>
        <w:div w:id="1411394098">
          <w:marLeft w:val="360"/>
          <w:marRight w:val="0"/>
          <w:marTop w:val="200"/>
          <w:marBottom w:val="0"/>
          <w:divBdr>
            <w:top w:val="none" w:sz="0" w:space="0" w:color="auto"/>
            <w:left w:val="none" w:sz="0" w:space="0" w:color="auto"/>
            <w:bottom w:val="none" w:sz="0" w:space="0" w:color="auto"/>
            <w:right w:val="none" w:sz="0" w:space="0" w:color="auto"/>
          </w:divBdr>
        </w:div>
        <w:div w:id="126437492">
          <w:marLeft w:val="360"/>
          <w:marRight w:val="0"/>
          <w:marTop w:val="200"/>
          <w:marBottom w:val="0"/>
          <w:divBdr>
            <w:top w:val="none" w:sz="0" w:space="0" w:color="auto"/>
            <w:left w:val="none" w:sz="0" w:space="0" w:color="auto"/>
            <w:bottom w:val="none" w:sz="0" w:space="0" w:color="auto"/>
            <w:right w:val="none" w:sz="0" w:space="0" w:color="auto"/>
          </w:divBdr>
        </w:div>
        <w:div w:id="2036155269">
          <w:marLeft w:val="360"/>
          <w:marRight w:val="0"/>
          <w:marTop w:val="200"/>
          <w:marBottom w:val="0"/>
          <w:divBdr>
            <w:top w:val="none" w:sz="0" w:space="0" w:color="auto"/>
            <w:left w:val="none" w:sz="0" w:space="0" w:color="auto"/>
            <w:bottom w:val="none" w:sz="0" w:space="0" w:color="auto"/>
            <w:right w:val="none" w:sz="0" w:space="0" w:color="auto"/>
          </w:divBdr>
        </w:div>
        <w:div w:id="714423970">
          <w:marLeft w:val="360"/>
          <w:marRight w:val="0"/>
          <w:marTop w:val="200"/>
          <w:marBottom w:val="0"/>
          <w:divBdr>
            <w:top w:val="none" w:sz="0" w:space="0" w:color="auto"/>
            <w:left w:val="none" w:sz="0" w:space="0" w:color="auto"/>
            <w:bottom w:val="none" w:sz="0" w:space="0" w:color="auto"/>
            <w:right w:val="none" w:sz="0" w:space="0" w:color="auto"/>
          </w:divBdr>
        </w:div>
        <w:div w:id="832574960">
          <w:marLeft w:val="360"/>
          <w:marRight w:val="0"/>
          <w:marTop w:val="200"/>
          <w:marBottom w:val="0"/>
          <w:divBdr>
            <w:top w:val="none" w:sz="0" w:space="0" w:color="auto"/>
            <w:left w:val="none" w:sz="0" w:space="0" w:color="auto"/>
            <w:bottom w:val="none" w:sz="0" w:space="0" w:color="auto"/>
            <w:right w:val="none" w:sz="0" w:space="0" w:color="auto"/>
          </w:divBdr>
        </w:div>
        <w:div w:id="976059724">
          <w:marLeft w:val="360"/>
          <w:marRight w:val="0"/>
          <w:marTop w:val="200"/>
          <w:marBottom w:val="0"/>
          <w:divBdr>
            <w:top w:val="none" w:sz="0" w:space="0" w:color="auto"/>
            <w:left w:val="none" w:sz="0" w:space="0" w:color="auto"/>
            <w:bottom w:val="none" w:sz="0" w:space="0" w:color="auto"/>
            <w:right w:val="none" w:sz="0" w:space="0" w:color="auto"/>
          </w:divBdr>
        </w:div>
        <w:div w:id="1526478235">
          <w:marLeft w:val="360"/>
          <w:marRight w:val="0"/>
          <w:marTop w:val="200"/>
          <w:marBottom w:val="0"/>
          <w:divBdr>
            <w:top w:val="none" w:sz="0" w:space="0" w:color="auto"/>
            <w:left w:val="none" w:sz="0" w:space="0" w:color="auto"/>
            <w:bottom w:val="none" w:sz="0" w:space="0" w:color="auto"/>
            <w:right w:val="none" w:sz="0" w:space="0" w:color="auto"/>
          </w:divBdr>
        </w:div>
      </w:divsChild>
    </w:div>
    <w:div w:id="459305821">
      <w:bodyDiv w:val="1"/>
      <w:marLeft w:val="0"/>
      <w:marRight w:val="0"/>
      <w:marTop w:val="0"/>
      <w:marBottom w:val="0"/>
      <w:divBdr>
        <w:top w:val="none" w:sz="0" w:space="0" w:color="auto"/>
        <w:left w:val="none" w:sz="0" w:space="0" w:color="auto"/>
        <w:bottom w:val="none" w:sz="0" w:space="0" w:color="auto"/>
        <w:right w:val="none" w:sz="0" w:space="0" w:color="auto"/>
      </w:divBdr>
    </w:div>
    <w:div w:id="514466717">
      <w:bodyDiv w:val="1"/>
      <w:marLeft w:val="0"/>
      <w:marRight w:val="0"/>
      <w:marTop w:val="0"/>
      <w:marBottom w:val="0"/>
      <w:divBdr>
        <w:top w:val="none" w:sz="0" w:space="0" w:color="auto"/>
        <w:left w:val="none" w:sz="0" w:space="0" w:color="auto"/>
        <w:bottom w:val="none" w:sz="0" w:space="0" w:color="auto"/>
        <w:right w:val="none" w:sz="0" w:space="0" w:color="auto"/>
      </w:divBdr>
      <w:divsChild>
        <w:div w:id="524370434">
          <w:marLeft w:val="360"/>
          <w:marRight w:val="0"/>
          <w:marTop w:val="200"/>
          <w:marBottom w:val="0"/>
          <w:divBdr>
            <w:top w:val="none" w:sz="0" w:space="0" w:color="auto"/>
            <w:left w:val="none" w:sz="0" w:space="0" w:color="auto"/>
            <w:bottom w:val="none" w:sz="0" w:space="0" w:color="auto"/>
            <w:right w:val="none" w:sz="0" w:space="0" w:color="auto"/>
          </w:divBdr>
        </w:div>
        <w:div w:id="1455295333">
          <w:marLeft w:val="360"/>
          <w:marRight w:val="0"/>
          <w:marTop w:val="200"/>
          <w:marBottom w:val="0"/>
          <w:divBdr>
            <w:top w:val="none" w:sz="0" w:space="0" w:color="auto"/>
            <w:left w:val="none" w:sz="0" w:space="0" w:color="auto"/>
            <w:bottom w:val="none" w:sz="0" w:space="0" w:color="auto"/>
            <w:right w:val="none" w:sz="0" w:space="0" w:color="auto"/>
          </w:divBdr>
        </w:div>
        <w:div w:id="859127434">
          <w:marLeft w:val="360"/>
          <w:marRight w:val="0"/>
          <w:marTop w:val="200"/>
          <w:marBottom w:val="0"/>
          <w:divBdr>
            <w:top w:val="none" w:sz="0" w:space="0" w:color="auto"/>
            <w:left w:val="none" w:sz="0" w:space="0" w:color="auto"/>
            <w:bottom w:val="none" w:sz="0" w:space="0" w:color="auto"/>
            <w:right w:val="none" w:sz="0" w:space="0" w:color="auto"/>
          </w:divBdr>
        </w:div>
        <w:div w:id="98451420">
          <w:marLeft w:val="360"/>
          <w:marRight w:val="0"/>
          <w:marTop w:val="200"/>
          <w:marBottom w:val="0"/>
          <w:divBdr>
            <w:top w:val="none" w:sz="0" w:space="0" w:color="auto"/>
            <w:left w:val="none" w:sz="0" w:space="0" w:color="auto"/>
            <w:bottom w:val="none" w:sz="0" w:space="0" w:color="auto"/>
            <w:right w:val="none" w:sz="0" w:space="0" w:color="auto"/>
          </w:divBdr>
        </w:div>
        <w:div w:id="1276138219">
          <w:marLeft w:val="360"/>
          <w:marRight w:val="0"/>
          <w:marTop w:val="200"/>
          <w:marBottom w:val="0"/>
          <w:divBdr>
            <w:top w:val="none" w:sz="0" w:space="0" w:color="auto"/>
            <w:left w:val="none" w:sz="0" w:space="0" w:color="auto"/>
            <w:bottom w:val="none" w:sz="0" w:space="0" w:color="auto"/>
            <w:right w:val="none" w:sz="0" w:space="0" w:color="auto"/>
          </w:divBdr>
        </w:div>
      </w:divsChild>
    </w:div>
    <w:div w:id="529882439">
      <w:bodyDiv w:val="1"/>
      <w:marLeft w:val="0"/>
      <w:marRight w:val="0"/>
      <w:marTop w:val="0"/>
      <w:marBottom w:val="0"/>
      <w:divBdr>
        <w:top w:val="none" w:sz="0" w:space="0" w:color="auto"/>
        <w:left w:val="none" w:sz="0" w:space="0" w:color="auto"/>
        <w:bottom w:val="none" w:sz="0" w:space="0" w:color="auto"/>
        <w:right w:val="none" w:sz="0" w:space="0" w:color="auto"/>
      </w:divBdr>
      <w:divsChild>
        <w:div w:id="188498262">
          <w:marLeft w:val="0"/>
          <w:marRight w:val="0"/>
          <w:marTop w:val="0"/>
          <w:marBottom w:val="0"/>
          <w:divBdr>
            <w:top w:val="none" w:sz="0" w:space="0" w:color="auto"/>
            <w:left w:val="none" w:sz="0" w:space="0" w:color="auto"/>
            <w:bottom w:val="none" w:sz="0" w:space="0" w:color="auto"/>
            <w:right w:val="none" w:sz="0" w:space="0" w:color="auto"/>
          </w:divBdr>
          <w:divsChild>
            <w:div w:id="1057388613">
              <w:marLeft w:val="0"/>
              <w:marRight w:val="0"/>
              <w:marTop w:val="0"/>
              <w:marBottom w:val="0"/>
              <w:divBdr>
                <w:top w:val="none" w:sz="0" w:space="0" w:color="auto"/>
                <w:left w:val="none" w:sz="0" w:space="0" w:color="auto"/>
                <w:bottom w:val="none" w:sz="0" w:space="0" w:color="auto"/>
                <w:right w:val="none" w:sz="0" w:space="0" w:color="auto"/>
              </w:divBdr>
              <w:divsChild>
                <w:div w:id="1880899663">
                  <w:marLeft w:val="0"/>
                  <w:marRight w:val="0"/>
                  <w:marTop w:val="0"/>
                  <w:marBottom w:val="0"/>
                  <w:divBdr>
                    <w:top w:val="none" w:sz="0" w:space="0" w:color="auto"/>
                    <w:left w:val="none" w:sz="0" w:space="0" w:color="auto"/>
                    <w:bottom w:val="none" w:sz="0" w:space="0" w:color="auto"/>
                    <w:right w:val="none" w:sz="0" w:space="0" w:color="auto"/>
                  </w:divBdr>
                  <w:divsChild>
                    <w:div w:id="1391810582">
                      <w:marLeft w:val="0"/>
                      <w:marRight w:val="0"/>
                      <w:marTop w:val="0"/>
                      <w:marBottom w:val="0"/>
                      <w:divBdr>
                        <w:top w:val="none" w:sz="0" w:space="0" w:color="auto"/>
                        <w:left w:val="none" w:sz="0" w:space="0" w:color="auto"/>
                        <w:bottom w:val="none" w:sz="0" w:space="0" w:color="auto"/>
                        <w:right w:val="none" w:sz="0" w:space="0" w:color="auto"/>
                      </w:divBdr>
                      <w:divsChild>
                        <w:div w:id="1502506084">
                          <w:marLeft w:val="0"/>
                          <w:marRight w:val="0"/>
                          <w:marTop w:val="0"/>
                          <w:marBottom w:val="0"/>
                          <w:divBdr>
                            <w:top w:val="none" w:sz="0" w:space="0" w:color="auto"/>
                            <w:left w:val="none" w:sz="0" w:space="0" w:color="auto"/>
                            <w:bottom w:val="none" w:sz="0" w:space="0" w:color="auto"/>
                            <w:right w:val="none" w:sz="0" w:space="0" w:color="auto"/>
                          </w:divBdr>
                          <w:divsChild>
                            <w:div w:id="41441902">
                              <w:marLeft w:val="0"/>
                              <w:marRight w:val="0"/>
                              <w:marTop w:val="0"/>
                              <w:marBottom w:val="0"/>
                              <w:divBdr>
                                <w:top w:val="none" w:sz="0" w:space="0" w:color="auto"/>
                                <w:left w:val="none" w:sz="0" w:space="0" w:color="auto"/>
                                <w:bottom w:val="none" w:sz="0" w:space="0" w:color="auto"/>
                                <w:right w:val="none" w:sz="0" w:space="0" w:color="auto"/>
                              </w:divBdr>
                              <w:divsChild>
                                <w:div w:id="922374236">
                                  <w:marLeft w:val="-225"/>
                                  <w:marRight w:val="-225"/>
                                  <w:marTop w:val="0"/>
                                  <w:marBottom w:val="0"/>
                                  <w:divBdr>
                                    <w:top w:val="none" w:sz="0" w:space="0" w:color="auto"/>
                                    <w:left w:val="none" w:sz="0" w:space="0" w:color="auto"/>
                                    <w:bottom w:val="none" w:sz="0" w:space="0" w:color="auto"/>
                                    <w:right w:val="none" w:sz="0" w:space="0" w:color="auto"/>
                                  </w:divBdr>
                                  <w:divsChild>
                                    <w:div w:id="1921668514">
                                      <w:marLeft w:val="0"/>
                                      <w:marRight w:val="0"/>
                                      <w:marTop w:val="0"/>
                                      <w:marBottom w:val="0"/>
                                      <w:divBdr>
                                        <w:top w:val="none" w:sz="0" w:space="0" w:color="auto"/>
                                        <w:left w:val="none" w:sz="0" w:space="0" w:color="auto"/>
                                        <w:bottom w:val="none" w:sz="0" w:space="0" w:color="auto"/>
                                        <w:right w:val="none" w:sz="0" w:space="0" w:color="auto"/>
                                      </w:divBdr>
                                      <w:divsChild>
                                        <w:div w:id="864098822">
                                          <w:marLeft w:val="0"/>
                                          <w:marRight w:val="0"/>
                                          <w:marTop w:val="0"/>
                                          <w:marBottom w:val="0"/>
                                          <w:divBdr>
                                            <w:top w:val="none" w:sz="0" w:space="0" w:color="auto"/>
                                            <w:left w:val="none" w:sz="0" w:space="0" w:color="auto"/>
                                            <w:bottom w:val="none" w:sz="0" w:space="0" w:color="auto"/>
                                            <w:right w:val="none" w:sz="0" w:space="0" w:color="auto"/>
                                          </w:divBdr>
                                          <w:divsChild>
                                            <w:div w:id="18537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644063">
      <w:bodyDiv w:val="1"/>
      <w:marLeft w:val="0"/>
      <w:marRight w:val="0"/>
      <w:marTop w:val="0"/>
      <w:marBottom w:val="0"/>
      <w:divBdr>
        <w:top w:val="none" w:sz="0" w:space="0" w:color="auto"/>
        <w:left w:val="none" w:sz="0" w:space="0" w:color="auto"/>
        <w:bottom w:val="none" w:sz="0" w:space="0" w:color="auto"/>
        <w:right w:val="none" w:sz="0" w:space="0" w:color="auto"/>
      </w:divBdr>
      <w:divsChild>
        <w:div w:id="615215567">
          <w:marLeft w:val="0"/>
          <w:marRight w:val="0"/>
          <w:marTop w:val="0"/>
          <w:marBottom w:val="0"/>
          <w:divBdr>
            <w:top w:val="none" w:sz="0" w:space="0" w:color="auto"/>
            <w:left w:val="none" w:sz="0" w:space="0" w:color="auto"/>
            <w:bottom w:val="none" w:sz="0" w:space="0" w:color="auto"/>
            <w:right w:val="none" w:sz="0" w:space="0" w:color="auto"/>
          </w:divBdr>
          <w:divsChild>
            <w:div w:id="1143038226">
              <w:marLeft w:val="0"/>
              <w:marRight w:val="0"/>
              <w:marTop w:val="0"/>
              <w:marBottom w:val="0"/>
              <w:divBdr>
                <w:top w:val="none" w:sz="0" w:space="0" w:color="auto"/>
                <w:left w:val="none" w:sz="0" w:space="0" w:color="auto"/>
                <w:bottom w:val="none" w:sz="0" w:space="0" w:color="auto"/>
                <w:right w:val="none" w:sz="0" w:space="0" w:color="auto"/>
              </w:divBdr>
              <w:divsChild>
                <w:div w:id="1693915468">
                  <w:marLeft w:val="-240"/>
                  <w:marRight w:val="-240"/>
                  <w:marTop w:val="0"/>
                  <w:marBottom w:val="0"/>
                  <w:divBdr>
                    <w:top w:val="none" w:sz="0" w:space="0" w:color="auto"/>
                    <w:left w:val="none" w:sz="0" w:space="0" w:color="auto"/>
                    <w:bottom w:val="none" w:sz="0" w:space="0" w:color="auto"/>
                    <w:right w:val="none" w:sz="0" w:space="0" w:color="auto"/>
                  </w:divBdr>
                  <w:divsChild>
                    <w:div w:id="1846433763">
                      <w:marLeft w:val="0"/>
                      <w:marRight w:val="0"/>
                      <w:marTop w:val="0"/>
                      <w:marBottom w:val="0"/>
                      <w:divBdr>
                        <w:top w:val="none" w:sz="0" w:space="0" w:color="auto"/>
                        <w:left w:val="none" w:sz="0" w:space="0" w:color="auto"/>
                        <w:bottom w:val="none" w:sz="0" w:space="0" w:color="auto"/>
                        <w:right w:val="none" w:sz="0" w:space="0" w:color="auto"/>
                      </w:divBdr>
                      <w:divsChild>
                        <w:div w:id="2054575059">
                          <w:marLeft w:val="0"/>
                          <w:marRight w:val="0"/>
                          <w:marTop w:val="0"/>
                          <w:marBottom w:val="0"/>
                          <w:divBdr>
                            <w:top w:val="none" w:sz="0" w:space="0" w:color="auto"/>
                            <w:left w:val="none" w:sz="0" w:space="0" w:color="auto"/>
                            <w:bottom w:val="none" w:sz="0" w:space="0" w:color="auto"/>
                            <w:right w:val="none" w:sz="0" w:space="0" w:color="auto"/>
                          </w:divBdr>
                          <w:divsChild>
                            <w:div w:id="1268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4460">
                      <w:marLeft w:val="0"/>
                      <w:marRight w:val="0"/>
                      <w:marTop w:val="0"/>
                      <w:marBottom w:val="0"/>
                      <w:divBdr>
                        <w:top w:val="none" w:sz="0" w:space="0" w:color="auto"/>
                        <w:left w:val="none" w:sz="0" w:space="0" w:color="auto"/>
                        <w:bottom w:val="none" w:sz="0" w:space="0" w:color="auto"/>
                        <w:right w:val="none" w:sz="0" w:space="0" w:color="auto"/>
                      </w:divBdr>
                      <w:divsChild>
                        <w:div w:id="1693649439">
                          <w:marLeft w:val="0"/>
                          <w:marRight w:val="0"/>
                          <w:marTop w:val="0"/>
                          <w:marBottom w:val="0"/>
                          <w:divBdr>
                            <w:top w:val="none" w:sz="0" w:space="0" w:color="auto"/>
                            <w:left w:val="none" w:sz="0" w:space="0" w:color="auto"/>
                            <w:bottom w:val="none" w:sz="0" w:space="0" w:color="auto"/>
                            <w:right w:val="none" w:sz="0" w:space="0" w:color="auto"/>
                          </w:divBdr>
                          <w:divsChild>
                            <w:div w:id="1208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4807">
                  <w:marLeft w:val="0"/>
                  <w:marRight w:val="0"/>
                  <w:marTop w:val="0"/>
                  <w:marBottom w:val="0"/>
                  <w:divBdr>
                    <w:top w:val="none" w:sz="0" w:space="0" w:color="auto"/>
                    <w:left w:val="none" w:sz="0" w:space="0" w:color="auto"/>
                    <w:bottom w:val="none" w:sz="0" w:space="0" w:color="auto"/>
                    <w:right w:val="none" w:sz="0" w:space="0" w:color="auto"/>
                  </w:divBdr>
                  <w:divsChild>
                    <w:div w:id="382145326">
                      <w:marLeft w:val="0"/>
                      <w:marRight w:val="0"/>
                      <w:marTop w:val="0"/>
                      <w:marBottom w:val="0"/>
                      <w:divBdr>
                        <w:top w:val="none" w:sz="0" w:space="0" w:color="auto"/>
                        <w:left w:val="none" w:sz="0" w:space="0" w:color="auto"/>
                        <w:bottom w:val="none" w:sz="0" w:space="0" w:color="auto"/>
                        <w:right w:val="none" w:sz="0" w:space="0" w:color="auto"/>
                      </w:divBdr>
                      <w:divsChild>
                        <w:div w:id="624626736">
                          <w:marLeft w:val="0"/>
                          <w:marRight w:val="0"/>
                          <w:marTop w:val="0"/>
                          <w:marBottom w:val="0"/>
                          <w:divBdr>
                            <w:top w:val="none" w:sz="0" w:space="0" w:color="auto"/>
                            <w:left w:val="none" w:sz="0" w:space="0" w:color="auto"/>
                            <w:bottom w:val="none" w:sz="0" w:space="0" w:color="auto"/>
                            <w:right w:val="none" w:sz="0" w:space="0" w:color="auto"/>
                          </w:divBdr>
                          <w:divsChild>
                            <w:div w:id="1253390494">
                              <w:marLeft w:val="0"/>
                              <w:marRight w:val="0"/>
                              <w:marTop w:val="0"/>
                              <w:marBottom w:val="0"/>
                              <w:divBdr>
                                <w:top w:val="none" w:sz="0" w:space="0" w:color="auto"/>
                                <w:left w:val="none" w:sz="0" w:space="0" w:color="auto"/>
                                <w:bottom w:val="none" w:sz="0" w:space="0" w:color="auto"/>
                                <w:right w:val="none" w:sz="0" w:space="0" w:color="auto"/>
                              </w:divBdr>
                              <w:divsChild>
                                <w:div w:id="437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5013">
                      <w:marLeft w:val="0"/>
                      <w:marRight w:val="0"/>
                      <w:marTop w:val="0"/>
                      <w:marBottom w:val="0"/>
                      <w:divBdr>
                        <w:top w:val="none" w:sz="0" w:space="0" w:color="auto"/>
                        <w:left w:val="none" w:sz="0" w:space="0" w:color="auto"/>
                        <w:bottom w:val="none" w:sz="0" w:space="0" w:color="auto"/>
                        <w:right w:val="none" w:sz="0" w:space="0" w:color="auto"/>
                      </w:divBdr>
                      <w:divsChild>
                        <w:div w:id="1830368080">
                          <w:marLeft w:val="0"/>
                          <w:marRight w:val="0"/>
                          <w:marTop w:val="0"/>
                          <w:marBottom w:val="0"/>
                          <w:divBdr>
                            <w:top w:val="none" w:sz="0" w:space="0" w:color="auto"/>
                            <w:left w:val="none" w:sz="0" w:space="0" w:color="auto"/>
                            <w:bottom w:val="none" w:sz="0" w:space="0" w:color="auto"/>
                            <w:right w:val="none" w:sz="0" w:space="0" w:color="auto"/>
                          </w:divBdr>
                          <w:divsChild>
                            <w:div w:id="686686214">
                              <w:marLeft w:val="0"/>
                              <w:marRight w:val="0"/>
                              <w:marTop w:val="0"/>
                              <w:marBottom w:val="0"/>
                              <w:divBdr>
                                <w:top w:val="none" w:sz="0" w:space="0" w:color="auto"/>
                                <w:left w:val="none" w:sz="0" w:space="0" w:color="auto"/>
                                <w:bottom w:val="none" w:sz="0" w:space="0" w:color="auto"/>
                                <w:right w:val="none" w:sz="0" w:space="0" w:color="auto"/>
                              </w:divBdr>
                              <w:divsChild>
                                <w:div w:id="94135603">
                                  <w:marLeft w:val="0"/>
                                  <w:marRight w:val="0"/>
                                  <w:marTop w:val="0"/>
                                  <w:marBottom w:val="192"/>
                                  <w:divBdr>
                                    <w:top w:val="none" w:sz="0" w:space="0" w:color="auto"/>
                                    <w:left w:val="none" w:sz="0" w:space="0" w:color="auto"/>
                                    <w:bottom w:val="none" w:sz="0" w:space="0" w:color="auto"/>
                                    <w:right w:val="none" w:sz="0" w:space="0" w:color="auto"/>
                                  </w:divBdr>
                                  <w:divsChild>
                                    <w:div w:id="1002321213">
                                      <w:marLeft w:val="0"/>
                                      <w:marRight w:val="0"/>
                                      <w:marTop w:val="0"/>
                                      <w:marBottom w:val="0"/>
                                      <w:divBdr>
                                        <w:top w:val="none" w:sz="0" w:space="0" w:color="auto"/>
                                        <w:left w:val="none" w:sz="0" w:space="0" w:color="auto"/>
                                        <w:bottom w:val="none" w:sz="0" w:space="0" w:color="auto"/>
                                        <w:right w:val="none" w:sz="0" w:space="0" w:color="auto"/>
                                      </w:divBdr>
                                      <w:divsChild>
                                        <w:div w:id="1472014560">
                                          <w:marLeft w:val="0"/>
                                          <w:marRight w:val="0"/>
                                          <w:marTop w:val="0"/>
                                          <w:marBottom w:val="0"/>
                                          <w:divBdr>
                                            <w:top w:val="none" w:sz="0" w:space="0" w:color="auto"/>
                                            <w:left w:val="none" w:sz="0" w:space="0" w:color="auto"/>
                                            <w:bottom w:val="none" w:sz="0" w:space="0" w:color="auto"/>
                                            <w:right w:val="none" w:sz="0" w:space="0" w:color="auto"/>
                                          </w:divBdr>
                                        </w:div>
                                        <w:div w:id="10202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1623">
                                  <w:marLeft w:val="0"/>
                                  <w:marRight w:val="0"/>
                                  <w:marTop w:val="0"/>
                                  <w:marBottom w:val="0"/>
                                  <w:divBdr>
                                    <w:top w:val="none" w:sz="0" w:space="0" w:color="auto"/>
                                    <w:left w:val="none" w:sz="0" w:space="0" w:color="auto"/>
                                    <w:bottom w:val="none" w:sz="0" w:space="0" w:color="auto"/>
                                    <w:right w:val="none" w:sz="0" w:space="0" w:color="auto"/>
                                  </w:divBdr>
                                  <w:divsChild>
                                    <w:div w:id="1823309275">
                                      <w:marLeft w:val="0"/>
                                      <w:marRight w:val="0"/>
                                      <w:marTop w:val="0"/>
                                      <w:marBottom w:val="0"/>
                                      <w:divBdr>
                                        <w:top w:val="none" w:sz="0" w:space="0" w:color="auto"/>
                                        <w:left w:val="none" w:sz="0" w:space="0" w:color="auto"/>
                                        <w:bottom w:val="none" w:sz="0" w:space="0" w:color="auto"/>
                                        <w:right w:val="none" w:sz="0" w:space="0" w:color="auto"/>
                                      </w:divBdr>
                                      <w:divsChild>
                                        <w:div w:id="953751004">
                                          <w:marLeft w:val="0"/>
                                          <w:marRight w:val="0"/>
                                          <w:marTop w:val="0"/>
                                          <w:marBottom w:val="0"/>
                                          <w:divBdr>
                                            <w:top w:val="none" w:sz="0" w:space="0" w:color="auto"/>
                                            <w:left w:val="none" w:sz="0" w:space="0" w:color="auto"/>
                                            <w:bottom w:val="none" w:sz="0" w:space="0" w:color="auto"/>
                                            <w:right w:val="none" w:sz="0" w:space="0" w:color="auto"/>
                                          </w:divBdr>
                                          <w:divsChild>
                                            <w:div w:id="2088915410">
                                              <w:marLeft w:val="0"/>
                                              <w:marRight w:val="0"/>
                                              <w:marTop w:val="0"/>
                                              <w:marBottom w:val="0"/>
                                              <w:divBdr>
                                                <w:top w:val="none" w:sz="0" w:space="0" w:color="auto"/>
                                                <w:left w:val="none" w:sz="0" w:space="0" w:color="auto"/>
                                                <w:bottom w:val="none" w:sz="0" w:space="0" w:color="auto"/>
                                                <w:right w:val="none" w:sz="0" w:space="0" w:color="auto"/>
                                              </w:divBdr>
                                            </w:div>
                                          </w:divsChild>
                                        </w:div>
                                        <w:div w:id="793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40382">
                      <w:marLeft w:val="0"/>
                      <w:marRight w:val="0"/>
                      <w:marTop w:val="0"/>
                      <w:marBottom w:val="0"/>
                      <w:divBdr>
                        <w:top w:val="none" w:sz="0" w:space="0" w:color="auto"/>
                        <w:left w:val="none" w:sz="0" w:space="0" w:color="auto"/>
                        <w:bottom w:val="none" w:sz="0" w:space="0" w:color="auto"/>
                        <w:right w:val="none" w:sz="0" w:space="0" w:color="auto"/>
                      </w:divBdr>
                      <w:divsChild>
                        <w:div w:id="1492797284">
                          <w:marLeft w:val="0"/>
                          <w:marRight w:val="0"/>
                          <w:marTop w:val="0"/>
                          <w:marBottom w:val="0"/>
                          <w:divBdr>
                            <w:top w:val="none" w:sz="0" w:space="0" w:color="auto"/>
                            <w:left w:val="none" w:sz="0" w:space="0" w:color="auto"/>
                            <w:bottom w:val="none" w:sz="0" w:space="0" w:color="auto"/>
                            <w:right w:val="none" w:sz="0" w:space="0" w:color="auto"/>
                          </w:divBdr>
                          <w:divsChild>
                            <w:div w:id="365368701">
                              <w:marLeft w:val="0"/>
                              <w:marRight w:val="0"/>
                              <w:marTop w:val="0"/>
                              <w:marBottom w:val="0"/>
                              <w:divBdr>
                                <w:top w:val="none" w:sz="0" w:space="0" w:color="auto"/>
                                <w:left w:val="none" w:sz="0" w:space="0" w:color="auto"/>
                                <w:bottom w:val="none" w:sz="0" w:space="0" w:color="auto"/>
                                <w:right w:val="none" w:sz="0" w:space="0" w:color="auto"/>
                              </w:divBdr>
                              <w:divsChild>
                                <w:div w:id="7912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4051">
                      <w:marLeft w:val="0"/>
                      <w:marRight w:val="0"/>
                      <w:marTop w:val="0"/>
                      <w:marBottom w:val="0"/>
                      <w:divBdr>
                        <w:top w:val="none" w:sz="0" w:space="0" w:color="auto"/>
                        <w:left w:val="none" w:sz="0" w:space="0" w:color="auto"/>
                        <w:bottom w:val="none" w:sz="0" w:space="0" w:color="auto"/>
                        <w:right w:val="none" w:sz="0" w:space="0" w:color="auto"/>
                      </w:divBdr>
                      <w:divsChild>
                        <w:div w:id="1448616907">
                          <w:marLeft w:val="0"/>
                          <w:marRight w:val="0"/>
                          <w:marTop w:val="0"/>
                          <w:marBottom w:val="0"/>
                          <w:divBdr>
                            <w:top w:val="none" w:sz="0" w:space="0" w:color="auto"/>
                            <w:left w:val="none" w:sz="0" w:space="0" w:color="auto"/>
                            <w:bottom w:val="none" w:sz="0" w:space="0" w:color="auto"/>
                            <w:right w:val="none" w:sz="0" w:space="0" w:color="auto"/>
                          </w:divBdr>
                          <w:divsChild>
                            <w:div w:id="387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1637">
                      <w:marLeft w:val="0"/>
                      <w:marRight w:val="0"/>
                      <w:marTop w:val="0"/>
                      <w:marBottom w:val="0"/>
                      <w:divBdr>
                        <w:top w:val="none" w:sz="0" w:space="0" w:color="auto"/>
                        <w:left w:val="none" w:sz="0" w:space="0" w:color="auto"/>
                        <w:bottom w:val="none" w:sz="0" w:space="0" w:color="auto"/>
                        <w:right w:val="none" w:sz="0" w:space="0" w:color="auto"/>
                      </w:divBdr>
                      <w:divsChild>
                        <w:div w:id="766344478">
                          <w:marLeft w:val="0"/>
                          <w:marRight w:val="0"/>
                          <w:marTop w:val="0"/>
                          <w:marBottom w:val="0"/>
                          <w:divBdr>
                            <w:top w:val="none" w:sz="0" w:space="0" w:color="auto"/>
                            <w:left w:val="none" w:sz="0" w:space="0" w:color="auto"/>
                            <w:bottom w:val="none" w:sz="0" w:space="0" w:color="auto"/>
                            <w:right w:val="none" w:sz="0" w:space="0" w:color="auto"/>
                          </w:divBdr>
                          <w:divsChild>
                            <w:div w:id="15745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2781">
                      <w:marLeft w:val="0"/>
                      <w:marRight w:val="0"/>
                      <w:marTop w:val="0"/>
                      <w:marBottom w:val="0"/>
                      <w:divBdr>
                        <w:top w:val="none" w:sz="0" w:space="0" w:color="auto"/>
                        <w:left w:val="none" w:sz="0" w:space="0" w:color="auto"/>
                        <w:bottom w:val="none" w:sz="0" w:space="0" w:color="auto"/>
                        <w:right w:val="none" w:sz="0" w:space="0" w:color="auto"/>
                      </w:divBdr>
                      <w:divsChild>
                        <w:div w:id="1474592494">
                          <w:marLeft w:val="0"/>
                          <w:marRight w:val="0"/>
                          <w:marTop w:val="0"/>
                          <w:marBottom w:val="0"/>
                          <w:divBdr>
                            <w:top w:val="none" w:sz="0" w:space="0" w:color="auto"/>
                            <w:left w:val="none" w:sz="0" w:space="0" w:color="auto"/>
                            <w:bottom w:val="none" w:sz="0" w:space="0" w:color="auto"/>
                            <w:right w:val="none" w:sz="0" w:space="0" w:color="auto"/>
                          </w:divBdr>
                          <w:divsChild>
                            <w:div w:id="864368206">
                              <w:marLeft w:val="0"/>
                              <w:marRight w:val="0"/>
                              <w:marTop w:val="0"/>
                              <w:marBottom w:val="0"/>
                              <w:divBdr>
                                <w:top w:val="none" w:sz="0" w:space="0" w:color="auto"/>
                                <w:left w:val="none" w:sz="0" w:space="0" w:color="auto"/>
                                <w:bottom w:val="none" w:sz="0" w:space="0" w:color="auto"/>
                                <w:right w:val="none" w:sz="0" w:space="0" w:color="auto"/>
                              </w:divBdr>
                              <w:divsChild>
                                <w:div w:id="925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486">
                      <w:marLeft w:val="0"/>
                      <w:marRight w:val="0"/>
                      <w:marTop w:val="0"/>
                      <w:marBottom w:val="0"/>
                      <w:divBdr>
                        <w:top w:val="none" w:sz="0" w:space="0" w:color="auto"/>
                        <w:left w:val="none" w:sz="0" w:space="0" w:color="auto"/>
                        <w:bottom w:val="none" w:sz="0" w:space="0" w:color="auto"/>
                        <w:right w:val="none" w:sz="0" w:space="0" w:color="auto"/>
                      </w:divBdr>
                      <w:divsChild>
                        <w:div w:id="132137570">
                          <w:marLeft w:val="0"/>
                          <w:marRight w:val="0"/>
                          <w:marTop w:val="0"/>
                          <w:marBottom w:val="0"/>
                          <w:divBdr>
                            <w:top w:val="none" w:sz="0" w:space="0" w:color="auto"/>
                            <w:left w:val="none" w:sz="0" w:space="0" w:color="auto"/>
                            <w:bottom w:val="none" w:sz="0" w:space="0" w:color="auto"/>
                            <w:right w:val="none" w:sz="0" w:space="0" w:color="auto"/>
                          </w:divBdr>
                          <w:divsChild>
                            <w:div w:id="445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055">
                      <w:marLeft w:val="0"/>
                      <w:marRight w:val="0"/>
                      <w:marTop w:val="0"/>
                      <w:marBottom w:val="0"/>
                      <w:divBdr>
                        <w:top w:val="none" w:sz="0" w:space="0" w:color="auto"/>
                        <w:left w:val="none" w:sz="0" w:space="0" w:color="auto"/>
                        <w:bottom w:val="none" w:sz="0" w:space="0" w:color="auto"/>
                        <w:right w:val="none" w:sz="0" w:space="0" w:color="auto"/>
                      </w:divBdr>
                      <w:divsChild>
                        <w:div w:id="2050033695">
                          <w:marLeft w:val="0"/>
                          <w:marRight w:val="0"/>
                          <w:marTop w:val="0"/>
                          <w:marBottom w:val="0"/>
                          <w:divBdr>
                            <w:top w:val="none" w:sz="0" w:space="0" w:color="auto"/>
                            <w:left w:val="none" w:sz="0" w:space="0" w:color="auto"/>
                            <w:bottom w:val="none" w:sz="0" w:space="0" w:color="auto"/>
                            <w:right w:val="none" w:sz="0" w:space="0" w:color="auto"/>
                          </w:divBdr>
                          <w:divsChild>
                            <w:div w:id="10278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15629">
      <w:bodyDiv w:val="1"/>
      <w:marLeft w:val="0"/>
      <w:marRight w:val="0"/>
      <w:marTop w:val="0"/>
      <w:marBottom w:val="0"/>
      <w:divBdr>
        <w:top w:val="none" w:sz="0" w:space="0" w:color="auto"/>
        <w:left w:val="none" w:sz="0" w:space="0" w:color="auto"/>
        <w:bottom w:val="none" w:sz="0" w:space="0" w:color="auto"/>
        <w:right w:val="none" w:sz="0" w:space="0" w:color="auto"/>
      </w:divBdr>
      <w:divsChild>
        <w:div w:id="1710178433">
          <w:marLeft w:val="360"/>
          <w:marRight w:val="0"/>
          <w:marTop w:val="200"/>
          <w:marBottom w:val="0"/>
          <w:divBdr>
            <w:top w:val="none" w:sz="0" w:space="0" w:color="auto"/>
            <w:left w:val="none" w:sz="0" w:space="0" w:color="auto"/>
            <w:bottom w:val="none" w:sz="0" w:space="0" w:color="auto"/>
            <w:right w:val="none" w:sz="0" w:space="0" w:color="auto"/>
          </w:divBdr>
        </w:div>
        <w:div w:id="2111466605">
          <w:marLeft w:val="360"/>
          <w:marRight w:val="0"/>
          <w:marTop w:val="200"/>
          <w:marBottom w:val="0"/>
          <w:divBdr>
            <w:top w:val="none" w:sz="0" w:space="0" w:color="auto"/>
            <w:left w:val="none" w:sz="0" w:space="0" w:color="auto"/>
            <w:bottom w:val="none" w:sz="0" w:space="0" w:color="auto"/>
            <w:right w:val="none" w:sz="0" w:space="0" w:color="auto"/>
          </w:divBdr>
        </w:div>
        <w:div w:id="1667903933">
          <w:marLeft w:val="360"/>
          <w:marRight w:val="0"/>
          <w:marTop w:val="200"/>
          <w:marBottom w:val="0"/>
          <w:divBdr>
            <w:top w:val="none" w:sz="0" w:space="0" w:color="auto"/>
            <w:left w:val="none" w:sz="0" w:space="0" w:color="auto"/>
            <w:bottom w:val="none" w:sz="0" w:space="0" w:color="auto"/>
            <w:right w:val="none" w:sz="0" w:space="0" w:color="auto"/>
          </w:divBdr>
        </w:div>
      </w:divsChild>
    </w:div>
    <w:div w:id="852962099">
      <w:bodyDiv w:val="1"/>
      <w:marLeft w:val="0"/>
      <w:marRight w:val="0"/>
      <w:marTop w:val="0"/>
      <w:marBottom w:val="0"/>
      <w:divBdr>
        <w:top w:val="none" w:sz="0" w:space="0" w:color="auto"/>
        <w:left w:val="none" w:sz="0" w:space="0" w:color="auto"/>
        <w:bottom w:val="none" w:sz="0" w:space="0" w:color="auto"/>
        <w:right w:val="none" w:sz="0" w:space="0" w:color="auto"/>
      </w:divBdr>
      <w:divsChild>
        <w:div w:id="1273242346">
          <w:marLeft w:val="360"/>
          <w:marRight w:val="0"/>
          <w:marTop w:val="200"/>
          <w:marBottom w:val="0"/>
          <w:divBdr>
            <w:top w:val="none" w:sz="0" w:space="0" w:color="auto"/>
            <w:left w:val="none" w:sz="0" w:space="0" w:color="auto"/>
            <w:bottom w:val="none" w:sz="0" w:space="0" w:color="auto"/>
            <w:right w:val="none" w:sz="0" w:space="0" w:color="auto"/>
          </w:divBdr>
        </w:div>
        <w:div w:id="951740153">
          <w:marLeft w:val="360"/>
          <w:marRight w:val="0"/>
          <w:marTop w:val="200"/>
          <w:marBottom w:val="0"/>
          <w:divBdr>
            <w:top w:val="none" w:sz="0" w:space="0" w:color="auto"/>
            <w:left w:val="none" w:sz="0" w:space="0" w:color="auto"/>
            <w:bottom w:val="none" w:sz="0" w:space="0" w:color="auto"/>
            <w:right w:val="none" w:sz="0" w:space="0" w:color="auto"/>
          </w:divBdr>
        </w:div>
        <w:div w:id="893350631">
          <w:marLeft w:val="360"/>
          <w:marRight w:val="0"/>
          <w:marTop w:val="200"/>
          <w:marBottom w:val="0"/>
          <w:divBdr>
            <w:top w:val="none" w:sz="0" w:space="0" w:color="auto"/>
            <w:left w:val="none" w:sz="0" w:space="0" w:color="auto"/>
            <w:bottom w:val="none" w:sz="0" w:space="0" w:color="auto"/>
            <w:right w:val="none" w:sz="0" w:space="0" w:color="auto"/>
          </w:divBdr>
        </w:div>
      </w:divsChild>
    </w:div>
    <w:div w:id="882256258">
      <w:bodyDiv w:val="1"/>
      <w:marLeft w:val="0"/>
      <w:marRight w:val="0"/>
      <w:marTop w:val="0"/>
      <w:marBottom w:val="0"/>
      <w:divBdr>
        <w:top w:val="none" w:sz="0" w:space="0" w:color="auto"/>
        <w:left w:val="none" w:sz="0" w:space="0" w:color="auto"/>
        <w:bottom w:val="none" w:sz="0" w:space="0" w:color="auto"/>
        <w:right w:val="none" w:sz="0" w:space="0" w:color="auto"/>
      </w:divBdr>
    </w:div>
    <w:div w:id="1078480268">
      <w:bodyDiv w:val="1"/>
      <w:marLeft w:val="0"/>
      <w:marRight w:val="0"/>
      <w:marTop w:val="0"/>
      <w:marBottom w:val="0"/>
      <w:divBdr>
        <w:top w:val="none" w:sz="0" w:space="0" w:color="auto"/>
        <w:left w:val="none" w:sz="0" w:space="0" w:color="auto"/>
        <w:bottom w:val="none" w:sz="0" w:space="0" w:color="auto"/>
        <w:right w:val="none" w:sz="0" w:space="0" w:color="auto"/>
      </w:divBdr>
      <w:divsChild>
        <w:div w:id="1588149211">
          <w:marLeft w:val="360"/>
          <w:marRight w:val="0"/>
          <w:marTop w:val="200"/>
          <w:marBottom w:val="0"/>
          <w:divBdr>
            <w:top w:val="none" w:sz="0" w:space="0" w:color="auto"/>
            <w:left w:val="none" w:sz="0" w:space="0" w:color="auto"/>
            <w:bottom w:val="none" w:sz="0" w:space="0" w:color="auto"/>
            <w:right w:val="none" w:sz="0" w:space="0" w:color="auto"/>
          </w:divBdr>
        </w:div>
        <w:div w:id="1208181827">
          <w:marLeft w:val="360"/>
          <w:marRight w:val="0"/>
          <w:marTop w:val="200"/>
          <w:marBottom w:val="0"/>
          <w:divBdr>
            <w:top w:val="none" w:sz="0" w:space="0" w:color="auto"/>
            <w:left w:val="none" w:sz="0" w:space="0" w:color="auto"/>
            <w:bottom w:val="none" w:sz="0" w:space="0" w:color="auto"/>
            <w:right w:val="none" w:sz="0" w:space="0" w:color="auto"/>
          </w:divBdr>
        </w:div>
        <w:div w:id="2093352612">
          <w:marLeft w:val="360"/>
          <w:marRight w:val="0"/>
          <w:marTop w:val="200"/>
          <w:marBottom w:val="0"/>
          <w:divBdr>
            <w:top w:val="none" w:sz="0" w:space="0" w:color="auto"/>
            <w:left w:val="none" w:sz="0" w:space="0" w:color="auto"/>
            <w:bottom w:val="none" w:sz="0" w:space="0" w:color="auto"/>
            <w:right w:val="none" w:sz="0" w:space="0" w:color="auto"/>
          </w:divBdr>
        </w:div>
        <w:div w:id="201673524">
          <w:marLeft w:val="806"/>
          <w:marRight w:val="0"/>
          <w:marTop w:val="200"/>
          <w:marBottom w:val="0"/>
          <w:divBdr>
            <w:top w:val="none" w:sz="0" w:space="0" w:color="auto"/>
            <w:left w:val="none" w:sz="0" w:space="0" w:color="auto"/>
            <w:bottom w:val="none" w:sz="0" w:space="0" w:color="auto"/>
            <w:right w:val="none" w:sz="0" w:space="0" w:color="auto"/>
          </w:divBdr>
        </w:div>
        <w:div w:id="451242200">
          <w:marLeft w:val="806"/>
          <w:marRight w:val="0"/>
          <w:marTop w:val="200"/>
          <w:marBottom w:val="0"/>
          <w:divBdr>
            <w:top w:val="none" w:sz="0" w:space="0" w:color="auto"/>
            <w:left w:val="none" w:sz="0" w:space="0" w:color="auto"/>
            <w:bottom w:val="none" w:sz="0" w:space="0" w:color="auto"/>
            <w:right w:val="none" w:sz="0" w:space="0" w:color="auto"/>
          </w:divBdr>
        </w:div>
        <w:div w:id="1023018721">
          <w:marLeft w:val="806"/>
          <w:marRight w:val="0"/>
          <w:marTop w:val="200"/>
          <w:marBottom w:val="0"/>
          <w:divBdr>
            <w:top w:val="none" w:sz="0" w:space="0" w:color="auto"/>
            <w:left w:val="none" w:sz="0" w:space="0" w:color="auto"/>
            <w:bottom w:val="none" w:sz="0" w:space="0" w:color="auto"/>
            <w:right w:val="none" w:sz="0" w:space="0" w:color="auto"/>
          </w:divBdr>
        </w:div>
        <w:div w:id="1250118803">
          <w:marLeft w:val="806"/>
          <w:marRight w:val="0"/>
          <w:marTop w:val="200"/>
          <w:marBottom w:val="0"/>
          <w:divBdr>
            <w:top w:val="none" w:sz="0" w:space="0" w:color="auto"/>
            <w:left w:val="none" w:sz="0" w:space="0" w:color="auto"/>
            <w:bottom w:val="none" w:sz="0" w:space="0" w:color="auto"/>
            <w:right w:val="none" w:sz="0" w:space="0" w:color="auto"/>
          </w:divBdr>
        </w:div>
      </w:divsChild>
    </w:div>
    <w:div w:id="1095057974">
      <w:bodyDiv w:val="1"/>
      <w:marLeft w:val="0"/>
      <w:marRight w:val="0"/>
      <w:marTop w:val="0"/>
      <w:marBottom w:val="0"/>
      <w:divBdr>
        <w:top w:val="none" w:sz="0" w:space="0" w:color="auto"/>
        <w:left w:val="none" w:sz="0" w:space="0" w:color="auto"/>
        <w:bottom w:val="none" w:sz="0" w:space="0" w:color="auto"/>
        <w:right w:val="none" w:sz="0" w:space="0" w:color="auto"/>
      </w:divBdr>
      <w:divsChild>
        <w:div w:id="768744655">
          <w:marLeft w:val="0"/>
          <w:marRight w:val="1"/>
          <w:marTop w:val="0"/>
          <w:marBottom w:val="0"/>
          <w:divBdr>
            <w:top w:val="none" w:sz="0" w:space="0" w:color="auto"/>
            <w:left w:val="none" w:sz="0" w:space="0" w:color="auto"/>
            <w:bottom w:val="none" w:sz="0" w:space="0" w:color="auto"/>
            <w:right w:val="none" w:sz="0" w:space="0" w:color="auto"/>
          </w:divBdr>
          <w:divsChild>
            <w:div w:id="1142505831">
              <w:marLeft w:val="0"/>
              <w:marRight w:val="0"/>
              <w:marTop w:val="0"/>
              <w:marBottom w:val="0"/>
              <w:divBdr>
                <w:top w:val="none" w:sz="0" w:space="0" w:color="auto"/>
                <w:left w:val="none" w:sz="0" w:space="0" w:color="auto"/>
                <w:bottom w:val="none" w:sz="0" w:space="0" w:color="auto"/>
                <w:right w:val="none" w:sz="0" w:space="0" w:color="auto"/>
              </w:divBdr>
              <w:divsChild>
                <w:div w:id="562913886">
                  <w:marLeft w:val="0"/>
                  <w:marRight w:val="1"/>
                  <w:marTop w:val="0"/>
                  <w:marBottom w:val="0"/>
                  <w:divBdr>
                    <w:top w:val="none" w:sz="0" w:space="0" w:color="auto"/>
                    <w:left w:val="none" w:sz="0" w:space="0" w:color="auto"/>
                    <w:bottom w:val="none" w:sz="0" w:space="0" w:color="auto"/>
                    <w:right w:val="none" w:sz="0" w:space="0" w:color="auto"/>
                  </w:divBdr>
                  <w:divsChild>
                    <w:div w:id="1287931383">
                      <w:marLeft w:val="0"/>
                      <w:marRight w:val="0"/>
                      <w:marTop w:val="0"/>
                      <w:marBottom w:val="0"/>
                      <w:divBdr>
                        <w:top w:val="none" w:sz="0" w:space="0" w:color="auto"/>
                        <w:left w:val="none" w:sz="0" w:space="0" w:color="auto"/>
                        <w:bottom w:val="none" w:sz="0" w:space="0" w:color="auto"/>
                        <w:right w:val="none" w:sz="0" w:space="0" w:color="auto"/>
                      </w:divBdr>
                      <w:divsChild>
                        <w:div w:id="1267275889">
                          <w:marLeft w:val="0"/>
                          <w:marRight w:val="0"/>
                          <w:marTop w:val="0"/>
                          <w:marBottom w:val="0"/>
                          <w:divBdr>
                            <w:top w:val="none" w:sz="0" w:space="0" w:color="auto"/>
                            <w:left w:val="none" w:sz="0" w:space="0" w:color="auto"/>
                            <w:bottom w:val="none" w:sz="0" w:space="0" w:color="auto"/>
                            <w:right w:val="none" w:sz="0" w:space="0" w:color="auto"/>
                          </w:divBdr>
                          <w:divsChild>
                            <w:div w:id="1725519813">
                              <w:marLeft w:val="0"/>
                              <w:marRight w:val="0"/>
                              <w:marTop w:val="0"/>
                              <w:marBottom w:val="0"/>
                              <w:divBdr>
                                <w:top w:val="none" w:sz="0" w:space="0" w:color="auto"/>
                                <w:left w:val="none" w:sz="0" w:space="0" w:color="auto"/>
                                <w:bottom w:val="none" w:sz="0" w:space="0" w:color="auto"/>
                                <w:right w:val="none" w:sz="0" w:space="0" w:color="auto"/>
                              </w:divBdr>
                            </w:div>
                          </w:divsChild>
                        </w:div>
                        <w:div w:id="538007543">
                          <w:marLeft w:val="0"/>
                          <w:marRight w:val="0"/>
                          <w:marTop w:val="0"/>
                          <w:marBottom w:val="0"/>
                          <w:divBdr>
                            <w:top w:val="none" w:sz="0" w:space="0" w:color="auto"/>
                            <w:left w:val="none" w:sz="0" w:space="0" w:color="auto"/>
                            <w:bottom w:val="none" w:sz="0" w:space="0" w:color="auto"/>
                            <w:right w:val="none" w:sz="0" w:space="0" w:color="auto"/>
                          </w:divBdr>
                          <w:divsChild>
                            <w:div w:id="1425298008">
                              <w:marLeft w:val="0"/>
                              <w:marRight w:val="0"/>
                              <w:marTop w:val="120"/>
                              <w:marBottom w:val="360"/>
                              <w:divBdr>
                                <w:top w:val="none" w:sz="0" w:space="0" w:color="auto"/>
                                <w:left w:val="none" w:sz="0" w:space="0" w:color="auto"/>
                                <w:bottom w:val="none" w:sz="0" w:space="0" w:color="auto"/>
                                <w:right w:val="none" w:sz="0" w:space="0" w:color="auto"/>
                              </w:divBdr>
                              <w:divsChild>
                                <w:div w:id="6099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26692">
      <w:bodyDiv w:val="1"/>
      <w:marLeft w:val="0"/>
      <w:marRight w:val="0"/>
      <w:marTop w:val="0"/>
      <w:marBottom w:val="0"/>
      <w:divBdr>
        <w:top w:val="none" w:sz="0" w:space="0" w:color="auto"/>
        <w:left w:val="none" w:sz="0" w:space="0" w:color="auto"/>
        <w:bottom w:val="none" w:sz="0" w:space="0" w:color="auto"/>
        <w:right w:val="none" w:sz="0" w:space="0" w:color="auto"/>
      </w:divBdr>
      <w:divsChild>
        <w:div w:id="1062099873">
          <w:marLeft w:val="0"/>
          <w:marRight w:val="1"/>
          <w:marTop w:val="0"/>
          <w:marBottom w:val="0"/>
          <w:divBdr>
            <w:top w:val="none" w:sz="0" w:space="0" w:color="auto"/>
            <w:left w:val="none" w:sz="0" w:space="0" w:color="auto"/>
            <w:bottom w:val="none" w:sz="0" w:space="0" w:color="auto"/>
            <w:right w:val="none" w:sz="0" w:space="0" w:color="auto"/>
          </w:divBdr>
          <w:divsChild>
            <w:div w:id="30886125">
              <w:marLeft w:val="0"/>
              <w:marRight w:val="0"/>
              <w:marTop w:val="0"/>
              <w:marBottom w:val="0"/>
              <w:divBdr>
                <w:top w:val="none" w:sz="0" w:space="0" w:color="auto"/>
                <w:left w:val="none" w:sz="0" w:space="0" w:color="auto"/>
                <w:bottom w:val="none" w:sz="0" w:space="0" w:color="auto"/>
                <w:right w:val="none" w:sz="0" w:space="0" w:color="auto"/>
              </w:divBdr>
              <w:divsChild>
                <w:div w:id="1252860283">
                  <w:marLeft w:val="0"/>
                  <w:marRight w:val="1"/>
                  <w:marTop w:val="0"/>
                  <w:marBottom w:val="0"/>
                  <w:divBdr>
                    <w:top w:val="none" w:sz="0" w:space="0" w:color="auto"/>
                    <w:left w:val="none" w:sz="0" w:space="0" w:color="auto"/>
                    <w:bottom w:val="none" w:sz="0" w:space="0" w:color="auto"/>
                    <w:right w:val="none" w:sz="0" w:space="0" w:color="auto"/>
                  </w:divBdr>
                  <w:divsChild>
                    <w:div w:id="546726264">
                      <w:marLeft w:val="0"/>
                      <w:marRight w:val="0"/>
                      <w:marTop w:val="0"/>
                      <w:marBottom w:val="0"/>
                      <w:divBdr>
                        <w:top w:val="none" w:sz="0" w:space="0" w:color="auto"/>
                        <w:left w:val="none" w:sz="0" w:space="0" w:color="auto"/>
                        <w:bottom w:val="none" w:sz="0" w:space="0" w:color="auto"/>
                        <w:right w:val="none" w:sz="0" w:space="0" w:color="auto"/>
                      </w:divBdr>
                      <w:divsChild>
                        <w:div w:id="416369522">
                          <w:marLeft w:val="0"/>
                          <w:marRight w:val="0"/>
                          <w:marTop w:val="0"/>
                          <w:marBottom w:val="0"/>
                          <w:divBdr>
                            <w:top w:val="none" w:sz="0" w:space="0" w:color="auto"/>
                            <w:left w:val="none" w:sz="0" w:space="0" w:color="auto"/>
                            <w:bottom w:val="none" w:sz="0" w:space="0" w:color="auto"/>
                            <w:right w:val="none" w:sz="0" w:space="0" w:color="auto"/>
                          </w:divBdr>
                          <w:divsChild>
                            <w:div w:id="1969890898">
                              <w:marLeft w:val="0"/>
                              <w:marRight w:val="0"/>
                              <w:marTop w:val="0"/>
                              <w:marBottom w:val="0"/>
                              <w:divBdr>
                                <w:top w:val="none" w:sz="0" w:space="0" w:color="auto"/>
                                <w:left w:val="none" w:sz="0" w:space="0" w:color="auto"/>
                                <w:bottom w:val="none" w:sz="0" w:space="0" w:color="auto"/>
                                <w:right w:val="none" w:sz="0" w:space="0" w:color="auto"/>
                              </w:divBdr>
                            </w:div>
                          </w:divsChild>
                        </w:div>
                        <w:div w:id="438185337">
                          <w:marLeft w:val="0"/>
                          <w:marRight w:val="0"/>
                          <w:marTop w:val="0"/>
                          <w:marBottom w:val="0"/>
                          <w:divBdr>
                            <w:top w:val="none" w:sz="0" w:space="0" w:color="auto"/>
                            <w:left w:val="none" w:sz="0" w:space="0" w:color="auto"/>
                            <w:bottom w:val="none" w:sz="0" w:space="0" w:color="auto"/>
                            <w:right w:val="none" w:sz="0" w:space="0" w:color="auto"/>
                          </w:divBdr>
                          <w:divsChild>
                            <w:div w:id="748387367">
                              <w:marLeft w:val="0"/>
                              <w:marRight w:val="0"/>
                              <w:marTop w:val="120"/>
                              <w:marBottom w:val="360"/>
                              <w:divBdr>
                                <w:top w:val="none" w:sz="0" w:space="0" w:color="auto"/>
                                <w:left w:val="none" w:sz="0" w:space="0" w:color="auto"/>
                                <w:bottom w:val="none" w:sz="0" w:space="0" w:color="auto"/>
                                <w:right w:val="none" w:sz="0" w:space="0" w:color="auto"/>
                              </w:divBdr>
                              <w:divsChild>
                                <w:div w:id="204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984743">
      <w:bodyDiv w:val="1"/>
      <w:marLeft w:val="0"/>
      <w:marRight w:val="0"/>
      <w:marTop w:val="0"/>
      <w:marBottom w:val="0"/>
      <w:divBdr>
        <w:top w:val="none" w:sz="0" w:space="0" w:color="auto"/>
        <w:left w:val="none" w:sz="0" w:space="0" w:color="auto"/>
        <w:bottom w:val="none" w:sz="0" w:space="0" w:color="auto"/>
        <w:right w:val="none" w:sz="0" w:space="0" w:color="auto"/>
      </w:divBdr>
      <w:divsChild>
        <w:div w:id="1888909016">
          <w:marLeft w:val="360"/>
          <w:marRight w:val="0"/>
          <w:marTop w:val="200"/>
          <w:marBottom w:val="0"/>
          <w:divBdr>
            <w:top w:val="none" w:sz="0" w:space="0" w:color="auto"/>
            <w:left w:val="none" w:sz="0" w:space="0" w:color="auto"/>
            <w:bottom w:val="none" w:sz="0" w:space="0" w:color="auto"/>
            <w:right w:val="none" w:sz="0" w:space="0" w:color="auto"/>
          </w:divBdr>
        </w:div>
        <w:div w:id="486750675">
          <w:marLeft w:val="360"/>
          <w:marRight w:val="0"/>
          <w:marTop w:val="200"/>
          <w:marBottom w:val="0"/>
          <w:divBdr>
            <w:top w:val="none" w:sz="0" w:space="0" w:color="auto"/>
            <w:left w:val="none" w:sz="0" w:space="0" w:color="auto"/>
            <w:bottom w:val="none" w:sz="0" w:space="0" w:color="auto"/>
            <w:right w:val="none" w:sz="0" w:space="0" w:color="auto"/>
          </w:divBdr>
        </w:div>
        <w:div w:id="360590024">
          <w:marLeft w:val="360"/>
          <w:marRight w:val="0"/>
          <w:marTop w:val="200"/>
          <w:marBottom w:val="0"/>
          <w:divBdr>
            <w:top w:val="none" w:sz="0" w:space="0" w:color="auto"/>
            <w:left w:val="none" w:sz="0" w:space="0" w:color="auto"/>
            <w:bottom w:val="none" w:sz="0" w:space="0" w:color="auto"/>
            <w:right w:val="none" w:sz="0" w:space="0" w:color="auto"/>
          </w:divBdr>
        </w:div>
        <w:div w:id="829638176">
          <w:marLeft w:val="360"/>
          <w:marRight w:val="0"/>
          <w:marTop w:val="200"/>
          <w:marBottom w:val="0"/>
          <w:divBdr>
            <w:top w:val="none" w:sz="0" w:space="0" w:color="auto"/>
            <w:left w:val="none" w:sz="0" w:space="0" w:color="auto"/>
            <w:bottom w:val="none" w:sz="0" w:space="0" w:color="auto"/>
            <w:right w:val="none" w:sz="0" w:space="0" w:color="auto"/>
          </w:divBdr>
        </w:div>
        <w:div w:id="754478212">
          <w:marLeft w:val="360"/>
          <w:marRight w:val="0"/>
          <w:marTop w:val="200"/>
          <w:marBottom w:val="0"/>
          <w:divBdr>
            <w:top w:val="none" w:sz="0" w:space="0" w:color="auto"/>
            <w:left w:val="none" w:sz="0" w:space="0" w:color="auto"/>
            <w:bottom w:val="none" w:sz="0" w:space="0" w:color="auto"/>
            <w:right w:val="none" w:sz="0" w:space="0" w:color="auto"/>
          </w:divBdr>
        </w:div>
        <w:div w:id="1200584618">
          <w:marLeft w:val="360"/>
          <w:marRight w:val="0"/>
          <w:marTop w:val="200"/>
          <w:marBottom w:val="0"/>
          <w:divBdr>
            <w:top w:val="none" w:sz="0" w:space="0" w:color="auto"/>
            <w:left w:val="none" w:sz="0" w:space="0" w:color="auto"/>
            <w:bottom w:val="none" w:sz="0" w:space="0" w:color="auto"/>
            <w:right w:val="none" w:sz="0" w:space="0" w:color="auto"/>
          </w:divBdr>
        </w:div>
      </w:divsChild>
    </w:div>
    <w:div w:id="1458062514">
      <w:bodyDiv w:val="1"/>
      <w:marLeft w:val="0"/>
      <w:marRight w:val="0"/>
      <w:marTop w:val="0"/>
      <w:marBottom w:val="0"/>
      <w:divBdr>
        <w:top w:val="none" w:sz="0" w:space="0" w:color="auto"/>
        <w:left w:val="none" w:sz="0" w:space="0" w:color="auto"/>
        <w:bottom w:val="none" w:sz="0" w:space="0" w:color="auto"/>
        <w:right w:val="none" w:sz="0" w:space="0" w:color="auto"/>
      </w:divBdr>
      <w:divsChild>
        <w:div w:id="870654132">
          <w:marLeft w:val="360"/>
          <w:marRight w:val="0"/>
          <w:marTop w:val="200"/>
          <w:marBottom w:val="0"/>
          <w:divBdr>
            <w:top w:val="none" w:sz="0" w:space="0" w:color="auto"/>
            <w:left w:val="none" w:sz="0" w:space="0" w:color="auto"/>
            <w:bottom w:val="none" w:sz="0" w:space="0" w:color="auto"/>
            <w:right w:val="none" w:sz="0" w:space="0" w:color="auto"/>
          </w:divBdr>
        </w:div>
        <w:div w:id="2034309080">
          <w:marLeft w:val="360"/>
          <w:marRight w:val="0"/>
          <w:marTop w:val="200"/>
          <w:marBottom w:val="0"/>
          <w:divBdr>
            <w:top w:val="none" w:sz="0" w:space="0" w:color="auto"/>
            <w:left w:val="none" w:sz="0" w:space="0" w:color="auto"/>
            <w:bottom w:val="none" w:sz="0" w:space="0" w:color="auto"/>
            <w:right w:val="none" w:sz="0" w:space="0" w:color="auto"/>
          </w:divBdr>
        </w:div>
        <w:div w:id="1004941356">
          <w:marLeft w:val="360"/>
          <w:marRight w:val="0"/>
          <w:marTop w:val="200"/>
          <w:marBottom w:val="0"/>
          <w:divBdr>
            <w:top w:val="none" w:sz="0" w:space="0" w:color="auto"/>
            <w:left w:val="none" w:sz="0" w:space="0" w:color="auto"/>
            <w:bottom w:val="none" w:sz="0" w:space="0" w:color="auto"/>
            <w:right w:val="none" w:sz="0" w:space="0" w:color="auto"/>
          </w:divBdr>
        </w:div>
        <w:div w:id="1306013019">
          <w:marLeft w:val="360"/>
          <w:marRight w:val="0"/>
          <w:marTop w:val="200"/>
          <w:marBottom w:val="0"/>
          <w:divBdr>
            <w:top w:val="none" w:sz="0" w:space="0" w:color="auto"/>
            <w:left w:val="none" w:sz="0" w:space="0" w:color="auto"/>
            <w:bottom w:val="none" w:sz="0" w:space="0" w:color="auto"/>
            <w:right w:val="none" w:sz="0" w:space="0" w:color="auto"/>
          </w:divBdr>
        </w:div>
        <w:div w:id="429391891">
          <w:marLeft w:val="360"/>
          <w:marRight w:val="0"/>
          <w:marTop w:val="200"/>
          <w:marBottom w:val="0"/>
          <w:divBdr>
            <w:top w:val="none" w:sz="0" w:space="0" w:color="auto"/>
            <w:left w:val="none" w:sz="0" w:space="0" w:color="auto"/>
            <w:bottom w:val="none" w:sz="0" w:space="0" w:color="auto"/>
            <w:right w:val="none" w:sz="0" w:space="0" w:color="auto"/>
          </w:divBdr>
        </w:div>
      </w:divsChild>
    </w:div>
    <w:div w:id="1515337935">
      <w:bodyDiv w:val="1"/>
      <w:marLeft w:val="0"/>
      <w:marRight w:val="0"/>
      <w:marTop w:val="0"/>
      <w:marBottom w:val="0"/>
      <w:divBdr>
        <w:top w:val="none" w:sz="0" w:space="0" w:color="auto"/>
        <w:left w:val="none" w:sz="0" w:space="0" w:color="auto"/>
        <w:bottom w:val="none" w:sz="0" w:space="0" w:color="auto"/>
        <w:right w:val="none" w:sz="0" w:space="0" w:color="auto"/>
      </w:divBdr>
      <w:divsChild>
        <w:div w:id="466435030">
          <w:marLeft w:val="360"/>
          <w:marRight w:val="0"/>
          <w:marTop w:val="200"/>
          <w:marBottom w:val="0"/>
          <w:divBdr>
            <w:top w:val="none" w:sz="0" w:space="0" w:color="auto"/>
            <w:left w:val="none" w:sz="0" w:space="0" w:color="auto"/>
            <w:bottom w:val="none" w:sz="0" w:space="0" w:color="auto"/>
            <w:right w:val="none" w:sz="0" w:space="0" w:color="auto"/>
          </w:divBdr>
        </w:div>
        <w:div w:id="263611319">
          <w:marLeft w:val="360"/>
          <w:marRight w:val="0"/>
          <w:marTop w:val="200"/>
          <w:marBottom w:val="0"/>
          <w:divBdr>
            <w:top w:val="none" w:sz="0" w:space="0" w:color="auto"/>
            <w:left w:val="none" w:sz="0" w:space="0" w:color="auto"/>
            <w:bottom w:val="none" w:sz="0" w:space="0" w:color="auto"/>
            <w:right w:val="none" w:sz="0" w:space="0" w:color="auto"/>
          </w:divBdr>
        </w:div>
        <w:div w:id="1305428711">
          <w:marLeft w:val="360"/>
          <w:marRight w:val="0"/>
          <w:marTop w:val="200"/>
          <w:marBottom w:val="0"/>
          <w:divBdr>
            <w:top w:val="none" w:sz="0" w:space="0" w:color="auto"/>
            <w:left w:val="none" w:sz="0" w:space="0" w:color="auto"/>
            <w:bottom w:val="none" w:sz="0" w:space="0" w:color="auto"/>
            <w:right w:val="none" w:sz="0" w:space="0" w:color="auto"/>
          </w:divBdr>
        </w:div>
        <w:div w:id="1366566180">
          <w:marLeft w:val="360"/>
          <w:marRight w:val="0"/>
          <w:marTop w:val="200"/>
          <w:marBottom w:val="0"/>
          <w:divBdr>
            <w:top w:val="none" w:sz="0" w:space="0" w:color="auto"/>
            <w:left w:val="none" w:sz="0" w:space="0" w:color="auto"/>
            <w:bottom w:val="none" w:sz="0" w:space="0" w:color="auto"/>
            <w:right w:val="none" w:sz="0" w:space="0" w:color="auto"/>
          </w:divBdr>
        </w:div>
        <w:div w:id="859701914">
          <w:marLeft w:val="360"/>
          <w:marRight w:val="0"/>
          <w:marTop w:val="200"/>
          <w:marBottom w:val="0"/>
          <w:divBdr>
            <w:top w:val="none" w:sz="0" w:space="0" w:color="auto"/>
            <w:left w:val="none" w:sz="0" w:space="0" w:color="auto"/>
            <w:bottom w:val="none" w:sz="0" w:space="0" w:color="auto"/>
            <w:right w:val="none" w:sz="0" w:space="0" w:color="auto"/>
          </w:divBdr>
        </w:div>
      </w:divsChild>
    </w:div>
    <w:div w:id="1544715077">
      <w:bodyDiv w:val="1"/>
      <w:marLeft w:val="0"/>
      <w:marRight w:val="0"/>
      <w:marTop w:val="0"/>
      <w:marBottom w:val="0"/>
      <w:divBdr>
        <w:top w:val="none" w:sz="0" w:space="0" w:color="auto"/>
        <w:left w:val="none" w:sz="0" w:space="0" w:color="auto"/>
        <w:bottom w:val="none" w:sz="0" w:space="0" w:color="auto"/>
        <w:right w:val="none" w:sz="0" w:space="0" w:color="auto"/>
      </w:divBdr>
      <w:divsChild>
        <w:div w:id="1229070116">
          <w:marLeft w:val="360"/>
          <w:marRight w:val="0"/>
          <w:marTop w:val="200"/>
          <w:marBottom w:val="0"/>
          <w:divBdr>
            <w:top w:val="none" w:sz="0" w:space="0" w:color="auto"/>
            <w:left w:val="none" w:sz="0" w:space="0" w:color="auto"/>
            <w:bottom w:val="none" w:sz="0" w:space="0" w:color="auto"/>
            <w:right w:val="none" w:sz="0" w:space="0" w:color="auto"/>
          </w:divBdr>
        </w:div>
        <w:div w:id="41827971">
          <w:marLeft w:val="360"/>
          <w:marRight w:val="0"/>
          <w:marTop w:val="200"/>
          <w:marBottom w:val="0"/>
          <w:divBdr>
            <w:top w:val="none" w:sz="0" w:space="0" w:color="auto"/>
            <w:left w:val="none" w:sz="0" w:space="0" w:color="auto"/>
            <w:bottom w:val="none" w:sz="0" w:space="0" w:color="auto"/>
            <w:right w:val="none" w:sz="0" w:space="0" w:color="auto"/>
          </w:divBdr>
        </w:div>
        <w:div w:id="1266772205">
          <w:marLeft w:val="360"/>
          <w:marRight w:val="0"/>
          <w:marTop w:val="200"/>
          <w:marBottom w:val="0"/>
          <w:divBdr>
            <w:top w:val="none" w:sz="0" w:space="0" w:color="auto"/>
            <w:left w:val="none" w:sz="0" w:space="0" w:color="auto"/>
            <w:bottom w:val="none" w:sz="0" w:space="0" w:color="auto"/>
            <w:right w:val="none" w:sz="0" w:space="0" w:color="auto"/>
          </w:divBdr>
        </w:div>
        <w:div w:id="254170195">
          <w:marLeft w:val="360"/>
          <w:marRight w:val="0"/>
          <w:marTop w:val="200"/>
          <w:marBottom w:val="0"/>
          <w:divBdr>
            <w:top w:val="none" w:sz="0" w:space="0" w:color="auto"/>
            <w:left w:val="none" w:sz="0" w:space="0" w:color="auto"/>
            <w:bottom w:val="none" w:sz="0" w:space="0" w:color="auto"/>
            <w:right w:val="none" w:sz="0" w:space="0" w:color="auto"/>
          </w:divBdr>
        </w:div>
        <w:div w:id="1551961225">
          <w:marLeft w:val="360"/>
          <w:marRight w:val="0"/>
          <w:marTop w:val="200"/>
          <w:marBottom w:val="0"/>
          <w:divBdr>
            <w:top w:val="none" w:sz="0" w:space="0" w:color="auto"/>
            <w:left w:val="none" w:sz="0" w:space="0" w:color="auto"/>
            <w:bottom w:val="none" w:sz="0" w:space="0" w:color="auto"/>
            <w:right w:val="none" w:sz="0" w:space="0" w:color="auto"/>
          </w:divBdr>
        </w:div>
        <w:div w:id="536284208">
          <w:marLeft w:val="360"/>
          <w:marRight w:val="0"/>
          <w:marTop w:val="200"/>
          <w:marBottom w:val="0"/>
          <w:divBdr>
            <w:top w:val="none" w:sz="0" w:space="0" w:color="auto"/>
            <w:left w:val="none" w:sz="0" w:space="0" w:color="auto"/>
            <w:bottom w:val="none" w:sz="0" w:space="0" w:color="auto"/>
            <w:right w:val="none" w:sz="0" w:space="0" w:color="auto"/>
          </w:divBdr>
        </w:div>
        <w:div w:id="612397343">
          <w:marLeft w:val="360"/>
          <w:marRight w:val="0"/>
          <w:marTop w:val="200"/>
          <w:marBottom w:val="0"/>
          <w:divBdr>
            <w:top w:val="none" w:sz="0" w:space="0" w:color="auto"/>
            <w:left w:val="none" w:sz="0" w:space="0" w:color="auto"/>
            <w:bottom w:val="none" w:sz="0" w:space="0" w:color="auto"/>
            <w:right w:val="none" w:sz="0" w:space="0" w:color="auto"/>
          </w:divBdr>
        </w:div>
      </w:divsChild>
    </w:div>
    <w:div w:id="1557819661">
      <w:bodyDiv w:val="1"/>
      <w:marLeft w:val="0"/>
      <w:marRight w:val="0"/>
      <w:marTop w:val="0"/>
      <w:marBottom w:val="0"/>
      <w:divBdr>
        <w:top w:val="none" w:sz="0" w:space="0" w:color="auto"/>
        <w:left w:val="none" w:sz="0" w:space="0" w:color="auto"/>
        <w:bottom w:val="none" w:sz="0" w:space="0" w:color="auto"/>
        <w:right w:val="none" w:sz="0" w:space="0" w:color="auto"/>
      </w:divBdr>
      <w:divsChild>
        <w:div w:id="1662000476">
          <w:marLeft w:val="360"/>
          <w:marRight w:val="0"/>
          <w:marTop w:val="200"/>
          <w:marBottom w:val="0"/>
          <w:divBdr>
            <w:top w:val="none" w:sz="0" w:space="0" w:color="auto"/>
            <w:left w:val="none" w:sz="0" w:space="0" w:color="auto"/>
            <w:bottom w:val="none" w:sz="0" w:space="0" w:color="auto"/>
            <w:right w:val="none" w:sz="0" w:space="0" w:color="auto"/>
          </w:divBdr>
        </w:div>
        <w:div w:id="1811897546">
          <w:marLeft w:val="360"/>
          <w:marRight w:val="0"/>
          <w:marTop w:val="200"/>
          <w:marBottom w:val="0"/>
          <w:divBdr>
            <w:top w:val="none" w:sz="0" w:space="0" w:color="auto"/>
            <w:left w:val="none" w:sz="0" w:space="0" w:color="auto"/>
            <w:bottom w:val="none" w:sz="0" w:space="0" w:color="auto"/>
            <w:right w:val="none" w:sz="0" w:space="0" w:color="auto"/>
          </w:divBdr>
        </w:div>
      </w:divsChild>
    </w:div>
    <w:div w:id="1707560378">
      <w:bodyDiv w:val="1"/>
      <w:marLeft w:val="0"/>
      <w:marRight w:val="0"/>
      <w:marTop w:val="0"/>
      <w:marBottom w:val="0"/>
      <w:divBdr>
        <w:top w:val="none" w:sz="0" w:space="0" w:color="auto"/>
        <w:left w:val="none" w:sz="0" w:space="0" w:color="auto"/>
        <w:bottom w:val="none" w:sz="0" w:space="0" w:color="auto"/>
        <w:right w:val="none" w:sz="0" w:space="0" w:color="auto"/>
      </w:divBdr>
      <w:divsChild>
        <w:div w:id="688333779">
          <w:marLeft w:val="360"/>
          <w:marRight w:val="0"/>
          <w:marTop w:val="200"/>
          <w:marBottom w:val="0"/>
          <w:divBdr>
            <w:top w:val="none" w:sz="0" w:space="0" w:color="auto"/>
            <w:left w:val="none" w:sz="0" w:space="0" w:color="auto"/>
            <w:bottom w:val="none" w:sz="0" w:space="0" w:color="auto"/>
            <w:right w:val="none" w:sz="0" w:space="0" w:color="auto"/>
          </w:divBdr>
        </w:div>
      </w:divsChild>
    </w:div>
    <w:div w:id="2015525120">
      <w:bodyDiv w:val="1"/>
      <w:marLeft w:val="0"/>
      <w:marRight w:val="0"/>
      <w:marTop w:val="0"/>
      <w:marBottom w:val="0"/>
      <w:divBdr>
        <w:top w:val="none" w:sz="0" w:space="0" w:color="auto"/>
        <w:left w:val="none" w:sz="0" w:space="0" w:color="auto"/>
        <w:bottom w:val="none" w:sz="0" w:space="0" w:color="auto"/>
        <w:right w:val="none" w:sz="0" w:space="0" w:color="auto"/>
      </w:divBdr>
      <w:divsChild>
        <w:div w:id="1941329902">
          <w:marLeft w:val="360"/>
          <w:marRight w:val="0"/>
          <w:marTop w:val="200"/>
          <w:marBottom w:val="0"/>
          <w:divBdr>
            <w:top w:val="none" w:sz="0" w:space="0" w:color="auto"/>
            <w:left w:val="none" w:sz="0" w:space="0" w:color="auto"/>
            <w:bottom w:val="none" w:sz="0" w:space="0" w:color="auto"/>
            <w:right w:val="none" w:sz="0" w:space="0" w:color="auto"/>
          </w:divBdr>
        </w:div>
        <w:div w:id="424422546">
          <w:marLeft w:val="360"/>
          <w:marRight w:val="0"/>
          <w:marTop w:val="200"/>
          <w:marBottom w:val="0"/>
          <w:divBdr>
            <w:top w:val="none" w:sz="0" w:space="0" w:color="auto"/>
            <w:left w:val="none" w:sz="0" w:space="0" w:color="auto"/>
            <w:bottom w:val="none" w:sz="0" w:space="0" w:color="auto"/>
            <w:right w:val="none" w:sz="0" w:space="0" w:color="auto"/>
          </w:divBdr>
        </w:div>
      </w:divsChild>
    </w:div>
    <w:div w:id="2027512513">
      <w:bodyDiv w:val="1"/>
      <w:marLeft w:val="0"/>
      <w:marRight w:val="0"/>
      <w:marTop w:val="0"/>
      <w:marBottom w:val="0"/>
      <w:divBdr>
        <w:top w:val="none" w:sz="0" w:space="0" w:color="auto"/>
        <w:left w:val="none" w:sz="0" w:space="0" w:color="auto"/>
        <w:bottom w:val="none" w:sz="0" w:space="0" w:color="auto"/>
        <w:right w:val="none" w:sz="0" w:space="0" w:color="auto"/>
      </w:divBdr>
      <w:divsChild>
        <w:div w:id="47187702">
          <w:marLeft w:val="360"/>
          <w:marRight w:val="0"/>
          <w:marTop w:val="200"/>
          <w:marBottom w:val="0"/>
          <w:divBdr>
            <w:top w:val="none" w:sz="0" w:space="0" w:color="auto"/>
            <w:left w:val="none" w:sz="0" w:space="0" w:color="auto"/>
            <w:bottom w:val="none" w:sz="0" w:space="0" w:color="auto"/>
            <w:right w:val="none" w:sz="0" w:space="0" w:color="auto"/>
          </w:divBdr>
        </w:div>
        <w:div w:id="1316492189">
          <w:marLeft w:val="360"/>
          <w:marRight w:val="0"/>
          <w:marTop w:val="200"/>
          <w:marBottom w:val="0"/>
          <w:divBdr>
            <w:top w:val="none" w:sz="0" w:space="0" w:color="auto"/>
            <w:left w:val="none" w:sz="0" w:space="0" w:color="auto"/>
            <w:bottom w:val="none" w:sz="0" w:space="0" w:color="auto"/>
            <w:right w:val="none" w:sz="0" w:space="0" w:color="auto"/>
          </w:divBdr>
        </w:div>
        <w:div w:id="1118794845">
          <w:marLeft w:val="360"/>
          <w:marRight w:val="0"/>
          <w:marTop w:val="200"/>
          <w:marBottom w:val="0"/>
          <w:divBdr>
            <w:top w:val="none" w:sz="0" w:space="0" w:color="auto"/>
            <w:left w:val="none" w:sz="0" w:space="0" w:color="auto"/>
            <w:bottom w:val="none" w:sz="0" w:space="0" w:color="auto"/>
            <w:right w:val="none" w:sz="0" w:space="0" w:color="auto"/>
          </w:divBdr>
        </w:div>
        <w:div w:id="181609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cbi.nlm.nih.gov/pubmed/?term=Thomas%20S%5BAuthor%5D&amp;cauthor=true&amp;cauthor_uid=26777302" TargetMode="External"/><Relationship Id="rId17" Type="http://schemas.openxmlformats.org/officeDocument/2006/relationships/hyperlink" Target="https://www.ncbi.nlm.nih.gov/pubmed/27237946"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Barry%20S%5BAuthor%5D&amp;cauthor=true&amp;cauthor_uid=26777302" TargetMode="External"/><Relationship Id="rId5" Type="http://schemas.openxmlformats.org/officeDocument/2006/relationships/settings" Target="settings.xml"/><Relationship Id="rId15" Type="http://schemas.openxmlformats.org/officeDocument/2006/relationships/hyperlink" Target="https://www.ncbi.nlm.nih.gov/pubmed/26777302" TargetMode="External"/><Relationship Id="rId10" Type="http://schemas.openxmlformats.org/officeDocument/2006/relationships/hyperlink" Target="https://www.ncbi.nlm.nih.gov/pubmed/?term=Normand%20C%5BAuthor%5D&amp;cauthor=true&amp;cauthor_uid=26777302" TargetMode="External"/><Relationship Id="rId19" Type="http://schemas.openxmlformats.org/officeDocument/2006/relationships/hyperlink" Target="https://www.ncbi.nlm.nih.gov/pubmed/26872702" TargetMode="External"/><Relationship Id="rId4" Type="http://schemas.microsoft.com/office/2007/relationships/stylesWithEffects" Target="stylesWithEffects.xml"/><Relationship Id="rId9" Type="http://schemas.openxmlformats.org/officeDocument/2006/relationships/hyperlink" Target="https://www.ncbi.nlm.nih.gov/pubmed/?term=Burke%20SA%5BAuthor%5D&amp;cauthor=true&amp;cauthor_uid=26777302"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AB3471-E56E-43C8-A1B0-42CC360D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10526</Words>
  <Characters>60001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Saltman, Richard B</dc:creator>
  <cp:keywords/>
  <dc:description/>
  <cp:lastModifiedBy>Owner</cp:lastModifiedBy>
  <cp:revision>11</cp:revision>
  <dcterms:created xsi:type="dcterms:W3CDTF">2017-06-09T21:07:00Z</dcterms:created>
  <dcterms:modified xsi:type="dcterms:W3CDTF">2017-07-17T22:22:00Z</dcterms:modified>
</cp:coreProperties>
</file>