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DF" w:rsidRDefault="00A307DF" w:rsidP="00570F56">
      <w:pPr>
        <w:spacing w:line="480" w:lineRule="auto"/>
        <w:jc w:val="both"/>
        <w:rPr>
          <w:b/>
        </w:rPr>
      </w:pPr>
      <w:r w:rsidRPr="00570F56">
        <w:rPr>
          <w:b/>
        </w:rPr>
        <w:t xml:space="preserve">Nurses as </w:t>
      </w:r>
      <w:r w:rsidR="00C4779E">
        <w:rPr>
          <w:b/>
        </w:rPr>
        <w:t>C</w:t>
      </w:r>
      <w:r w:rsidRPr="00570F56">
        <w:rPr>
          <w:b/>
        </w:rPr>
        <w:t xml:space="preserve">hange </w:t>
      </w:r>
      <w:r w:rsidR="00C4779E">
        <w:rPr>
          <w:b/>
        </w:rPr>
        <w:t>A</w:t>
      </w:r>
      <w:r w:rsidRPr="00570F56">
        <w:rPr>
          <w:b/>
        </w:rPr>
        <w:t xml:space="preserve">gents </w:t>
      </w:r>
      <w:r w:rsidR="00F73779" w:rsidRPr="00570F56">
        <w:rPr>
          <w:b/>
        </w:rPr>
        <w:t xml:space="preserve">for </w:t>
      </w:r>
      <w:r w:rsidR="007C0604" w:rsidRPr="00570F56">
        <w:rPr>
          <w:b/>
        </w:rPr>
        <w:t xml:space="preserve">a </w:t>
      </w:r>
      <w:r w:rsidR="00C4779E">
        <w:rPr>
          <w:b/>
        </w:rPr>
        <w:t>B</w:t>
      </w:r>
      <w:r w:rsidR="00F73779" w:rsidRPr="00570F56">
        <w:rPr>
          <w:b/>
        </w:rPr>
        <w:t xml:space="preserve">etter </w:t>
      </w:r>
      <w:r w:rsidR="00C4779E">
        <w:rPr>
          <w:b/>
        </w:rPr>
        <w:t>F</w:t>
      </w:r>
      <w:r w:rsidR="007C0604" w:rsidRPr="00570F56">
        <w:rPr>
          <w:b/>
        </w:rPr>
        <w:t xml:space="preserve">uture in </w:t>
      </w:r>
      <w:r w:rsidR="00C4779E">
        <w:rPr>
          <w:b/>
        </w:rPr>
        <w:t>H</w:t>
      </w:r>
      <w:r w:rsidR="00F73779" w:rsidRPr="00570F56">
        <w:rPr>
          <w:b/>
        </w:rPr>
        <w:t>ealthcare</w:t>
      </w:r>
      <w:r w:rsidRPr="00570F56">
        <w:rPr>
          <w:b/>
        </w:rPr>
        <w:t xml:space="preserve">: The </w:t>
      </w:r>
      <w:r w:rsidR="00C4779E">
        <w:rPr>
          <w:b/>
        </w:rPr>
        <w:t>P</w:t>
      </w:r>
      <w:r w:rsidRPr="00570F56">
        <w:rPr>
          <w:b/>
        </w:rPr>
        <w:t xml:space="preserve">olitics of </w:t>
      </w:r>
      <w:r w:rsidR="00C4779E">
        <w:rPr>
          <w:b/>
        </w:rPr>
        <w:t>D</w:t>
      </w:r>
      <w:r w:rsidR="00684E67" w:rsidRPr="00570F56">
        <w:rPr>
          <w:b/>
        </w:rPr>
        <w:t xml:space="preserve">rift and </w:t>
      </w:r>
      <w:r w:rsidR="00C4779E">
        <w:rPr>
          <w:b/>
        </w:rPr>
        <w:t>D</w:t>
      </w:r>
      <w:r w:rsidR="00684E67" w:rsidRPr="00570F56">
        <w:rPr>
          <w:b/>
        </w:rPr>
        <w:t>ilution</w:t>
      </w:r>
      <w:r w:rsidR="00055318">
        <w:rPr>
          <w:b/>
        </w:rPr>
        <w:t xml:space="preserve"> </w:t>
      </w:r>
      <w:r w:rsidR="0045471B">
        <w:rPr>
          <w:b/>
        </w:rPr>
        <w:t xml:space="preserve"> </w:t>
      </w:r>
    </w:p>
    <w:p w:rsidR="00A5072E" w:rsidRDefault="004931E2" w:rsidP="004931E2">
      <w:pPr>
        <w:pStyle w:val="Font11"/>
        <w:rPr>
          <w:b/>
        </w:rPr>
      </w:pPr>
      <w:r w:rsidRPr="00783F56">
        <w:t>Anne Marie Rafferty</w:t>
      </w:r>
      <w:r>
        <w:t xml:space="preserve">, </w:t>
      </w:r>
      <w:bookmarkStart w:id="0" w:name="_GoBack"/>
      <w:bookmarkEnd w:id="0"/>
      <w:r w:rsidRPr="00783F56">
        <w:t xml:space="preserve">Professor of Nursing Policy, Florence Nightingale Faculty of Nursing &amp; Midwifery and </w:t>
      </w:r>
      <w:r>
        <w:t xml:space="preserve"> P</w:t>
      </w:r>
      <w:r w:rsidRPr="00783F56">
        <w:t>olicy Institute at King’s College London</w:t>
      </w:r>
    </w:p>
    <w:p w:rsidR="004931E2" w:rsidRDefault="004931E2" w:rsidP="00570F56">
      <w:pPr>
        <w:spacing w:line="480" w:lineRule="auto"/>
        <w:jc w:val="both"/>
        <w:rPr>
          <w:b/>
        </w:rPr>
      </w:pPr>
    </w:p>
    <w:p w:rsidR="00B5220A" w:rsidRPr="00570F56" w:rsidRDefault="004A4146" w:rsidP="00570F56">
      <w:pPr>
        <w:spacing w:line="480" w:lineRule="auto"/>
        <w:jc w:val="both"/>
        <w:rPr>
          <w:b/>
        </w:rPr>
      </w:pPr>
      <w:r w:rsidRPr="00570F56">
        <w:rPr>
          <w:b/>
        </w:rPr>
        <w:t xml:space="preserve">Introduction </w:t>
      </w:r>
    </w:p>
    <w:p w:rsidR="00273B1F" w:rsidRDefault="00A307DF" w:rsidP="0034141B">
      <w:pPr>
        <w:spacing w:line="480" w:lineRule="auto"/>
        <w:jc w:val="both"/>
      </w:pPr>
      <w:r w:rsidRPr="00570F56">
        <w:t xml:space="preserve">The creation of </w:t>
      </w:r>
      <w:r w:rsidR="00CD364C" w:rsidRPr="00570F56">
        <w:t xml:space="preserve">Canadian Medicare </w:t>
      </w:r>
      <w:r w:rsidR="00E6747C" w:rsidRPr="00570F56">
        <w:t xml:space="preserve">almost </w:t>
      </w:r>
      <w:r w:rsidR="004A4146" w:rsidRPr="00570F56">
        <w:t>5</w:t>
      </w:r>
      <w:r w:rsidR="00CD364C" w:rsidRPr="00570F56">
        <w:t xml:space="preserve">0 years ago and </w:t>
      </w:r>
      <w:r w:rsidRPr="00570F56">
        <w:t xml:space="preserve">the </w:t>
      </w:r>
      <w:r w:rsidR="002B7C8D">
        <w:t xml:space="preserve">British </w:t>
      </w:r>
      <w:r w:rsidR="00166773" w:rsidRPr="00570F56">
        <w:t xml:space="preserve">National Health Service </w:t>
      </w:r>
      <w:r w:rsidRPr="00570F56">
        <w:t xml:space="preserve">almost 70 years ago </w:t>
      </w:r>
      <w:r w:rsidR="003145B0" w:rsidRPr="00570F56">
        <w:t xml:space="preserve">makes </w:t>
      </w:r>
      <w:r w:rsidRPr="00570F56">
        <w:t xml:space="preserve">2018 an opportune moment to reflect upon </w:t>
      </w:r>
      <w:r w:rsidR="00BC1CEF" w:rsidRPr="00570F56">
        <w:t>w</w:t>
      </w:r>
      <w:r w:rsidRPr="00570F56">
        <w:t xml:space="preserve">here we have been, where we are </w:t>
      </w:r>
      <w:r w:rsidR="007E528A" w:rsidRPr="00570F56">
        <w:t xml:space="preserve">heading </w:t>
      </w:r>
      <w:r w:rsidR="00452E13" w:rsidRPr="00570F56">
        <w:t xml:space="preserve">and </w:t>
      </w:r>
      <w:r w:rsidR="002169D2">
        <w:t xml:space="preserve">the role of </w:t>
      </w:r>
      <w:r w:rsidR="00812DBC" w:rsidRPr="00570F56">
        <w:t xml:space="preserve">nurses as change agents </w:t>
      </w:r>
      <w:r w:rsidR="0006599C" w:rsidRPr="00570F56">
        <w:t xml:space="preserve">for </w:t>
      </w:r>
      <w:r w:rsidR="00CD364C" w:rsidRPr="00570F56">
        <w:t>better healthcare</w:t>
      </w:r>
      <w:r w:rsidR="00452E13" w:rsidRPr="00570F56">
        <w:t xml:space="preserve"> tomorrow</w:t>
      </w:r>
      <w:r w:rsidRPr="00570F56">
        <w:t xml:space="preserve">. </w:t>
      </w:r>
      <w:r w:rsidR="004F628F">
        <w:t xml:space="preserve">The purpose of this paper is </w:t>
      </w:r>
      <w:r w:rsidR="00D415DA">
        <w:t xml:space="preserve">to </w:t>
      </w:r>
      <w:r w:rsidR="00690890">
        <w:t xml:space="preserve">consider </w:t>
      </w:r>
      <w:r w:rsidR="00E57847">
        <w:t>the role of history as a reference point for evaluating  nursing policy today</w:t>
      </w:r>
      <w:r w:rsidR="00861403">
        <w:t xml:space="preserve"> and </w:t>
      </w:r>
      <w:r w:rsidR="001A6290">
        <w:t xml:space="preserve">future foci for </w:t>
      </w:r>
      <w:r w:rsidR="00861403">
        <w:t>change.</w:t>
      </w:r>
      <w:r w:rsidR="00430F19" w:rsidRPr="00430F19">
        <w:t xml:space="preserve">  It takes </w:t>
      </w:r>
      <w:r w:rsidR="00B7758F">
        <w:t xml:space="preserve">some radical ideas put forward for reform in the run up to </w:t>
      </w:r>
      <w:r w:rsidR="00430F19" w:rsidRPr="00430F19">
        <w:t xml:space="preserve">the NHS and </w:t>
      </w:r>
      <w:r w:rsidR="001A6290">
        <w:t xml:space="preserve">suggests </w:t>
      </w:r>
      <w:r w:rsidR="00B7758F">
        <w:t xml:space="preserve">these </w:t>
      </w:r>
      <w:r w:rsidR="00734C2F">
        <w:t xml:space="preserve">merit </w:t>
      </w:r>
      <w:r w:rsidR="00B7758F">
        <w:t>revisit</w:t>
      </w:r>
      <w:r w:rsidR="00722913">
        <w:t>i</w:t>
      </w:r>
      <w:r w:rsidR="00B7758F">
        <w:t xml:space="preserve">ng in </w:t>
      </w:r>
      <w:r w:rsidR="00734C2F">
        <w:t xml:space="preserve">reviewing </w:t>
      </w:r>
      <w:r w:rsidR="00430F19" w:rsidRPr="00430F19">
        <w:t xml:space="preserve">the </w:t>
      </w:r>
      <w:r w:rsidR="00734C2F">
        <w:t xml:space="preserve">policy </w:t>
      </w:r>
      <w:r w:rsidR="00430F19" w:rsidRPr="00430F19">
        <w:t xml:space="preserve">position of nursing today and the prospects for nurses delivering a better future for healthcare. </w:t>
      </w:r>
      <w:r w:rsidR="00861403">
        <w:t xml:space="preserve"> </w:t>
      </w:r>
      <w:r w:rsidR="00A5522E">
        <w:t>Second, i</w:t>
      </w:r>
      <w:r w:rsidR="000B0916">
        <w:t xml:space="preserve">t </w:t>
      </w:r>
      <w:r w:rsidR="001A6290">
        <w:t xml:space="preserve">considers whether </w:t>
      </w:r>
      <w:r w:rsidR="000B0916">
        <w:t xml:space="preserve">the policy trajectory set at the inception of the NHS has </w:t>
      </w:r>
      <w:r w:rsidR="00285C3C">
        <w:t>had an enduring influence on n</w:t>
      </w:r>
      <w:r w:rsidR="0093123D">
        <w:t>urses</w:t>
      </w:r>
      <w:r w:rsidR="00336E56">
        <w:t>’</w:t>
      </w:r>
      <w:r w:rsidR="00285C3C">
        <w:t xml:space="preserve"> capacity to influence </w:t>
      </w:r>
      <w:r w:rsidR="008F229B">
        <w:t xml:space="preserve">policy </w:t>
      </w:r>
      <w:r w:rsidR="00A224CD">
        <w:t>within the NHS</w:t>
      </w:r>
      <w:r w:rsidR="00B7758F">
        <w:t xml:space="preserve">. It presents evidence on </w:t>
      </w:r>
      <w:r w:rsidR="00A224CD">
        <w:t>th</w:t>
      </w:r>
      <w:r w:rsidR="00336E5F">
        <w:t xml:space="preserve">e </w:t>
      </w:r>
      <w:r w:rsidR="00A5522E">
        <w:t xml:space="preserve">current </w:t>
      </w:r>
      <w:r w:rsidR="00336E5F">
        <w:t xml:space="preserve">strength of </w:t>
      </w:r>
      <w:r w:rsidR="00285C3C">
        <w:t xml:space="preserve">education and the </w:t>
      </w:r>
      <w:r w:rsidR="00B7758F">
        <w:t xml:space="preserve">nursing </w:t>
      </w:r>
      <w:r w:rsidR="00285C3C">
        <w:t>workforce</w:t>
      </w:r>
      <w:r w:rsidR="008A404A">
        <w:t xml:space="preserve"> within England</w:t>
      </w:r>
      <w:r w:rsidR="007D624B">
        <w:t>.</w:t>
      </w:r>
      <w:r w:rsidR="005A6FAF">
        <w:t xml:space="preserve"> </w:t>
      </w:r>
      <w:r w:rsidR="00B7758F">
        <w:t>Finally, it proposes</w:t>
      </w:r>
      <w:r w:rsidR="0054083D">
        <w:t xml:space="preserve"> t</w:t>
      </w:r>
      <w:r w:rsidR="003033EA">
        <w:t xml:space="preserve">he </w:t>
      </w:r>
      <w:r w:rsidR="0054083D">
        <w:t xml:space="preserve">current </w:t>
      </w:r>
      <w:r w:rsidR="00336E5F">
        <w:t xml:space="preserve">policy </w:t>
      </w:r>
      <w:r w:rsidR="003033EA">
        <w:t xml:space="preserve">trajectory needs </w:t>
      </w:r>
      <w:r w:rsidR="00336E5F">
        <w:t xml:space="preserve">a </w:t>
      </w:r>
      <w:r w:rsidR="003033EA">
        <w:t xml:space="preserve">reset </w:t>
      </w:r>
      <w:r w:rsidR="007D624B">
        <w:t xml:space="preserve">since policy has failed to keep pace with many EU and OECD countries as well as </w:t>
      </w:r>
      <w:r w:rsidR="00722913">
        <w:t xml:space="preserve">medical workforce planning. </w:t>
      </w:r>
      <w:r w:rsidR="00AC28E9">
        <w:t>Building a b</w:t>
      </w:r>
      <w:r w:rsidR="00B82798">
        <w:t>etter educated workforce</w:t>
      </w:r>
      <w:r w:rsidR="00073CA9">
        <w:t xml:space="preserve"> with the cognitive capability and know</w:t>
      </w:r>
      <w:r w:rsidR="008C1A7E">
        <w:t>-</w:t>
      </w:r>
      <w:r w:rsidR="00073CA9">
        <w:t xml:space="preserve">how to make better evidence based </w:t>
      </w:r>
      <w:r w:rsidR="0054083D">
        <w:t>d</w:t>
      </w:r>
      <w:r w:rsidR="00073CA9">
        <w:t>ecisions</w:t>
      </w:r>
      <w:r w:rsidR="004D24CA">
        <w:t xml:space="preserve"> delivers better </w:t>
      </w:r>
      <w:r w:rsidR="00E8136F">
        <w:t>health outcomes for patients</w:t>
      </w:r>
      <w:r w:rsidR="00A224CD">
        <w:t xml:space="preserve">, families and </w:t>
      </w:r>
      <w:r w:rsidR="00E8136F">
        <w:t>populations</w:t>
      </w:r>
      <w:r w:rsidR="002B3A8A">
        <w:t xml:space="preserve"> (Aiken et al 2014). </w:t>
      </w:r>
      <w:r w:rsidR="00E8136F">
        <w:t xml:space="preserve"> </w:t>
      </w:r>
      <w:r w:rsidR="00A22225">
        <w:t xml:space="preserve">The current policy </w:t>
      </w:r>
      <w:r w:rsidR="00617325">
        <w:t xml:space="preserve">turn </w:t>
      </w:r>
      <w:r w:rsidR="00AC28E9">
        <w:t>i</w:t>
      </w:r>
      <w:r w:rsidR="004D24CA">
        <w:t xml:space="preserve">n England to train an associate nurse as a second level nurse runs counter to the evidence </w:t>
      </w:r>
      <w:r w:rsidR="0054083D">
        <w:t xml:space="preserve">and </w:t>
      </w:r>
      <w:r w:rsidR="004D24CA">
        <w:t xml:space="preserve">(Griffiths et al, 2016) and is </w:t>
      </w:r>
      <w:r w:rsidR="00617325">
        <w:t xml:space="preserve">therefore </w:t>
      </w:r>
      <w:r w:rsidR="004D24CA">
        <w:t xml:space="preserve">unlikely </w:t>
      </w:r>
      <w:r w:rsidR="00BD4A70">
        <w:t>to de</w:t>
      </w:r>
      <w:r w:rsidR="00053781">
        <w:t xml:space="preserve">liver </w:t>
      </w:r>
      <w:r w:rsidR="0054083D">
        <w:t>a better future for health care</w:t>
      </w:r>
      <w:r w:rsidR="00053781">
        <w:t>.</w:t>
      </w:r>
      <w:r w:rsidR="00410628">
        <w:t xml:space="preserve"> </w:t>
      </w:r>
      <w:r w:rsidR="0054083D">
        <w:t>Nurses need to be engaged in the design as well as the delivery of policy at every level in order in order to optimize their contribution to a better future for healthcare.</w:t>
      </w:r>
    </w:p>
    <w:p w:rsidR="000B39DE" w:rsidRPr="003C5BF1" w:rsidRDefault="00945203" w:rsidP="0034141B">
      <w:pPr>
        <w:spacing w:line="480" w:lineRule="auto"/>
        <w:jc w:val="both"/>
        <w:rPr>
          <w:b/>
        </w:rPr>
      </w:pPr>
      <w:r>
        <w:rPr>
          <w:b/>
        </w:rPr>
        <w:t xml:space="preserve">Nursing and </w:t>
      </w:r>
      <w:r w:rsidR="005F3AB5" w:rsidRPr="003C5BF1">
        <w:rPr>
          <w:b/>
        </w:rPr>
        <w:t>the early NHS</w:t>
      </w:r>
    </w:p>
    <w:p w:rsidR="0034141B" w:rsidRDefault="00AB16B2" w:rsidP="0034141B">
      <w:pPr>
        <w:spacing w:line="480" w:lineRule="auto"/>
        <w:jc w:val="both"/>
      </w:pPr>
      <w:r>
        <w:lastRenderedPageBreak/>
        <w:t>Nursing is</w:t>
      </w:r>
      <w:r w:rsidR="0093123D">
        <w:t xml:space="preserve"> the </w:t>
      </w:r>
      <w:r w:rsidR="00BC1CEF" w:rsidRPr="00570F56">
        <w:t>largest workforce</w:t>
      </w:r>
      <w:r w:rsidR="002B7C8D">
        <w:t xml:space="preserve"> in </w:t>
      </w:r>
      <w:r w:rsidR="00BA20F5">
        <w:t>healthcare</w:t>
      </w:r>
      <w:r w:rsidR="0093123D">
        <w:t xml:space="preserve"> yet t</w:t>
      </w:r>
      <w:r w:rsidR="001426A3" w:rsidRPr="00570F56">
        <w:t xml:space="preserve">he nursing </w:t>
      </w:r>
      <w:r w:rsidR="00BC1CEF" w:rsidRPr="00570F56">
        <w:t>voice in policy</w:t>
      </w:r>
      <w:r w:rsidR="003145B0" w:rsidRPr="00570F56">
        <w:t>-</w:t>
      </w:r>
      <w:r w:rsidR="00BC1CEF" w:rsidRPr="00570F56">
        <w:t xml:space="preserve">making </w:t>
      </w:r>
      <w:r w:rsidR="00A22225">
        <w:t xml:space="preserve">has </w:t>
      </w:r>
      <w:r w:rsidR="00960848">
        <w:t xml:space="preserve">historically been </w:t>
      </w:r>
      <w:r w:rsidR="00BC1CEF" w:rsidRPr="00570F56">
        <w:t>weak</w:t>
      </w:r>
      <w:r w:rsidR="00CD364C" w:rsidRPr="00570F56">
        <w:t xml:space="preserve">. </w:t>
      </w:r>
      <w:r w:rsidR="003145B0" w:rsidRPr="00570F56">
        <w:t>I</w:t>
      </w:r>
      <w:r w:rsidR="00CD364C" w:rsidRPr="00570F56">
        <w:t>n the run</w:t>
      </w:r>
      <w:r w:rsidR="002B7C8D">
        <w:t>-</w:t>
      </w:r>
      <w:r w:rsidR="00CD364C" w:rsidRPr="00570F56">
        <w:t>up to the NH</w:t>
      </w:r>
      <w:r w:rsidR="00F53811" w:rsidRPr="00570F56">
        <w:t>S</w:t>
      </w:r>
      <w:r w:rsidR="00CD364C" w:rsidRPr="00570F56">
        <w:t xml:space="preserve"> negotiations</w:t>
      </w:r>
      <w:r w:rsidR="003145B0" w:rsidRPr="00570F56">
        <w:t>, the drama focused</w:t>
      </w:r>
      <w:r w:rsidR="00CD364C" w:rsidRPr="00570F56">
        <w:t xml:space="preserve"> </w:t>
      </w:r>
      <w:r w:rsidR="00BC1CEF" w:rsidRPr="00570F56">
        <w:t>on getting the doctors on board (</w:t>
      </w:r>
      <w:r w:rsidR="00C96E14">
        <w:t xml:space="preserve">Webster, </w:t>
      </w:r>
      <w:r w:rsidR="0036015F">
        <w:t xml:space="preserve">1998: </w:t>
      </w:r>
      <w:r w:rsidR="00BC1CEF" w:rsidRPr="00570F56">
        <w:rPr>
          <w:highlight w:val="green"/>
        </w:rPr>
        <w:t>Klein</w:t>
      </w:r>
      <w:r w:rsidR="009E0040" w:rsidRPr="00570F56">
        <w:rPr>
          <w:highlight w:val="green"/>
        </w:rPr>
        <w:t>,</w:t>
      </w:r>
      <w:r w:rsidR="00934A17" w:rsidRPr="00570F56">
        <w:rPr>
          <w:highlight w:val="green"/>
        </w:rPr>
        <w:t xml:space="preserve"> </w:t>
      </w:r>
      <w:r w:rsidR="009E0040" w:rsidRPr="00570F56">
        <w:rPr>
          <w:highlight w:val="green"/>
        </w:rPr>
        <w:t>2013</w:t>
      </w:r>
      <w:r w:rsidR="00BC1CEF" w:rsidRPr="00570F56">
        <w:t>)</w:t>
      </w:r>
      <w:r w:rsidR="003145B0" w:rsidRPr="00570F56">
        <w:t xml:space="preserve"> </w:t>
      </w:r>
      <w:r w:rsidR="008E3521" w:rsidRPr="00570F56">
        <w:t xml:space="preserve">famously </w:t>
      </w:r>
      <w:r w:rsidR="00F00B27" w:rsidRPr="00570F56">
        <w:t xml:space="preserve">by </w:t>
      </w:r>
      <w:r w:rsidR="00BC1CEF" w:rsidRPr="00570F56">
        <w:t xml:space="preserve">‘stuffing their mouths with gold’. </w:t>
      </w:r>
      <w:r w:rsidR="003145B0" w:rsidRPr="00570F56">
        <w:t>In contrast, nursing</w:t>
      </w:r>
      <w:r w:rsidR="00BC1CEF" w:rsidRPr="00570F56">
        <w:t xml:space="preserve"> was given scant attention in the negotiations which followed</w:t>
      </w:r>
      <w:r w:rsidR="003145B0" w:rsidRPr="00570F56">
        <w:t xml:space="preserve">, the assumption being </w:t>
      </w:r>
      <w:r w:rsidR="00362BFE">
        <w:t xml:space="preserve">that </w:t>
      </w:r>
      <w:r w:rsidR="003145B0" w:rsidRPr="00570F56">
        <w:t>nursing would adapt to whatever planning arrangements were made for it, not that it would contribute to the architecture of those arrangements</w:t>
      </w:r>
      <w:r w:rsidR="00BC1CEF" w:rsidRPr="00570F56">
        <w:t xml:space="preserve"> (</w:t>
      </w:r>
      <w:r w:rsidR="00C027A2" w:rsidRPr="00570F56">
        <w:rPr>
          <w:highlight w:val="green"/>
        </w:rPr>
        <w:t>Dingwall</w:t>
      </w:r>
      <w:r w:rsidR="00F13177" w:rsidRPr="00570F56">
        <w:rPr>
          <w:highlight w:val="green"/>
        </w:rPr>
        <w:t xml:space="preserve"> et al, </w:t>
      </w:r>
      <w:r w:rsidR="003417C9">
        <w:rPr>
          <w:highlight w:val="green"/>
        </w:rPr>
        <w:t>1988</w:t>
      </w:r>
      <w:r w:rsidR="00F13177" w:rsidRPr="00570F56">
        <w:rPr>
          <w:highlight w:val="green"/>
        </w:rPr>
        <w:t xml:space="preserve">).  </w:t>
      </w:r>
      <w:r w:rsidR="00CF0D66" w:rsidRPr="00570F56">
        <w:t>N</w:t>
      </w:r>
      <w:r w:rsidR="003F7696" w:rsidRPr="00570F56">
        <w:t xml:space="preserve">ursing entered the NHS in a state of crisis. </w:t>
      </w:r>
      <w:r w:rsidR="008974BE" w:rsidRPr="00570F56">
        <w:t xml:space="preserve">The shortage of nurses after the </w:t>
      </w:r>
      <w:r w:rsidR="002B7C8D">
        <w:t>Second World W</w:t>
      </w:r>
      <w:r w:rsidR="008974BE" w:rsidRPr="00570F56">
        <w:t>ar was described by Aneurin Bev</w:t>
      </w:r>
      <w:r w:rsidR="00305B18" w:rsidRPr="00570F56">
        <w:t>a</w:t>
      </w:r>
      <w:r w:rsidR="008974BE" w:rsidRPr="00570F56">
        <w:t>n, Minister of Health, as approaching a ‘national disaster’</w:t>
      </w:r>
      <w:r w:rsidR="00EC6E19" w:rsidRPr="00A12195">
        <w:rPr>
          <w:highlight w:val="green"/>
        </w:rPr>
        <w:t>(</w:t>
      </w:r>
      <w:r w:rsidR="003417C9" w:rsidRPr="00A12195">
        <w:rPr>
          <w:highlight w:val="green"/>
        </w:rPr>
        <w:t>Rafferty</w:t>
      </w:r>
      <w:r w:rsidR="00A12195" w:rsidRPr="00A12195">
        <w:rPr>
          <w:highlight w:val="green"/>
        </w:rPr>
        <w:t>,</w:t>
      </w:r>
      <w:r w:rsidR="003417C9" w:rsidRPr="00A12195">
        <w:rPr>
          <w:highlight w:val="green"/>
        </w:rPr>
        <w:t xml:space="preserve"> 1996</w:t>
      </w:r>
      <w:r w:rsidR="00483D8B" w:rsidRPr="00A12195">
        <w:rPr>
          <w:highlight w:val="green"/>
        </w:rPr>
        <w:t>).</w:t>
      </w:r>
      <w:r w:rsidR="00483D8B" w:rsidRPr="00570F56">
        <w:t xml:space="preserve">  Despite this, the</w:t>
      </w:r>
      <w:r w:rsidR="008974BE" w:rsidRPr="00570F56">
        <w:t xml:space="preserve"> rhetoric of crisis failed to translate into </w:t>
      </w:r>
      <w:r w:rsidR="00483D8B" w:rsidRPr="00570F56">
        <w:t xml:space="preserve">the </w:t>
      </w:r>
      <w:r w:rsidR="008974BE" w:rsidRPr="00570F56">
        <w:t>participation</w:t>
      </w:r>
      <w:r w:rsidR="00483D8B" w:rsidRPr="00570F56">
        <w:t xml:space="preserve"> of nursing</w:t>
      </w:r>
      <w:r w:rsidR="008974BE" w:rsidRPr="00570F56">
        <w:t xml:space="preserve"> in NHS advisory and policy</w:t>
      </w:r>
      <w:r w:rsidR="002B7C8D">
        <w:t>-</w:t>
      </w:r>
      <w:r w:rsidR="008974BE" w:rsidRPr="00570F56">
        <w:t xml:space="preserve">making machinery.  </w:t>
      </w:r>
      <w:r w:rsidR="00305B18" w:rsidRPr="00570F56">
        <w:t xml:space="preserve">In a speech to the </w:t>
      </w:r>
      <w:r w:rsidR="00483D8B" w:rsidRPr="00570F56">
        <w:t>Royal College of Nursing (</w:t>
      </w:r>
      <w:r w:rsidR="00305B18" w:rsidRPr="00570F56">
        <w:t>RCN</w:t>
      </w:r>
      <w:r w:rsidR="00483D8B" w:rsidRPr="00570F56">
        <w:t>)</w:t>
      </w:r>
      <w:r w:rsidR="00305B18" w:rsidRPr="00570F56">
        <w:t xml:space="preserve"> Bevan </w:t>
      </w:r>
      <w:r w:rsidR="008D6C96" w:rsidRPr="00570F56">
        <w:t xml:space="preserve">was </w:t>
      </w:r>
      <w:r w:rsidR="00473D63" w:rsidRPr="00570F56">
        <w:t>e</w:t>
      </w:r>
      <w:r w:rsidR="008D6C96" w:rsidRPr="00570F56">
        <w:t>vasive</w:t>
      </w:r>
      <w:r w:rsidR="00473D63" w:rsidRPr="00570F56">
        <w:t xml:space="preserve"> </w:t>
      </w:r>
      <w:r w:rsidR="008D6C96" w:rsidRPr="00570F56">
        <w:t xml:space="preserve">on the question of consultation on policy matters, </w:t>
      </w:r>
      <w:r w:rsidR="002B7C8D">
        <w:t xml:space="preserve">and </w:t>
      </w:r>
      <w:r w:rsidR="008D6C96" w:rsidRPr="00570F56">
        <w:t>was subjected to little external pressure from the RCN for greater nurse representation</w:t>
      </w:r>
      <w:r w:rsidR="00473D63" w:rsidRPr="00570F56">
        <w:t>, in marked contrast to the</w:t>
      </w:r>
      <w:r w:rsidR="00B0138B" w:rsidRPr="00570F56">
        <w:t xml:space="preserve"> assertiveness of the </w:t>
      </w:r>
      <w:r w:rsidR="002B7C8D">
        <w:t>British Medical Association (</w:t>
      </w:r>
      <w:r w:rsidR="00B0138B" w:rsidRPr="00570F56">
        <w:t>BMA</w:t>
      </w:r>
      <w:r w:rsidR="002B7C8D">
        <w:t>)</w:t>
      </w:r>
      <w:r w:rsidR="00B0138B" w:rsidRPr="00570F56">
        <w:t xml:space="preserve"> leadership</w:t>
      </w:r>
      <w:r w:rsidR="00B0138B" w:rsidRPr="00570F56">
        <w:rPr>
          <w:highlight w:val="green"/>
        </w:rPr>
        <w:t>.</w:t>
      </w:r>
      <w:r w:rsidR="00852BDA" w:rsidRPr="00570F56">
        <w:rPr>
          <w:highlight w:val="green"/>
        </w:rPr>
        <w:t>(Rafferty</w:t>
      </w:r>
      <w:r w:rsidR="004E30A8" w:rsidRPr="00570F56">
        <w:rPr>
          <w:highlight w:val="green"/>
        </w:rPr>
        <w:t xml:space="preserve">, </w:t>
      </w:r>
      <w:r w:rsidR="00C04A92" w:rsidRPr="00570F56">
        <w:rPr>
          <w:highlight w:val="green"/>
        </w:rPr>
        <w:t>1996</w:t>
      </w:r>
      <w:r w:rsidR="00852BDA" w:rsidRPr="00570F56">
        <w:rPr>
          <w:highlight w:val="green"/>
        </w:rPr>
        <w:t>)</w:t>
      </w:r>
      <w:r w:rsidR="00B0138B" w:rsidRPr="00570F56">
        <w:t xml:space="preserve"> </w:t>
      </w:r>
    </w:p>
    <w:p w:rsidR="0034141B" w:rsidRDefault="0034141B" w:rsidP="0034141B">
      <w:pPr>
        <w:spacing w:line="480" w:lineRule="auto"/>
        <w:jc w:val="both"/>
        <w:rPr>
          <w:b/>
        </w:rPr>
      </w:pPr>
    </w:p>
    <w:p w:rsidR="00D11112" w:rsidRDefault="003F7696" w:rsidP="00246F64">
      <w:pPr>
        <w:spacing w:line="480" w:lineRule="auto"/>
        <w:jc w:val="both"/>
      </w:pPr>
      <w:r w:rsidRPr="00570F56">
        <w:t xml:space="preserve">The wartime emergency had revealed the scale of </w:t>
      </w:r>
      <w:r w:rsidR="00CF0D66" w:rsidRPr="00570F56">
        <w:t xml:space="preserve">the </w:t>
      </w:r>
      <w:r w:rsidR="00CD1E70" w:rsidRPr="00570F56">
        <w:t xml:space="preserve">workforce </w:t>
      </w:r>
      <w:r w:rsidRPr="00570F56">
        <w:t xml:space="preserve">shortage and </w:t>
      </w:r>
      <w:r w:rsidR="00CF0D66" w:rsidRPr="00570F56">
        <w:t>created a</w:t>
      </w:r>
      <w:r w:rsidR="00473D63" w:rsidRPr="00570F56">
        <w:t xml:space="preserve">n ‘enrolled nurse’ as a </w:t>
      </w:r>
      <w:r w:rsidR="00CF0D66" w:rsidRPr="00570F56">
        <w:t>second level nurse</w:t>
      </w:r>
      <w:r w:rsidR="00473D63" w:rsidRPr="00570F56">
        <w:t xml:space="preserve"> </w:t>
      </w:r>
      <w:r w:rsidR="00CF0D66" w:rsidRPr="00570F56">
        <w:t xml:space="preserve">in 1943, to </w:t>
      </w:r>
      <w:r w:rsidR="007E528A" w:rsidRPr="00570F56">
        <w:t xml:space="preserve">supplement and </w:t>
      </w:r>
      <w:r w:rsidR="00CF0D66" w:rsidRPr="00570F56">
        <w:t xml:space="preserve">support the </w:t>
      </w:r>
      <w:r w:rsidR="00A032D1" w:rsidRPr="00570F56">
        <w:t>registered nurse (</w:t>
      </w:r>
      <w:r w:rsidR="00CF0D66" w:rsidRPr="00570F56">
        <w:t>RN</w:t>
      </w:r>
      <w:r w:rsidR="00A032D1" w:rsidRPr="00570F56">
        <w:t>).</w:t>
      </w:r>
      <w:r w:rsidR="007E528A" w:rsidRPr="00570F56">
        <w:t xml:space="preserve"> </w:t>
      </w:r>
      <w:r w:rsidR="00500493" w:rsidRPr="00570F56">
        <w:t>The establishment of the NHS with the anticipated expansion in facilities and demand for labour</w:t>
      </w:r>
      <w:r w:rsidR="00BE5C11">
        <w:t xml:space="preserve"> highlighted </w:t>
      </w:r>
      <w:r w:rsidR="000242E1" w:rsidRPr="00570F56">
        <w:t xml:space="preserve">the need for </w:t>
      </w:r>
      <w:r w:rsidR="00500493" w:rsidRPr="00570F56">
        <w:t>a comprehensive review of the nursing positio</w:t>
      </w:r>
      <w:r w:rsidR="00473D63" w:rsidRPr="00570F56">
        <w:t>n, and a</w:t>
      </w:r>
      <w:r w:rsidR="00500493" w:rsidRPr="00570F56">
        <w:t xml:space="preserve"> Working Party on Nurse Recruitment and Training</w:t>
      </w:r>
      <w:r w:rsidR="002B7C8D">
        <w:t>,</w:t>
      </w:r>
      <w:r w:rsidR="00500493" w:rsidRPr="00570F56">
        <w:t xml:space="preserve"> under the chairmanship of Sir Robert Wood</w:t>
      </w:r>
      <w:r w:rsidR="002B7C8D">
        <w:t>,</w:t>
      </w:r>
      <w:r w:rsidR="00500493" w:rsidRPr="00570F56">
        <w:t xml:space="preserve"> was appointed in January 1946</w:t>
      </w:r>
      <w:r w:rsidR="00E6747C" w:rsidRPr="00570F56">
        <w:t xml:space="preserve"> </w:t>
      </w:r>
      <w:r w:rsidR="003E4ADA" w:rsidRPr="00666248">
        <w:rPr>
          <w:highlight w:val="green"/>
        </w:rPr>
        <w:t>(Ministry of Health</w:t>
      </w:r>
      <w:r w:rsidR="00E6747C" w:rsidRPr="00666248">
        <w:rPr>
          <w:highlight w:val="green"/>
        </w:rPr>
        <w:t>, 1948)</w:t>
      </w:r>
      <w:r w:rsidR="00500493" w:rsidRPr="00666248">
        <w:rPr>
          <w:highlight w:val="green"/>
        </w:rPr>
        <w:t>.</w:t>
      </w:r>
      <w:r w:rsidR="00500493" w:rsidRPr="00570F56">
        <w:t xml:space="preserve"> </w:t>
      </w:r>
      <w:r w:rsidR="008F1B17" w:rsidRPr="00570F56">
        <w:t xml:space="preserve">The task of the Working Party was to assess the nursing force required for the future health service and make recommendations as to how such a force could best be recruited, trained and deployed. </w:t>
      </w:r>
      <w:r w:rsidR="002E40CB" w:rsidRPr="00570F56">
        <w:t>B</w:t>
      </w:r>
      <w:r w:rsidR="00E47579" w:rsidRPr="00570F56">
        <w:t xml:space="preserve">ut </w:t>
      </w:r>
      <w:r w:rsidR="002B4A1C" w:rsidRPr="00570F56">
        <w:t xml:space="preserve">the </w:t>
      </w:r>
      <w:r w:rsidR="00EC6E19" w:rsidRPr="00570F56">
        <w:t xml:space="preserve">deliberations of the </w:t>
      </w:r>
      <w:r w:rsidR="00630C16">
        <w:t xml:space="preserve">Working Party </w:t>
      </w:r>
      <w:r w:rsidR="00835BDC" w:rsidRPr="00570F56">
        <w:t xml:space="preserve">proved divisive, splitting opinion between radical and moderate camps, </w:t>
      </w:r>
      <w:r w:rsidR="00F94115" w:rsidRPr="00570F56">
        <w:t xml:space="preserve">both </w:t>
      </w:r>
      <w:r w:rsidR="00C57FCC" w:rsidRPr="00570F56">
        <w:t xml:space="preserve">on the diagnosis of </w:t>
      </w:r>
      <w:r w:rsidR="00771825" w:rsidRPr="00570F56">
        <w:t xml:space="preserve">the </w:t>
      </w:r>
      <w:r w:rsidR="00F94115" w:rsidRPr="00570F56">
        <w:t xml:space="preserve">ills </w:t>
      </w:r>
      <w:r w:rsidR="006B7780" w:rsidRPr="00570F56">
        <w:t xml:space="preserve">of the </w:t>
      </w:r>
      <w:r w:rsidR="00771825" w:rsidRPr="00570F56">
        <w:t xml:space="preserve">situation </w:t>
      </w:r>
      <w:r w:rsidR="006B7780" w:rsidRPr="00570F56">
        <w:t xml:space="preserve">and </w:t>
      </w:r>
      <w:r w:rsidR="00E47579" w:rsidRPr="00570F56">
        <w:t xml:space="preserve">the </w:t>
      </w:r>
      <w:r w:rsidR="00C57FCC" w:rsidRPr="00570F56">
        <w:t xml:space="preserve">remedies required to </w:t>
      </w:r>
      <w:r w:rsidR="00C57FCC" w:rsidRPr="00570F56">
        <w:lastRenderedPageBreak/>
        <w:t xml:space="preserve">solve </w:t>
      </w:r>
      <w:r w:rsidR="00183679">
        <w:t xml:space="preserve">it. </w:t>
      </w:r>
      <w:r w:rsidR="00B97591" w:rsidRPr="00570F56">
        <w:t xml:space="preserve"> </w:t>
      </w:r>
      <w:r w:rsidR="00183679" w:rsidRPr="00183679">
        <w:t xml:space="preserve">John Cohen, Secretary to the </w:t>
      </w:r>
      <w:r w:rsidR="00D11112">
        <w:t>Working Party</w:t>
      </w:r>
      <w:r w:rsidR="00183679" w:rsidRPr="00183679">
        <w:t xml:space="preserve">, broke from the main committee and produced </w:t>
      </w:r>
      <w:r w:rsidR="005D5906">
        <w:t xml:space="preserve">his </w:t>
      </w:r>
      <w:r w:rsidR="00351356">
        <w:t>m</w:t>
      </w:r>
      <w:r w:rsidR="005D5906">
        <w:t xml:space="preserve">inority </w:t>
      </w:r>
      <w:r w:rsidR="00351356">
        <w:t>r</w:t>
      </w:r>
      <w:r w:rsidR="005D5906">
        <w:t xml:space="preserve">eport </w:t>
      </w:r>
      <w:r w:rsidR="00183679" w:rsidRPr="00183679">
        <w:t>which reflected his training as a psychologist deploying the language and methods of industrial psychology</w:t>
      </w:r>
      <w:r w:rsidR="00183679" w:rsidRPr="00183679">
        <w:rPr>
          <w:highlight w:val="yellow"/>
        </w:rPr>
        <w:t xml:space="preserve"> </w:t>
      </w:r>
      <w:r w:rsidR="00183679" w:rsidRPr="00183679">
        <w:rPr>
          <w:highlight w:val="green"/>
        </w:rPr>
        <w:t>(Rafferty, 1996).</w:t>
      </w:r>
      <w:r w:rsidR="00183679" w:rsidRPr="00183679">
        <w:t xml:space="preserve"> He argued that tackling the human relations aspects of hospitals and care processes was crucial to improving morale, boosting productivity and outcomes for nurses as well as patients.  Cohen was one of the first to measure nursing care by using length of stay as an outcome measure of clinical effectiveness </w:t>
      </w:r>
      <w:r w:rsidR="00183679" w:rsidRPr="00183679">
        <w:rPr>
          <w:highlight w:val="green"/>
        </w:rPr>
        <w:t>(Rafferty, 1996)</w:t>
      </w:r>
      <w:r w:rsidR="00183679" w:rsidRPr="00183679">
        <w:t xml:space="preserve"> and to advocate the empirical study of the linkage between patient outcomes with skill mix. Many other of Cohen’s recommendations also appeared ahead of their time, asserting that training effectiveness and retention could be improved by enriching training and reshaping the division of labour.  This bore the imprimatur of scientific management and the ‘efficiency movement’, which had infiltrated American and Canadian nursing before it had British nursing </w:t>
      </w:r>
      <w:r w:rsidR="00183679" w:rsidRPr="00183679">
        <w:rPr>
          <w:highlight w:val="green"/>
        </w:rPr>
        <w:t xml:space="preserve">(Reverby, 1981; McPherson, 1996). </w:t>
      </w:r>
      <w:r w:rsidR="00183679" w:rsidRPr="00183679">
        <w:t xml:space="preserve"> Cohen’s </w:t>
      </w:r>
      <w:r w:rsidR="00183679" w:rsidRPr="00183679">
        <w:rPr>
          <w:i/>
        </w:rPr>
        <w:t>cri de coeur</w:t>
      </w:r>
      <w:r w:rsidR="00183679" w:rsidRPr="00183679">
        <w:t xml:space="preserve"> that nursing services needed radical treatment instead of ‘first aid’</w:t>
      </w:r>
      <w:r w:rsidR="00B20290">
        <w:t xml:space="preserve">and </w:t>
      </w:r>
      <w:r w:rsidR="00183679" w:rsidRPr="00183679">
        <w:t xml:space="preserve">a scientific analysis of nursing work </w:t>
      </w:r>
      <w:r w:rsidR="00B20290">
        <w:t xml:space="preserve">to </w:t>
      </w:r>
      <w:r w:rsidR="00B459EB">
        <w:t xml:space="preserve">align </w:t>
      </w:r>
      <w:r w:rsidR="00183679" w:rsidRPr="00183679">
        <w:t>the proper role of the nurse with the needs of a comprehensively planned health service</w:t>
      </w:r>
      <w:r w:rsidR="00B20290">
        <w:t>.</w:t>
      </w:r>
      <w:r w:rsidR="00183679" w:rsidRPr="00183679">
        <w:t xml:space="preserve"> </w:t>
      </w:r>
      <w:r w:rsidR="00183679" w:rsidRPr="00183679">
        <w:rPr>
          <w:highlight w:val="green"/>
        </w:rPr>
        <w:t>(Rafferty, 1996).</w:t>
      </w:r>
      <w:r w:rsidR="00183679" w:rsidRPr="00183679">
        <w:t xml:space="preserve">  He argued that improving human relations in hospital</w:t>
      </w:r>
      <w:r w:rsidR="00BF070D">
        <w:t xml:space="preserve"> </w:t>
      </w:r>
      <w:r w:rsidR="00183679" w:rsidRPr="00183679">
        <w:t xml:space="preserve">would have </w:t>
      </w:r>
      <w:r w:rsidR="00BF070D">
        <w:t xml:space="preserve">a </w:t>
      </w:r>
      <w:r w:rsidR="00183679" w:rsidRPr="00183679">
        <w:t>similar effect by enhancing productivity as it had in factories, and by enriching training there would be a concomitant improvement in training effectiveness and retention of staff.  Lack of attention to long term planning, he contended,  threatened to leave nursing and other services built upon inadequate foundations. Poor quality data were perceived as the major impediment to long term reconstruction of nursing services, and statistical resources were condemned as ‘lamentably defective’ (Rafferty 1996: 171)</w:t>
      </w:r>
      <w:r w:rsidR="00351356">
        <w:t>.</w:t>
      </w:r>
      <w:r w:rsidR="00183679" w:rsidRPr="00183679">
        <w:t xml:space="preserve"> </w:t>
      </w:r>
      <w:r w:rsidR="00367C8F">
        <w:t>B</w:t>
      </w:r>
      <w:r w:rsidR="00367C8F" w:rsidRPr="00570F56">
        <w:t xml:space="preserve">oth </w:t>
      </w:r>
      <w:r w:rsidR="00584DCA">
        <w:t xml:space="preserve">Majority and Minority </w:t>
      </w:r>
      <w:r w:rsidR="00367C8F">
        <w:t xml:space="preserve">reports </w:t>
      </w:r>
      <w:r w:rsidR="00367C8F" w:rsidRPr="00570F56">
        <w:t>drew on social scientific methods of analysis, specifically job analysis and recommended methods of streamlining the nursing division of labour by reducing the training period from three to two years</w:t>
      </w:r>
      <w:r w:rsidR="00367C8F">
        <w:t>. T</w:t>
      </w:r>
      <w:r w:rsidR="00367C8F" w:rsidRPr="00570F56">
        <w:t xml:space="preserve">he </w:t>
      </w:r>
      <w:r w:rsidR="00351356">
        <w:t>m</w:t>
      </w:r>
      <w:r w:rsidR="00367C8F" w:rsidRPr="00570F56">
        <w:t xml:space="preserve">inority </w:t>
      </w:r>
      <w:r w:rsidR="00351356">
        <w:t>r</w:t>
      </w:r>
      <w:r w:rsidR="00367C8F" w:rsidRPr="00570F56">
        <w:t>eport in particular was highly critical of the inadequate supply of data on which to base central planning.</w:t>
      </w:r>
      <w:r w:rsidR="003148F2">
        <w:t xml:space="preserve"> </w:t>
      </w:r>
    </w:p>
    <w:p w:rsidR="00D11112" w:rsidRDefault="00D11112" w:rsidP="00246F64">
      <w:pPr>
        <w:spacing w:line="480" w:lineRule="auto"/>
        <w:jc w:val="both"/>
      </w:pPr>
    </w:p>
    <w:p w:rsidR="00246F64" w:rsidRDefault="0034141B" w:rsidP="00246F64">
      <w:pPr>
        <w:spacing w:line="480" w:lineRule="auto"/>
        <w:jc w:val="both"/>
      </w:pPr>
      <w:r w:rsidRPr="00570F56">
        <w:t>Nursing expose</w:t>
      </w:r>
      <w:r w:rsidR="005D5906">
        <w:t>d</w:t>
      </w:r>
      <w:r w:rsidRPr="00570F56">
        <w:t xml:space="preserve"> the weaknesses and fragility of the NHS planning apparatus. Statistical sources </w:t>
      </w:r>
      <w:r w:rsidR="003C6CFF">
        <w:t xml:space="preserve">within the Ministry of Health </w:t>
      </w:r>
      <w:r w:rsidRPr="00570F56">
        <w:t>were described by Cohen as pre-scientific</w:t>
      </w:r>
      <w:r w:rsidR="003C6CFF">
        <w:t xml:space="preserve"> and n</w:t>
      </w:r>
      <w:r w:rsidRPr="00570F56">
        <w:t xml:space="preserve">ursing was used by Cohen to </w:t>
      </w:r>
      <w:r w:rsidR="003C6CFF">
        <w:t xml:space="preserve">illustrate </w:t>
      </w:r>
      <w:r w:rsidRPr="00570F56">
        <w:t xml:space="preserve">the flawed edifice of government policy making. Shortages threatened the viability of the new service. Yet the crisis did not translate into a policy shift nor in nursing organisations pressing for change </w:t>
      </w:r>
      <w:r w:rsidRPr="00570F56">
        <w:rPr>
          <w:highlight w:val="green"/>
        </w:rPr>
        <w:t>(Rafferty, 1992).</w:t>
      </w:r>
      <w:r w:rsidRPr="00570F56">
        <w:t xml:space="preserve"> It was not exploited by nurse leaders into political capital to attract the resources </w:t>
      </w:r>
      <w:r w:rsidR="003148F2">
        <w:t xml:space="preserve">necessary </w:t>
      </w:r>
      <w:r w:rsidRPr="00570F56">
        <w:t xml:space="preserve">to </w:t>
      </w:r>
      <w:r w:rsidR="009462C1">
        <w:t xml:space="preserve">provide </w:t>
      </w:r>
      <w:r w:rsidRPr="00570F56">
        <w:t>a high quality service and long term career</w:t>
      </w:r>
      <w:r w:rsidR="005905F2">
        <w:t>.</w:t>
      </w:r>
      <w:r w:rsidRPr="00570F56">
        <w:t xml:space="preserve"> Rather</w:t>
      </w:r>
      <w:r w:rsidR="003148F2">
        <w:t>,</w:t>
      </w:r>
      <w:r w:rsidRPr="00570F56">
        <w:t xml:space="preserve"> the history of the early NHS reveals that the traditional relationship between service </w:t>
      </w:r>
      <w:r w:rsidRPr="00570F56">
        <w:rPr>
          <w:color w:val="000000" w:themeColor="text1"/>
        </w:rPr>
        <w:t>and</w:t>
      </w:r>
      <w:r w:rsidRPr="00570F56">
        <w:t xml:space="preserve"> education remained intact in which long term goals were sacrificed to short term expediency (Rafferty, 1996: 181). </w:t>
      </w:r>
    </w:p>
    <w:p w:rsidR="00D11112" w:rsidRDefault="00D11112" w:rsidP="00246F64">
      <w:pPr>
        <w:spacing w:line="480" w:lineRule="auto"/>
        <w:jc w:val="both"/>
      </w:pPr>
    </w:p>
    <w:p w:rsidR="00246F64" w:rsidRPr="00246F64" w:rsidRDefault="00246F64" w:rsidP="00246F64">
      <w:pPr>
        <w:spacing w:line="480" w:lineRule="auto"/>
        <w:jc w:val="both"/>
      </w:pPr>
      <w:r w:rsidRPr="00246F64">
        <w:t xml:space="preserve">Significantly, it was a Canadian nurse, midwife and health visitor, Gladys Beatrice Carter, </w:t>
      </w:r>
      <w:r>
        <w:t>a</w:t>
      </w:r>
      <w:r w:rsidRPr="00246F64">
        <w:t xml:space="preserve"> graduate in economics</w:t>
      </w:r>
      <w:r w:rsidR="00B40A10">
        <w:t xml:space="preserve"> who</w:t>
      </w:r>
      <w:r w:rsidR="00420B32">
        <w:t xml:space="preserve"> produced </w:t>
      </w:r>
      <w:r w:rsidR="00B40A10">
        <w:t xml:space="preserve">a radical </w:t>
      </w:r>
      <w:r w:rsidR="00D7719C">
        <w:t xml:space="preserve">critique of and </w:t>
      </w:r>
      <w:r w:rsidR="00B40A10">
        <w:t xml:space="preserve">alternative to the status quo. </w:t>
      </w:r>
      <w:r w:rsidRPr="00246F64">
        <w:t xml:space="preserve">Carter was one of a tiny minority of graduates in nursing at the time, an intellectual firebrand whose prose bears the hallmarks of </w:t>
      </w:r>
      <w:r w:rsidR="00292E32">
        <w:t xml:space="preserve">a </w:t>
      </w:r>
      <w:r w:rsidRPr="00246F64">
        <w:t>political pamphleteer incit</w:t>
      </w:r>
      <w:r>
        <w:t>ing</w:t>
      </w:r>
      <w:r w:rsidRPr="00246F64">
        <w:t xml:space="preserve"> her readers to rise up and rebel.  In her ‘New Deal for Nurses’, published in 1939, Carter produced one of the most trenchant </w:t>
      </w:r>
      <w:r w:rsidR="00FB759A">
        <w:t xml:space="preserve">analyses </w:t>
      </w:r>
      <w:r w:rsidRPr="00246F64">
        <w:t>of nursing education, citing the cortege of official and semi-official committees throughout the 1930s which had opened the debate to publicise and improve conditions for nurses</w:t>
      </w:r>
      <w:r>
        <w:t xml:space="preserve"> yet failed to effect change </w:t>
      </w:r>
      <w:r w:rsidRPr="00246F64">
        <w:t>(</w:t>
      </w:r>
      <w:r w:rsidRPr="00246F64">
        <w:rPr>
          <w:highlight w:val="green"/>
        </w:rPr>
        <w:t>Carter, 1939).</w:t>
      </w:r>
      <w:r w:rsidRPr="00246F64">
        <w:t xml:space="preserve"> Drawing on Roosevelt rhetoric, Carter’s manifesto mapped out a blueprint for reform </w:t>
      </w:r>
      <w:r>
        <w:t>including grants</w:t>
      </w:r>
      <w:r w:rsidR="00836B7D">
        <w:t>-</w:t>
      </w:r>
      <w:r>
        <w:t>in</w:t>
      </w:r>
      <w:r w:rsidR="00836B7D">
        <w:t xml:space="preserve">-aid to hospital; separating service from education and </w:t>
      </w:r>
      <w:r>
        <w:t xml:space="preserve">upgrading nursing education to better align with public health </w:t>
      </w:r>
      <w:r w:rsidR="00836B7D">
        <w:t>needs</w:t>
      </w:r>
      <w:r w:rsidR="00D97402">
        <w:t xml:space="preserve">. These proposals </w:t>
      </w:r>
      <w:r w:rsidRPr="00246F64">
        <w:t xml:space="preserve">demonstrated how in tune she was to the environmental forces and social dynamics that shape health in its broadest sense, including the health of nurses themselves.  She argued that it was the conditions under which nurses were trained and educated, worked and had to pursue a living and their career opportunities </w:t>
      </w:r>
      <w:r w:rsidRPr="00246F64">
        <w:lastRenderedPageBreak/>
        <w:t xml:space="preserve">which prevented them functioning to their full potential. </w:t>
      </w:r>
      <w:r>
        <w:t>It was not until some 20 years later that Carter</w:t>
      </w:r>
      <w:r w:rsidR="006629BC">
        <w:t xml:space="preserve"> would find the opportunity to</w:t>
      </w:r>
      <w:r w:rsidR="00BB1504">
        <w:t xml:space="preserve"> put some of her ideas into practice and secure a platform to translate her </w:t>
      </w:r>
      <w:r w:rsidR="00E7009A">
        <w:t xml:space="preserve">view that </w:t>
      </w:r>
      <w:r w:rsidR="00BD0F82">
        <w:t xml:space="preserve">a well </w:t>
      </w:r>
      <w:r w:rsidR="00E7009A">
        <w:t xml:space="preserve">educated </w:t>
      </w:r>
      <w:r w:rsidR="00BD0F82">
        <w:t xml:space="preserve">workforce </w:t>
      </w:r>
      <w:r w:rsidR="00E7009A">
        <w:t xml:space="preserve">was an essential precondition for </w:t>
      </w:r>
      <w:r w:rsidR="00BD0F82">
        <w:t xml:space="preserve">being effective as a nurse and delivering comprehensive care, </w:t>
      </w:r>
      <w:r w:rsidR="00624B09">
        <w:t xml:space="preserve">an </w:t>
      </w:r>
      <w:r w:rsidR="00BD0F82">
        <w:t xml:space="preserve">ambition </w:t>
      </w:r>
      <w:r w:rsidR="00D11112">
        <w:t xml:space="preserve">which lay </w:t>
      </w:r>
      <w:r w:rsidR="007D29FA">
        <w:t xml:space="preserve">at the heart </w:t>
      </w:r>
      <w:r w:rsidR="009D3C42">
        <w:t>of t</w:t>
      </w:r>
      <w:r w:rsidR="00BD0F82">
        <w:t xml:space="preserve">he new NHS.  </w:t>
      </w:r>
      <w:r w:rsidR="006629BC">
        <w:t xml:space="preserve"> </w:t>
      </w:r>
    </w:p>
    <w:p w:rsidR="007D29FA" w:rsidRDefault="007D29FA" w:rsidP="00246F64">
      <w:pPr>
        <w:spacing w:line="480" w:lineRule="auto"/>
        <w:jc w:val="both"/>
      </w:pPr>
    </w:p>
    <w:p w:rsidR="00246F64" w:rsidRPr="00246F64" w:rsidRDefault="003D7279" w:rsidP="00246F64">
      <w:pPr>
        <w:spacing w:line="480" w:lineRule="auto"/>
        <w:jc w:val="both"/>
      </w:pPr>
      <w:r>
        <w:t xml:space="preserve">Carter is a shadowy </w:t>
      </w:r>
      <w:r w:rsidR="00AF4F90">
        <w:t xml:space="preserve">character </w:t>
      </w:r>
      <w:r w:rsidR="00DB2D50">
        <w:t xml:space="preserve">whose contribution to nursing history </w:t>
      </w:r>
      <w:r w:rsidR="00D24589">
        <w:t>bears further scrutiny.</w:t>
      </w:r>
      <w:r w:rsidR="00DB2D50">
        <w:t xml:space="preserve"> </w:t>
      </w:r>
      <w:r w:rsidR="00693BEE">
        <w:t>L</w:t>
      </w:r>
      <w:r w:rsidR="00DB2D50">
        <w:t xml:space="preserve">ittle is known of her activities in the intervening period but she resurfaces in the late 1950s </w:t>
      </w:r>
      <w:r w:rsidR="00246F64" w:rsidRPr="00246F64">
        <w:t xml:space="preserve">when she arrived at the University of Edinburgh as a Boots Fellow in Nursing Research in 1959 </w:t>
      </w:r>
      <w:r w:rsidR="00246F64" w:rsidRPr="00246F64">
        <w:rPr>
          <w:highlight w:val="green"/>
        </w:rPr>
        <w:t>(Weir, 1996)</w:t>
      </w:r>
      <w:r w:rsidR="00DB2D50">
        <w:t xml:space="preserve">. </w:t>
      </w:r>
      <w:r w:rsidR="00D24589">
        <w:t xml:space="preserve">Taking up the </w:t>
      </w:r>
      <w:r w:rsidR="000675F1">
        <w:t xml:space="preserve">cause </w:t>
      </w:r>
      <w:r w:rsidR="00D24589">
        <w:t>of university education for nurses</w:t>
      </w:r>
      <w:r w:rsidR="000675F1">
        <w:t xml:space="preserve">, </w:t>
      </w:r>
      <w:r w:rsidR="00D24589">
        <w:t>he</w:t>
      </w:r>
      <w:r w:rsidR="00DB2D50">
        <w:t xml:space="preserve">r </w:t>
      </w:r>
      <w:r w:rsidR="006A525D">
        <w:t xml:space="preserve">relevance </w:t>
      </w:r>
      <w:r w:rsidR="00D54CB9">
        <w:t xml:space="preserve">lies in her presentation of </w:t>
      </w:r>
      <w:r w:rsidR="00246F64" w:rsidRPr="00246F64">
        <w:t>evidence to the university committees considering the case for establishing an undergraduate degree for nurses at Edinburgh in the 1960s</w:t>
      </w:r>
      <w:r w:rsidR="00D54CB9">
        <w:t>. This d</w:t>
      </w:r>
      <w:r w:rsidR="00246F64" w:rsidRPr="00246F64">
        <w:t xml:space="preserve">rew on her knowledge and experience of Canadian experiments including that at the University of Toronto </w:t>
      </w:r>
      <w:r w:rsidR="00246F64" w:rsidRPr="00246F64">
        <w:rPr>
          <w:highlight w:val="yellow"/>
        </w:rPr>
        <w:t>(</w:t>
      </w:r>
      <w:r w:rsidR="00246F64" w:rsidRPr="00246F64">
        <w:rPr>
          <w:highlight w:val="green"/>
        </w:rPr>
        <w:t xml:space="preserve">Palmer, 2013). </w:t>
      </w:r>
      <w:r w:rsidR="00246F64" w:rsidRPr="00246F64">
        <w:t xml:space="preserve">Her evidence confirms the benefits of investment in nurse education for public and population health. This was </w:t>
      </w:r>
      <w:r w:rsidR="00D54CB9">
        <w:t xml:space="preserve">not accidental but </w:t>
      </w:r>
      <w:r w:rsidR="00246F64" w:rsidRPr="00246F64">
        <w:t xml:space="preserve">strategic </w:t>
      </w:r>
      <w:r w:rsidR="00DB2D50">
        <w:t xml:space="preserve">in the sense that the </w:t>
      </w:r>
      <w:r w:rsidR="00246F64" w:rsidRPr="00246F64">
        <w:t>Rockefeller Foundation had strong interests in public health and it was its public health agenda which had spearheaded investment in it</w:t>
      </w:r>
      <w:r w:rsidR="00A50466">
        <w:t>’</w:t>
      </w:r>
      <w:r w:rsidR="00246F64" w:rsidRPr="00246F64">
        <w:t>s programme in the University of Toronto, the US and across Europe (</w:t>
      </w:r>
      <w:r w:rsidR="00246F64" w:rsidRPr="00246F64">
        <w:rPr>
          <w:highlight w:val="green"/>
        </w:rPr>
        <w:t>Rafferty, 1995; Lapeyre, 2015).</w:t>
      </w:r>
      <w:r w:rsidR="00246F64" w:rsidRPr="00246F64">
        <w:t xml:space="preserve"> In Toronto, the programme in public health nursing was led by its charismatic leader, Kathleen Russel, herself a beneficiary of a Rockefeller Fellowship . It was also the Rockefeller Foundation which was being courted as the potential funder for the Edinburgh initiative. </w:t>
      </w:r>
    </w:p>
    <w:p w:rsidR="00246F64" w:rsidRPr="00246F64" w:rsidRDefault="00246F64" w:rsidP="00246F64">
      <w:pPr>
        <w:spacing w:line="480" w:lineRule="auto"/>
        <w:jc w:val="both"/>
      </w:pPr>
    </w:p>
    <w:p w:rsidR="0034141B" w:rsidRDefault="00246F64" w:rsidP="00246F64">
      <w:pPr>
        <w:spacing w:line="480" w:lineRule="auto"/>
        <w:jc w:val="both"/>
      </w:pPr>
      <w:r w:rsidRPr="00246F64">
        <w:t>The relationship with Rockefeller was nurtured by Professor Francis Crew, a man of expansive vision and interests in science and public health</w:t>
      </w:r>
      <w:r w:rsidR="00494F7B">
        <w:t>.</w:t>
      </w:r>
      <w:r w:rsidRPr="00246F64">
        <w:t xml:space="preserve"> Not surprisingly the Edinburgh course bore the imprimatur of its community medicine</w:t>
      </w:r>
      <w:r w:rsidR="00055D97">
        <w:t xml:space="preserve"> and</w:t>
      </w:r>
      <w:r w:rsidRPr="00246F64">
        <w:t xml:space="preserve"> public health origins; as students </w:t>
      </w:r>
      <w:r w:rsidRPr="00246F64">
        <w:lastRenderedPageBreak/>
        <w:t>were dual trained both in acute and community nursing with the result that working in the community became the preferred destination of the Edinburgh graduates in follow up studies of the early cohorts (Weir, 1996). Graduates seemed to value the autonomy they experienced in the community where they could use their initiative, exercise their discretion, judgement and critical thinking in decision making, rather than feeling hemmed in by the hospital. Carter’s own research into the numbers of graduates within the profession and the need to educate the next generation of nurse tutors to graduate level was also an important ingredient in crafting the case for change</w:t>
      </w:r>
      <w:r w:rsidR="00237CA8">
        <w:t>-t</w:t>
      </w:r>
      <w:r w:rsidRPr="00246F64">
        <w:t xml:space="preserve">hough full graduate status for the profession had to wait almost sixty years. </w:t>
      </w:r>
      <w:r w:rsidR="0047194B">
        <w:t xml:space="preserve">Both Cohen and Carter’s critiques were radical </w:t>
      </w:r>
      <w:r w:rsidR="00740ECE">
        <w:t xml:space="preserve">but </w:t>
      </w:r>
      <w:r w:rsidR="00AB4288">
        <w:t xml:space="preserve">remained marginal to the policy agenda </w:t>
      </w:r>
      <w:r w:rsidR="00C97A1C">
        <w:t xml:space="preserve">which </w:t>
      </w:r>
      <w:r w:rsidR="003A5BFA">
        <w:t xml:space="preserve">emerged </w:t>
      </w:r>
      <w:r w:rsidR="00AB4288">
        <w:t xml:space="preserve">in nursing and </w:t>
      </w:r>
      <w:r w:rsidR="004D3C46">
        <w:t>the NHS</w:t>
      </w:r>
      <w:r w:rsidR="0091041C">
        <w:t xml:space="preserve">. But they </w:t>
      </w:r>
      <w:r w:rsidR="005319C0">
        <w:t>anticipated research and policy changes which w</w:t>
      </w:r>
      <w:r w:rsidR="00815966">
        <w:t xml:space="preserve">ere to </w:t>
      </w:r>
      <w:r w:rsidR="00F70FAB">
        <w:t xml:space="preserve">surface </w:t>
      </w:r>
      <w:r w:rsidR="00815966">
        <w:t xml:space="preserve">some </w:t>
      </w:r>
      <w:r w:rsidR="0091041C">
        <w:t xml:space="preserve">60 years later. </w:t>
      </w:r>
      <w:r w:rsidR="005319C0">
        <w:t xml:space="preserve"> </w:t>
      </w:r>
    </w:p>
    <w:p w:rsidR="00543D7E" w:rsidRDefault="00543D7E">
      <w:pPr>
        <w:spacing w:line="480" w:lineRule="auto"/>
        <w:jc w:val="both"/>
      </w:pPr>
    </w:p>
    <w:p w:rsidR="00F469F6" w:rsidRDefault="0034141B">
      <w:pPr>
        <w:spacing w:line="480" w:lineRule="auto"/>
        <w:jc w:val="both"/>
      </w:pPr>
      <w:r>
        <w:t xml:space="preserve">Fast forward to </w:t>
      </w:r>
      <w:r w:rsidR="00916013" w:rsidRPr="00570F56">
        <w:t xml:space="preserve">2017 </w:t>
      </w:r>
      <w:r>
        <w:t xml:space="preserve">and </w:t>
      </w:r>
      <w:r w:rsidR="00916013" w:rsidRPr="00570F56">
        <w:t>much appears to have changed</w:t>
      </w:r>
      <w:r w:rsidR="00BB5821">
        <w:t xml:space="preserve"> in the NHS; </w:t>
      </w:r>
      <w:r w:rsidR="00E61085" w:rsidRPr="00570F56">
        <w:t>t</w:t>
      </w:r>
      <w:r w:rsidR="00916013" w:rsidRPr="00570F56">
        <w:t xml:space="preserve">he entry level into practice is </w:t>
      </w:r>
      <w:r w:rsidR="001E2550" w:rsidRPr="00570F56">
        <w:t xml:space="preserve">set </w:t>
      </w:r>
      <w:r w:rsidR="00916013" w:rsidRPr="00570F56">
        <w:t xml:space="preserve">at </w:t>
      </w:r>
      <w:r w:rsidR="00F74751">
        <w:t xml:space="preserve">degree </w:t>
      </w:r>
      <w:r w:rsidR="00916013" w:rsidRPr="00570F56">
        <w:t>level; nurses have prescribing rights; advanced practice nurses are in the forefront of chronic disease management and expan</w:t>
      </w:r>
      <w:r w:rsidR="001E2550" w:rsidRPr="00570F56">
        <w:t xml:space="preserve">ding access to services, safely, </w:t>
      </w:r>
      <w:r w:rsidR="001933F2" w:rsidRPr="00570F56">
        <w:t xml:space="preserve">with </w:t>
      </w:r>
      <w:r w:rsidR="00916013" w:rsidRPr="00570F56">
        <w:t>positive outcomes for patients</w:t>
      </w:r>
      <w:r w:rsidR="001933F2" w:rsidRPr="00570F56">
        <w:t xml:space="preserve"> and </w:t>
      </w:r>
      <w:r w:rsidR="00916013" w:rsidRPr="00570F56">
        <w:t xml:space="preserve">often more cheaply than doctors </w:t>
      </w:r>
      <w:r>
        <w:t xml:space="preserve">(Maier and Aiken 2016). </w:t>
      </w:r>
      <w:r w:rsidR="00916013" w:rsidRPr="00570F56">
        <w:t xml:space="preserve">Nurses are running primary care practices, employing general practitioners, </w:t>
      </w:r>
      <w:r w:rsidR="008A06EA" w:rsidRPr="00570F56">
        <w:t xml:space="preserve">leading </w:t>
      </w:r>
      <w:r w:rsidR="00916013" w:rsidRPr="00570F56">
        <w:t xml:space="preserve">and shaping new models of care. Many of these changes have been led by nurses </w:t>
      </w:r>
      <w:r w:rsidR="00A439FF" w:rsidRPr="00570F56">
        <w:t xml:space="preserve">and deliver </w:t>
      </w:r>
      <w:r w:rsidR="00916013" w:rsidRPr="00570F56">
        <w:t xml:space="preserve">better </w:t>
      </w:r>
      <w:r w:rsidR="00A439FF" w:rsidRPr="00570F56">
        <w:t>outcomes for patients</w:t>
      </w:r>
      <w:r>
        <w:t xml:space="preserve"> (WHO 2015)</w:t>
      </w:r>
      <w:r w:rsidR="00A439FF" w:rsidRPr="00570F56">
        <w:t>.</w:t>
      </w:r>
      <w:r w:rsidR="0080390A">
        <w:t>Cohen’s contention o</w:t>
      </w:r>
      <w:r w:rsidR="004A4146" w:rsidRPr="00570F56">
        <w:t xml:space="preserve">n </w:t>
      </w:r>
      <w:r w:rsidR="004F5704" w:rsidRPr="00570F56">
        <w:t xml:space="preserve">linkages between </w:t>
      </w:r>
      <w:r w:rsidR="00D565AF" w:rsidRPr="00570F56">
        <w:t xml:space="preserve">the nursing </w:t>
      </w:r>
      <w:r w:rsidR="004F5704" w:rsidRPr="00570F56">
        <w:t xml:space="preserve">workforce and length of stay </w:t>
      </w:r>
      <w:r w:rsidR="004A4146" w:rsidRPr="00570F56">
        <w:t>now ha</w:t>
      </w:r>
      <w:r w:rsidR="0080390A">
        <w:t>s</w:t>
      </w:r>
      <w:r w:rsidR="004A4146" w:rsidRPr="00570F56">
        <w:t xml:space="preserve"> </w:t>
      </w:r>
      <w:r w:rsidR="00F5211E" w:rsidRPr="00570F56">
        <w:t xml:space="preserve">an </w:t>
      </w:r>
      <w:r w:rsidR="004A4146" w:rsidRPr="00570F56">
        <w:t xml:space="preserve">evidence </w:t>
      </w:r>
      <w:r w:rsidR="00A76A09" w:rsidRPr="00570F56">
        <w:t>base</w:t>
      </w:r>
      <w:r w:rsidR="005D2CA0">
        <w:t xml:space="preserve"> in which better nurse staffing levels are associated with a series of organizational as well as patient outcomes including lower length of stay. </w:t>
      </w:r>
      <w:r w:rsidR="00EF3C15" w:rsidRPr="00570F56">
        <w:t>(</w:t>
      </w:r>
      <w:r w:rsidR="00EF3C15" w:rsidRPr="00570F56">
        <w:rPr>
          <w:highlight w:val="green"/>
        </w:rPr>
        <w:t>McHugh et al</w:t>
      </w:r>
      <w:r w:rsidR="003833DE" w:rsidRPr="00570F56">
        <w:rPr>
          <w:highlight w:val="green"/>
        </w:rPr>
        <w:t xml:space="preserve">, </w:t>
      </w:r>
      <w:r w:rsidR="00307894" w:rsidRPr="00570F56">
        <w:rPr>
          <w:highlight w:val="green"/>
        </w:rPr>
        <w:t>2016</w:t>
      </w:r>
      <w:r w:rsidR="00EF3C15" w:rsidRPr="00570F56">
        <w:rPr>
          <w:highlight w:val="green"/>
        </w:rPr>
        <w:t xml:space="preserve">; </w:t>
      </w:r>
      <w:r w:rsidR="00B375F3" w:rsidRPr="00570F56">
        <w:rPr>
          <w:highlight w:val="green"/>
        </w:rPr>
        <w:t>Griffiths</w:t>
      </w:r>
      <w:r w:rsidR="007823A4" w:rsidRPr="00570F56">
        <w:rPr>
          <w:highlight w:val="green"/>
        </w:rPr>
        <w:t xml:space="preserve"> et al</w:t>
      </w:r>
      <w:r w:rsidR="003575A9" w:rsidRPr="00570F56">
        <w:rPr>
          <w:highlight w:val="green"/>
        </w:rPr>
        <w:t>.</w:t>
      </w:r>
      <w:r w:rsidR="007823A4" w:rsidRPr="00570F56">
        <w:rPr>
          <w:highlight w:val="green"/>
        </w:rPr>
        <w:t xml:space="preserve">, </w:t>
      </w:r>
      <w:r w:rsidR="00B375F3" w:rsidRPr="00570F56">
        <w:rPr>
          <w:highlight w:val="green"/>
        </w:rPr>
        <w:t>201</w:t>
      </w:r>
      <w:r w:rsidR="007823A4" w:rsidRPr="00570F56">
        <w:rPr>
          <w:highlight w:val="green"/>
        </w:rPr>
        <w:t>4</w:t>
      </w:r>
      <w:r w:rsidR="00B900B0" w:rsidRPr="00570F56">
        <w:rPr>
          <w:highlight w:val="green"/>
        </w:rPr>
        <w:t xml:space="preserve">; </w:t>
      </w:r>
      <w:r w:rsidR="00EF3C15" w:rsidRPr="00570F56">
        <w:rPr>
          <w:highlight w:val="green"/>
        </w:rPr>
        <w:t>Aiken et al</w:t>
      </w:r>
      <w:r w:rsidR="00C628E7" w:rsidRPr="00570F56">
        <w:rPr>
          <w:highlight w:val="green"/>
        </w:rPr>
        <w:t>,</w:t>
      </w:r>
      <w:r w:rsidR="00EF3C15" w:rsidRPr="00570F56">
        <w:rPr>
          <w:highlight w:val="green"/>
        </w:rPr>
        <w:t xml:space="preserve"> 2016</w:t>
      </w:r>
      <w:r w:rsidR="00C628E7" w:rsidRPr="00570F56">
        <w:t>)</w:t>
      </w:r>
      <w:r w:rsidR="004F5704" w:rsidRPr="00570F56">
        <w:t>.</w:t>
      </w:r>
      <w:r w:rsidR="00D565AF" w:rsidRPr="00570F56">
        <w:t xml:space="preserve"> </w:t>
      </w:r>
      <w:r w:rsidR="00CC35BE">
        <w:t xml:space="preserve">Cohen’s </w:t>
      </w:r>
      <w:r w:rsidR="004A4146" w:rsidRPr="00570F56">
        <w:t xml:space="preserve">call for </w:t>
      </w:r>
      <w:r w:rsidR="00D565AF" w:rsidRPr="00570F56">
        <w:t xml:space="preserve">a scientific analysis of nursing work </w:t>
      </w:r>
      <w:r w:rsidR="00071B96" w:rsidRPr="00570F56">
        <w:t>h</w:t>
      </w:r>
      <w:r w:rsidR="00D565AF" w:rsidRPr="00570F56">
        <w:t xml:space="preserve">as </w:t>
      </w:r>
      <w:r w:rsidR="00B61E52" w:rsidRPr="00570F56">
        <w:t xml:space="preserve">yielded </w:t>
      </w:r>
      <w:r w:rsidR="00D565AF" w:rsidRPr="00570F56">
        <w:t xml:space="preserve">many excellent </w:t>
      </w:r>
      <w:r w:rsidR="008811F4" w:rsidRPr="00570F56">
        <w:t xml:space="preserve">studies, some of the </w:t>
      </w:r>
      <w:r w:rsidR="00D565AF" w:rsidRPr="00570F56">
        <w:t xml:space="preserve">cross national </w:t>
      </w:r>
      <w:r w:rsidR="00ED58A8" w:rsidRPr="00570F56">
        <w:t>link</w:t>
      </w:r>
      <w:r w:rsidR="00B61E52" w:rsidRPr="00570F56">
        <w:t>ing</w:t>
      </w:r>
      <w:r w:rsidR="00ED58A8" w:rsidRPr="00570F56">
        <w:t xml:space="preserve"> </w:t>
      </w:r>
      <w:r w:rsidR="008811F4" w:rsidRPr="00570F56">
        <w:t>more and better skilled nurse</w:t>
      </w:r>
      <w:r w:rsidR="00507322" w:rsidRPr="00570F56">
        <w:t xml:space="preserve">s on the wards </w:t>
      </w:r>
      <w:r w:rsidR="004145D5">
        <w:t xml:space="preserve">to better outcomes for patients and </w:t>
      </w:r>
      <w:r w:rsidR="008811F4" w:rsidRPr="00570F56">
        <w:t>respond to patients that need life-saving interventions (</w:t>
      </w:r>
      <w:r w:rsidR="00507322" w:rsidRPr="00570F56">
        <w:rPr>
          <w:highlight w:val="green"/>
        </w:rPr>
        <w:t xml:space="preserve">Aiken et al, 2014; </w:t>
      </w:r>
      <w:r w:rsidR="008811F4" w:rsidRPr="00570F56">
        <w:rPr>
          <w:highlight w:val="green"/>
        </w:rPr>
        <w:t xml:space="preserve">Neuraz </w:t>
      </w:r>
      <w:r w:rsidR="008811F4" w:rsidRPr="00570F56">
        <w:rPr>
          <w:highlight w:val="green"/>
        </w:rPr>
        <w:lastRenderedPageBreak/>
        <w:t>et al.</w:t>
      </w:r>
      <w:r w:rsidR="00B900B0" w:rsidRPr="00570F56">
        <w:rPr>
          <w:highlight w:val="green"/>
        </w:rPr>
        <w:t>,</w:t>
      </w:r>
      <w:r w:rsidR="008811F4" w:rsidRPr="00570F56">
        <w:rPr>
          <w:highlight w:val="green"/>
        </w:rPr>
        <w:t xml:space="preserve"> 2015, West et al.</w:t>
      </w:r>
      <w:r w:rsidR="00B900B0" w:rsidRPr="00570F56">
        <w:rPr>
          <w:highlight w:val="green"/>
        </w:rPr>
        <w:t>,</w:t>
      </w:r>
      <w:r w:rsidR="008811F4" w:rsidRPr="00570F56">
        <w:rPr>
          <w:highlight w:val="green"/>
        </w:rPr>
        <w:t xml:space="preserve"> 2014</w:t>
      </w:r>
      <w:r w:rsidR="00507322" w:rsidRPr="00570F56">
        <w:rPr>
          <w:highlight w:val="green"/>
        </w:rPr>
        <w:t>; Tourangeau et al, 200</w:t>
      </w:r>
      <w:r w:rsidR="002B58C6" w:rsidRPr="00570F56">
        <w:rPr>
          <w:highlight w:val="green"/>
        </w:rPr>
        <w:t>7</w:t>
      </w:r>
      <w:r w:rsidR="004145D5">
        <w:rPr>
          <w:highlight w:val="green"/>
        </w:rPr>
        <w:t xml:space="preserve">; </w:t>
      </w:r>
      <w:r w:rsidR="00DB2A90" w:rsidRPr="00570F56">
        <w:rPr>
          <w:highlight w:val="green"/>
        </w:rPr>
        <w:t>Kane et al., 2007</w:t>
      </w:r>
      <w:r w:rsidR="004145D5">
        <w:rPr>
          <w:highlight w:val="green"/>
        </w:rPr>
        <w:t>;</w:t>
      </w:r>
      <w:r w:rsidR="004145D5" w:rsidRPr="00570F56">
        <w:rPr>
          <w:highlight w:val="green"/>
        </w:rPr>
        <w:t xml:space="preserve"> </w:t>
      </w:r>
      <w:r w:rsidR="00B375F3" w:rsidRPr="00570F56">
        <w:rPr>
          <w:highlight w:val="green"/>
        </w:rPr>
        <w:t>Shekelle</w:t>
      </w:r>
      <w:r w:rsidR="0028025F" w:rsidRPr="00570F56">
        <w:rPr>
          <w:highlight w:val="green"/>
        </w:rPr>
        <w:t>,</w:t>
      </w:r>
      <w:r w:rsidR="00B375F3" w:rsidRPr="00570F56">
        <w:rPr>
          <w:highlight w:val="green"/>
        </w:rPr>
        <w:t xml:space="preserve"> 2013</w:t>
      </w:r>
      <w:r w:rsidR="004145D5">
        <w:rPr>
          <w:highlight w:val="green"/>
        </w:rPr>
        <w:t xml:space="preserve">; </w:t>
      </w:r>
      <w:r w:rsidR="00B375F3" w:rsidRPr="00570F56">
        <w:rPr>
          <w:highlight w:val="green"/>
        </w:rPr>
        <w:t>Griffiths et al.</w:t>
      </w:r>
      <w:r w:rsidR="00167787">
        <w:rPr>
          <w:highlight w:val="green"/>
        </w:rPr>
        <w:t xml:space="preserve">, </w:t>
      </w:r>
      <w:r w:rsidR="00B375F3" w:rsidRPr="00570F56">
        <w:rPr>
          <w:highlight w:val="green"/>
        </w:rPr>
        <w:t>2014).</w:t>
      </w:r>
      <w:r w:rsidR="00B375F3" w:rsidRPr="00570F56">
        <w:t xml:space="preserve"> </w:t>
      </w:r>
      <w:r w:rsidR="00CC35BE">
        <w:t xml:space="preserve">His </w:t>
      </w:r>
      <w:r w:rsidR="004145D5">
        <w:t>recommendation of e</w:t>
      </w:r>
      <w:r w:rsidR="00C6529E" w:rsidRPr="00570F56">
        <w:t xml:space="preserve">nriched training that leads to </w:t>
      </w:r>
      <w:r w:rsidR="009A45C3" w:rsidRPr="00570F56">
        <w:t xml:space="preserve">training effectiveness and retention of staff </w:t>
      </w:r>
      <w:r w:rsidR="00C6529E" w:rsidRPr="00570F56">
        <w:t>is the shift to</w:t>
      </w:r>
      <w:r w:rsidR="009A45C3" w:rsidRPr="00570F56">
        <w:t xml:space="preserve"> </w:t>
      </w:r>
      <w:r w:rsidR="00BB50DB">
        <w:t xml:space="preserve">degree </w:t>
      </w:r>
      <w:r w:rsidR="00916013" w:rsidRPr="00570F56">
        <w:t>entry into practice</w:t>
      </w:r>
      <w:r w:rsidR="009A45C3" w:rsidRPr="00570F56">
        <w:t xml:space="preserve">. </w:t>
      </w:r>
    </w:p>
    <w:p w:rsidR="00F469F6" w:rsidRDefault="00F469F6">
      <w:pPr>
        <w:spacing w:line="480" w:lineRule="auto"/>
        <w:jc w:val="both"/>
      </w:pPr>
    </w:p>
    <w:p w:rsidR="00AC35AD" w:rsidRDefault="00F23895">
      <w:pPr>
        <w:spacing w:line="480" w:lineRule="auto"/>
        <w:jc w:val="both"/>
      </w:pPr>
      <w:r>
        <w:t>C</w:t>
      </w:r>
      <w:r w:rsidR="00C6529E" w:rsidRPr="00570F56">
        <w:t>ompared to the</w:t>
      </w:r>
      <w:r w:rsidR="0062202A" w:rsidRPr="00570F56">
        <w:t xml:space="preserve"> devolved countries within the UK, </w:t>
      </w:r>
      <w:r w:rsidR="00916013" w:rsidRPr="00570F56">
        <w:t>E</w:t>
      </w:r>
      <w:r w:rsidR="0062202A" w:rsidRPr="00570F56">
        <w:t>urope and high income countries such as Canada, the US, Australia and New Zealand</w:t>
      </w:r>
      <w:r w:rsidR="00C6529E" w:rsidRPr="00570F56">
        <w:t xml:space="preserve">, England </w:t>
      </w:r>
      <w:r w:rsidR="009F3C4E">
        <w:t>has been</w:t>
      </w:r>
      <w:r w:rsidR="00C6529E" w:rsidRPr="00570F56">
        <w:t xml:space="preserve"> comparatively late in embracing </w:t>
      </w:r>
      <w:r w:rsidR="00BF3898">
        <w:t xml:space="preserve">degree </w:t>
      </w:r>
      <w:r w:rsidR="00C6529E" w:rsidRPr="00570F56">
        <w:t>entry in</w:t>
      </w:r>
      <w:r w:rsidR="00BF3898">
        <w:t>to practice in</w:t>
      </w:r>
      <w:r w:rsidR="00C6529E" w:rsidRPr="00570F56">
        <w:t xml:space="preserve"> 2013</w:t>
      </w:r>
      <w:r w:rsidR="00B47BBD" w:rsidRPr="00570F56">
        <w:t>.  As a result,</w:t>
      </w:r>
      <w:r w:rsidR="00C6529E" w:rsidRPr="00570F56">
        <w:t xml:space="preserve"> the</w:t>
      </w:r>
      <w:r w:rsidR="004674E5" w:rsidRPr="00570F56">
        <w:t xml:space="preserve"> number of graduates in the workforce in England remains one of the lowest in Europe</w:t>
      </w:r>
      <w:r w:rsidR="00C6529E" w:rsidRPr="00570F56">
        <w:t>, with an average of</w:t>
      </w:r>
      <w:r w:rsidR="004674E5" w:rsidRPr="00570F56">
        <w:t xml:space="preserve"> 28%</w:t>
      </w:r>
      <w:r w:rsidR="00C6529E" w:rsidRPr="00570F56">
        <w:t xml:space="preserve">, compared to </w:t>
      </w:r>
      <w:r w:rsidR="004674E5" w:rsidRPr="00570F56">
        <w:t xml:space="preserve">100 % </w:t>
      </w:r>
      <w:r w:rsidR="00E844C7" w:rsidRPr="00570F56">
        <w:t>even in</w:t>
      </w:r>
      <w:r w:rsidR="00C6529E" w:rsidRPr="00570F56">
        <w:t xml:space="preserve"> countries such as</w:t>
      </w:r>
      <w:r w:rsidR="004674E5" w:rsidRPr="00570F56">
        <w:t xml:space="preserve"> Poland and Spain</w:t>
      </w:r>
      <w:r w:rsidR="00E844C7" w:rsidRPr="00570F56">
        <w:t xml:space="preserve"> which</w:t>
      </w:r>
      <w:r w:rsidR="00C6529E" w:rsidRPr="00570F56">
        <w:t xml:space="preserve"> have been significantly </w:t>
      </w:r>
      <w:r w:rsidR="004674E5" w:rsidRPr="00570F56">
        <w:t>hit</w:t>
      </w:r>
      <w:r w:rsidR="00B47BBD" w:rsidRPr="00570F56">
        <w:t xml:space="preserve"> </w:t>
      </w:r>
      <w:r w:rsidR="004674E5" w:rsidRPr="00570F56">
        <w:t xml:space="preserve">by austerity measures. </w:t>
      </w:r>
      <w:r w:rsidR="00E844C7" w:rsidRPr="00570F56">
        <w:t xml:space="preserve">This reluctance of England to embrace graduate entry has </w:t>
      </w:r>
      <w:r w:rsidR="004145D5">
        <w:t xml:space="preserve">important </w:t>
      </w:r>
      <w:r w:rsidR="00EA429F" w:rsidRPr="00570F56">
        <w:t>antecedents</w:t>
      </w:r>
      <w:r w:rsidR="00E844C7" w:rsidRPr="00570F56">
        <w:t xml:space="preserve">: </w:t>
      </w:r>
      <w:r w:rsidR="004145D5">
        <w:t xml:space="preserve">Seven per cent of </w:t>
      </w:r>
      <w:r w:rsidR="00F5211E" w:rsidRPr="00570F56">
        <w:t xml:space="preserve">nurses held matriculation equivalence </w:t>
      </w:r>
      <w:r w:rsidR="00F91911">
        <w:t xml:space="preserve">in 1948 </w:t>
      </w:r>
      <w:r w:rsidR="00F5211E" w:rsidRPr="00570F56">
        <w:t>at the outset of the NHS</w:t>
      </w:r>
      <w:r w:rsidR="00F91911">
        <w:t>. It</w:t>
      </w:r>
      <w:r w:rsidR="00AC35AD" w:rsidRPr="00570F56">
        <w:t xml:space="preserve"> was not until the 1960s which saw the first attempt to establish a </w:t>
      </w:r>
      <w:r w:rsidR="00F91911">
        <w:t xml:space="preserve">university degree based </w:t>
      </w:r>
      <w:r w:rsidR="00AC35AD" w:rsidRPr="00570F56">
        <w:t xml:space="preserve">programme for nurses. While there had been post </w:t>
      </w:r>
      <w:r w:rsidR="00A94A24">
        <w:t xml:space="preserve">qualification </w:t>
      </w:r>
      <w:r w:rsidR="00AC35AD" w:rsidRPr="00570F56">
        <w:t>diploma courses for nurses during the inter-war period (</w:t>
      </w:r>
      <w:r w:rsidR="00AC35AD" w:rsidRPr="00570F56">
        <w:rPr>
          <w:highlight w:val="green"/>
        </w:rPr>
        <w:t>Brooks and Rafferty</w:t>
      </w:r>
      <w:r w:rsidR="00EA429F" w:rsidRPr="00570F56">
        <w:rPr>
          <w:highlight w:val="green"/>
        </w:rPr>
        <w:t>, 2010</w:t>
      </w:r>
      <w:r w:rsidR="00AC35AD" w:rsidRPr="00570F56">
        <w:rPr>
          <w:highlight w:val="green"/>
        </w:rPr>
        <w:t>)</w:t>
      </w:r>
      <w:r w:rsidR="00EA429F" w:rsidRPr="00570F56">
        <w:rPr>
          <w:highlight w:val="green"/>
        </w:rPr>
        <w:t>,</w:t>
      </w:r>
      <w:r w:rsidR="00EA429F" w:rsidRPr="00570F56">
        <w:t xml:space="preserve"> </w:t>
      </w:r>
      <w:r w:rsidR="00AC35AD" w:rsidRPr="00570F56">
        <w:t xml:space="preserve">undergraduate courses had to wait </w:t>
      </w:r>
      <w:r w:rsidR="00F5211E" w:rsidRPr="00570F56">
        <w:t xml:space="preserve">until </w:t>
      </w:r>
      <w:r w:rsidR="00AC35AD" w:rsidRPr="00570F56">
        <w:t xml:space="preserve">the first course was established </w:t>
      </w:r>
      <w:r w:rsidR="006F2CB9">
        <w:t>in 196</w:t>
      </w:r>
      <w:r w:rsidR="00FD6702">
        <w:t>6</w:t>
      </w:r>
      <w:r w:rsidR="006F2CB9">
        <w:t xml:space="preserve"> </w:t>
      </w:r>
      <w:r w:rsidR="00AC35AD" w:rsidRPr="00570F56">
        <w:t xml:space="preserve">at Edinburgh University. </w:t>
      </w:r>
    </w:p>
    <w:p w:rsidR="00AB508C" w:rsidRPr="00570F56" w:rsidRDefault="00AB508C">
      <w:pPr>
        <w:spacing w:line="480" w:lineRule="auto"/>
        <w:jc w:val="both"/>
      </w:pPr>
    </w:p>
    <w:p w:rsidR="00BC131F" w:rsidRPr="00570F56" w:rsidRDefault="004A315F" w:rsidP="00570F56">
      <w:pPr>
        <w:spacing w:line="480" w:lineRule="auto"/>
        <w:jc w:val="both"/>
      </w:pPr>
      <w:r w:rsidRPr="00570F56">
        <w:t xml:space="preserve">Countering this trend a </w:t>
      </w:r>
      <w:r w:rsidR="00AC35AD" w:rsidRPr="00570F56">
        <w:t xml:space="preserve">broader set of historical and cultural forces in Britain </w:t>
      </w:r>
      <w:r w:rsidR="00916013" w:rsidRPr="00570F56">
        <w:t xml:space="preserve">may have </w:t>
      </w:r>
      <w:r w:rsidR="00AC35AD" w:rsidRPr="00570F56">
        <w:t xml:space="preserve">played a role in </w:t>
      </w:r>
      <w:r w:rsidR="00A477CA" w:rsidRPr="00570F56">
        <w:t xml:space="preserve">delaying </w:t>
      </w:r>
      <w:r w:rsidRPr="00570F56">
        <w:t xml:space="preserve">the move to a graduate policy. </w:t>
      </w:r>
      <w:r w:rsidR="00AC35AD" w:rsidRPr="00570F56">
        <w:t>There is a strong public perception that nurses don’t need degrees to be good nurses</w:t>
      </w:r>
      <w:r w:rsidR="00D1070F" w:rsidRPr="00570F56">
        <w:t xml:space="preserve">, they only need </w:t>
      </w:r>
      <w:r w:rsidR="00AC35AD" w:rsidRPr="00570F56">
        <w:t xml:space="preserve">to be kind to care. Periodically, the media condemns nurse graduates as being ‘too clever to care’ and ‘too posh to wash’. These charges seem to resonate with a section of public opinion who harken back nostalgically to a ‘golden age’ of nursing </w:t>
      </w:r>
      <w:r w:rsidR="00AC35AD" w:rsidRPr="00570F56">
        <w:rPr>
          <w:highlight w:val="green"/>
        </w:rPr>
        <w:t>(</w:t>
      </w:r>
      <w:r w:rsidR="0063601A" w:rsidRPr="00570F56">
        <w:rPr>
          <w:highlight w:val="green"/>
        </w:rPr>
        <w:t xml:space="preserve">Gillett, </w:t>
      </w:r>
      <w:r w:rsidR="00AC35AD" w:rsidRPr="00570F56">
        <w:rPr>
          <w:highlight w:val="green"/>
        </w:rPr>
        <w:t>201</w:t>
      </w:r>
      <w:r w:rsidR="0063601A" w:rsidRPr="00570F56">
        <w:rPr>
          <w:highlight w:val="green"/>
        </w:rPr>
        <w:t>4</w:t>
      </w:r>
      <w:r w:rsidR="00AC35AD" w:rsidRPr="00570F56">
        <w:rPr>
          <w:highlight w:val="green"/>
        </w:rPr>
        <w:t>).</w:t>
      </w:r>
      <w:r w:rsidR="00AC35AD" w:rsidRPr="00570F56">
        <w:t xml:space="preserve"> </w:t>
      </w:r>
      <w:r w:rsidR="001F58C4" w:rsidRPr="00570F56">
        <w:t>Gladys Carter may be right when she referred in 1939 to what was needed in nursing education was a ‘high wind of criticism and a ‘bonfire for prejudices…’</w:t>
      </w:r>
      <w:r w:rsidR="001F58C4">
        <w:t xml:space="preserve"> </w:t>
      </w:r>
      <w:r w:rsidR="004744E7">
        <w:t xml:space="preserve">continues to </w:t>
      </w:r>
      <w:r w:rsidR="001F58C4">
        <w:t>resonate</w:t>
      </w:r>
      <w:r w:rsidR="00F11CAF">
        <w:t xml:space="preserve"> </w:t>
      </w:r>
      <w:r w:rsidR="001F58C4">
        <w:t>today</w:t>
      </w:r>
      <w:r w:rsidR="008A24F7">
        <w:t>.</w:t>
      </w:r>
      <w:r w:rsidR="00543D7E">
        <w:t xml:space="preserve"> </w:t>
      </w:r>
      <w:r w:rsidR="00571A3E">
        <w:t xml:space="preserve">The next section </w:t>
      </w:r>
      <w:r w:rsidR="00843813">
        <w:t xml:space="preserve">considers </w:t>
      </w:r>
      <w:r w:rsidR="00571A3E">
        <w:t xml:space="preserve">the </w:t>
      </w:r>
      <w:r w:rsidR="007E21D7">
        <w:lastRenderedPageBreak/>
        <w:t xml:space="preserve">policy trends leading up to the </w:t>
      </w:r>
      <w:r w:rsidR="004F228E">
        <w:t xml:space="preserve"> present</w:t>
      </w:r>
      <w:r w:rsidR="00B20C24">
        <w:t xml:space="preserve"> policy position</w:t>
      </w:r>
      <w:r w:rsidR="00302C4B">
        <w:t>,</w:t>
      </w:r>
      <w:r w:rsidR="007E21D7">
        <w:t xml:space="preserve"> the </w:t>
      </w:r>
      <w:r w:rsidR="001C5053">
        <w:t xml:space="preserve">urgent </w:t>
      </w:r>
      <w:r w:rsidR="004F228E">
        <w:t xml:space="preserve">need </w:t>
      </w:r>
      <w:r w:rsidR="00302C4B">
        <w:t xml:space="preserve">to </w:t>
      </w:r>
      <w:r w:rsidR="00417957">
        <w:t xml:space="preserve">tackle </w:t>
      </w:r>
      <w:r w:rsidR="00F21A46">
        <w:t>t</w:t>
      </w:r>
      <w:r w:rsidR="00990FB3">
        <w:t xml:space="preserve">he ‘bonfire for prejudices’ and </w:t>
      </w:r>
      <w:r w:rsidR="00302C4B">
        <w:t xml:space="preserve">craft a strategy </w:t>
      </w:r>
      <w:r w:rsidR="00B20C24">
        <w:t xml:space="preserve">to </w:t>
      </w:r>
      <w:r w:rsidR="00866012">
        <w:t xml:space="preserve">facilitate the </w:t>
      </w:r>
      <w:r w:rsidR="00302C4B">
        <w:t xml:space="preserve">strategic engagement of </w:t>
      </w:r>
      <w:r w:rsidR="00C769BA">
        <w:t xml:space="preserve">nurses </w:t>
      </w:r>
      <w:r w:rsidR="00302C4B">
        <w:t>in policy and decision-making</w:t>
      </w:r>
      <w:r w:rsidR="001C5053">
        <w:t xml:space="preserve"> </w:t>
      </w:r>
      <w:r w:rsidR="00866012">
        <w:t xml:space="preserve">for a better future in </w:t>
      </w:r>
      <w:r w:rsidR="001C5053">
        <w:t>healthcare.</w:t>
      </w:r>
    </w:p>
    <w:p w:rsidR="00AB508C" w:rsidRDefault="00AB508C" w:rsidP="00570F56">
      <w:pPr>
        <w:spacing w:line="480" w:lineRule="auto"/>
        <w:jc w:val="both"/>
        <w:rPr>
          <w:b/>
        </w:rPr>
      </w:pPr>
    </w:p>
    <w:p w:rsidR="00DC2CF5" w:rsidRPr="00570F56" w:rsidRDefault="00430EAF" w:rsidP="00570F56">
      <w:pPr>
        <w:spacing w:line="480" w:lineRule="auto"/>
        <w:jc w:val="both"/>
        <w:rPr>
          <w:b/>
        </w:rPr>
      </w:pPr>
      <w:r w:rsidRPr="00570F56">
        <w:rPr>
          <w:b/>
        </w:rPr>
        <w:t xml:space="preserve">Policy </w:t>
      </w:r>
      <w:r w:rsidR="00DC2CF5" w:rsidRPr="00570F56">
        <w:rPr>
          <w:b/>
        </w:rPr>
        <w:t xml:space="preserve">by </w:t>
      </w:r>
      <w:r w:rsidR="00C844AA">
        <w:rPr>
          <w:b/>
        </w:rPr>
        <w:t xml:space="preserve">drift </w:t>
      </w:r>
    </w:p>
    <w:p w:rsidR="00663313" w:rsidRDefault="00220C4F" w:rsidP="00570F56">
      <w:pPr>
        <w:spacing w:line="480" w:lineRule="auto"/>
        <w:jc w:val="both"/>
        <w:rPr>
          <w:rFonts w:eastAsiaTheme="minorEastAsia"/>
          <w:kern w:val="24"/>
        </w:rPr>
      </w:pPr>
      <w:r w:rsidRPr="00570F56">
        <w:t xml:space="preserve">The move towards </w:t>
      </w:r>
      <w:r w:rsidR="00193D2F">
        <w:t xml:space="preserve">university </w:t>
      </w:r>
      <w:r w:rsidRPr="00570F56">
        <w:t xml:space="preserve">status </w:t>
      </w:r>
      <w:r w:rsidR="00193D2F">
        <w:t xml:space="preserve">with degree entry into practice </w:t>
      </w:r>
      <w:r w:rsidRPr="00570F56">
        <w:t xml:space="preserve">was incremental, </w:t>
      </w:r>
      <w:r w:rsidR="00417957">
        <w:t xml:space="preserve">partly the </w:t>
      </w:r>
      <w:r w:rsidRPr="00570F56">
        <w:t>the product of professional advocacy  and the unintended consequence of the implementation of the Community Care Act 1986</w:t>
      </w:r>
      <w:r w:rsidR="00193D2F">
        <w:t xml:space="preserve">, </w:t>
      </w:r>
      <w:r w:rsidRPr="00570F56">
        <w:t xml:space="preserve">which moved nursing into higher education en masse, but at </w:t>
      </w:r>
      <w:r w:rsidR="00417957">
        <w:t>d</w:t>
      </w:r>
      <w:r w:rsidRPr="00570F56">
        <w:t xml:space="preserve">iploma level.  </w:t>
      </w:r>
      <w:r w:rsidR="00404C76">
        <w:t>E</w:t>
      </w:r>
      <w:r w:rsidRPr="00570F56">
        <w:t xml:space="preserve">vidence on </w:t>
      </w:r>
      <w:r w:rsidR="00BB648C" w:rsidRPr="00570F56">
        <w:t xml:space="preserve">how holding a bachelor’s degree </w:t>
      </w:r>
      <w:r w:rsidRPr="00570F56">
        <w:t xml:space="preserve">prepared nurses </w:t>
      </w:r>
      <w:r w:rsidR="00BB648C" w:rsidRPr="00570F56">
        <w:t>to better understand</w:t>
      </w:r>
      <w:r w:rsidRPr="00570F56">
        <w:t xml:space="preserve"> patient outcomes, </w:t>
      </w:r>
      <w:r w:rsidR="00BB648C" w:rsidRPr="00570F56">
        <w:t xml:space="preserve">and </w:t>
      </w:r>
      <w:r w:rsidRPr="00570F56">
        <w:t>specifically mortality</w:t>
      </w:r>
      <w:r w:rsidR="00BB648C" w:rsidRPr="00570F56">
        <w:t xml:space="preserve">, </w:t>
      </w:r>
      <w:r w:rsidRPr="00570F56">
        <w:t xml:space="preserve">began to emerge in the US in the early 2000s and has been added to since </w:t>
      </w:r>
      <w:r w:rsidR="00193D2F">
        <w:t xml:space="preserve">with comparative data from </w:t>
      </w:r>
      <w:r w:rsidRPr="00570F56">
        <w:t xml:space="preserve">across Europe </w:t>
      </w:r>
      <w:r w:rsidRPr="00167787">
        <w:rPr>
          <w:highlight w:val="green"/>
        </w:rPr>
        <w:t>(Aiken et al</w:t>
      </w:r>
      <w:r w:rsidR="00DD49C5" w:rsidRPr="00167787">
        <w:rPr>
          <w:highlight w:val="green"/>
        </w:rPr>
        <w:t>.,</w:t>
      </w:r>
      <w:r w:rsidRPr="00167787">
        <w:rPr>
          <w:highlight w:val="green"/>
        </w:rPr>
        <w:t xml:space="preserve"> 2014)</w:t>
      </w:r>
      <w:r w:rsidRPr="00570F56">
        <w:t xml:space="preserve"> </w:t>
      </w:r>
      <w:r w:rsidR="00C6154A">
        <w:t>Two factors within the control of nurse managers</w:t>
      </w:r>
      <w:r w:rsidR="00DC746E">
        <w:t xml:space="preserve">, planners and decision makers </w:t>
      </w:r>
      <w:r w:rsidR="0096555F">
        <w:t xml:space="preserve">are </w:t>
      </w:r>
      <w:r w:rsidR="00C6154A">
        <w:t xml:space="preserve">the basis </w:t>
      </w:r>
      <w:r w:rsidR="0096555F">
        <w:t xml:space="preserve">on which they make </w:t>
      </w:r>
      <w:r w:rsidR="00C6154A">
        <w:t>recruitment decisions and day-to-day management of clinical care</w:t>
      </w:r>
      <w:r w:rsidR="0096555F">
        <w:t>. Investment in educational capacity as reflected in degree status</w:t>
      </w:r>
      <w:r w:rsidR="00AB508C">
        <w:t xml:space="preserve"> by holding </w:t>
      </w:r>
      <w:r w:rsidR="0096555F">
        <w:t xml:space="preserve">a </w:t>
      </w:r>
      <w:r w:rsidR="00AB508C">
        <w:t xml:space="preserve">bachelors </w:t>
      </w:r>
      <w:r w:rsidR="0096555F">
        <w:t xml:space="preserve">degree and workload </w:t>
      </w:r>
      <w:r w:rsidR="00C6154A">
        <w:t>management</w:t>
      </w:r>
      <w:r w:rsidR="0096555F">
        <w:t xml:space="preserve"> </w:t>
      </w:r>
      <w:r w:rsidR="00E31F1E">
        <w:t xml:space="preserve">have been demonstrated to impact outcome and </w:t>
      </w:r>
      <w:r w:rsidR="0096555F">
        <w:t xml:space="preserve">together </w:t>
      </w:r>
      <w:r w:rsidR="00E31F1E">
        <w:t xml:space="preserve">to </w:t>
      </w:r>
      <w:r w:rsidR="006F7C4C">
        <w:t xml:space="preserve">yield </w:t>
      </w:r>
      <w:r w:rsidR="000E3066" w:rsidRPr="00570F56">
        <w:t xml:space="preserve">a double dividend </w:t>
      </w:r>
      <w:r w:rsidR="006F7C4C">
        <w:t xml:space="preserve">for </w:t>
      </w:r>
      <w:r w:rsidRPr="00570F56">
        <w:t xml:space="preserve">clinical and organisational </w:t>
      </w:r>
      <w:r w:rsidR="00085C73" w:rsidRPr="00570F56">
        <w:t xml:space="preserve">outcomes </w:t>
      </w:r>
      <w:r w:rsidR="00663313" w:rsidRPr="00570F56">
        <w:t>in terms of reducing mortality across a range of surgeries including aortic aneurysm repair, survival from cardiac arrest as well as readmissions. (</w:t>
      </w:r>
      <w:r w:rsidR="00DD49C5" w:rsidRPr="00570F56">
        <w:rPr>
          <w:highlight w:val="green"/>
        </w:rPr>
        <w:t xml:space="preserve">McHugh et al., </w:t>
      </w:r>
      <w:r w:rsidR="00663313" w:rsidRPr="00570F56">
        <w:rPr>
          <w:highlight w:val="green"/>
        </w:rPr>
        <w:t>2015</w:t>
      </w:r>
      <w:r w:rsidR="00663313" w:rsidRPr="00570F56">
        <w:t xml:space="preserve">). </w:t>
      </w:r>
      <w:r w:rsidR="00985B85">
        <w:t xml:space="preserve">In a recent EU funded study of nurse forecasting in </w:t>
      </w:r>
      <w:r w:rsidR="00945A7A">
        <w:t>12</w:t>
      </w:r>
      <w:r w:rsidR="00985B85">
        <w:t xml:space="preserve"> European countries (RN4Cast) d</w:t>
      </w:r>
      <w:r w:rsidR="00663313" w:rsidRPr="00570F56">
        <w:rPr>
          <w:rFonts w:eastAsiaTheme="majorEastAsia"/>
          <w:kern w:val="24"/>
        </w:rPr>
        <w:t xml:space="preserve">eaths </w:t>
      </w:r>
      <w:r w:rsidR="001F0F1B">
        <w:rPr>
          <w:rFonts w:eastAsiaTheme="majorEastAsia"/>
          <w:kern w:val="24"/>
        </w:rPr>
        <w:t>were</w:t>
      </w:r>
      <w:r w:rsidR="00663313" w:rsidRPr="00570F56">
        <w:rPr>
          <w:rFonts w:eastAsiaTheme="majorEastAsia"/>
          <w:kern w:val="24"/>
        </w:rPr>
        <w:t xml:space="preserve"> significantly lower in hospitals with more bachelor’s educated nurses and fewer patients per nurse </w:t>
      </w:r>
      <w:r w:rsidR="00350B0B" w:rsidRPr="00570F56">
        <w:rPr>
          <w:rFonts w:eastAsiaTheme="majorEastAsia"/>
          <w:kern w:val="24"/>
        </w:rPr>
        <w:t>(</w:t>
      </w:r>
      <w:r w:rsidR="000945B4" w:rsidRPr="00570F56">
        <w:rPr>
          <w:rFonts w:eastAsiaTheme="majorEastAsia"/>
          <w:kern w:val="24"/>
          <w:highlight w:val="green"/>
        </w:rPr>
        <w:t>Aiken et al.</w:t>
      </w:r>
      <w:r w:rsidR="00663313" w:rsidRPr="00570F56">
        <w:rPr>
          <w:rFonts w:eastAsiaTheme="majorEastAsia"/>
          <w:kern w:val="24"/>
          <w:highlight w:val="green"/>
        </w:rPr>
        <w:t>, 2014</w:t>
      </w:r>
      <w:r w:rsidR="00350B0B" w:rsidRPr="00570F56">
        <w:rPr>
          <w:rFonts w:eastAsiaTheme="majorEastAsia"/>
          <w:kern w:val="24"/>
          <w:highlight w:val="green"/>
        </w:rPr>
        <w:t>)</w:t>
      </w:r>
      <w:r w:rsidR="00335994" w:rsidRPr="00570F56">
        <w:rPr>
          <w:rFonts w:eastAsiaTheme="majorEastAsia"/>
          <w:kern w:val="24"/>
          <w:highlight w:val="green"/>
        </w:rPr>
        <w:t>.</w:t>
      </w:r>
      <w:r w:rsidR="00663313" w:rsidRPr="00570F56">
        <w:t xml:space="preserve"> </w:t>
      </w:r>
      <w:r w:rsidR="00663313" w:rsidRPr="00570F56">
        <w:rPr>
          <w:rFonts w:eastAsiaTheme="minorEastAsia"/>
          <w:kern w:val="24"/>
        </w:rPr>
        <w:t xml:space="preserve">Every </w:t>
      </w:r>
      <w:r w:rsidR="00335994" w:rsidRPr="00570F56">
        <w:rPr>
          <w:rFonts w:eastAsiaTheme="minorEastAsia"/>
          <w:kern w:val="24"/>
        </w:rPr>
        <w:t xml:space="preserve">one </w:t>
      </w:r>
      <w:r w:rsidR="00663313" w:rsidRPr="00570F56">
        <w:rPr>
          <w:rFonts w:eastAsiaTheme="minorEastAsia"/>
          <w:kern w:val="24"/>
        </w:rPr>
        <w:t xml:space="preserve">patient added to a nurse’s work load </w:t>
      </w:r>
      <w:r w:rsidR="001F0F1B">
        <w:rPr>
          <w:rFonts w:eastAsiaTheme="minorEastAsia"/>
          <w:kern w:val="24"/>
        </w:rPr>
        <w:t xml:space="preserve">was </w:t>
      </w:r>
      <w:r w:rsidR="00663313" w:rsidRPr="00570F56">
        <w:rPr>
          <w:rFonts w:eastAsiaTheme="minorEastAsia"/>
          <w:kern w:val="24"/>
        </w:rPr>
        <w:t xml:space="preserve">associated with a 7% increase in deaths after common surgery. Every 10% increase in bachelor’s educated nurses </w:t>
      </w:r>
      <w:r w:rsidR="00E10E3A">
        <w:rPr>
          <w:rFonts w:eastAsiaTheme="minorEastAsia"/>
          <w:kern w:val="24"/>
        </w:rPr>
        <w:t>was</w:t>
      </w:r>
      <w:r w:rsidR="00663313" w:rsidRPr="00570F56">
        <w:rPr>
          <w:rFonts w:eastAsiaTheme="minorEastAsia"/>
          <w:kern w:val="24"/>
        </w:rPr>
        <w:t xml:space="preserve"> associated with 7% lower mortality</w:t>
      </w:r>
      <w:r w:rsidR="00335994" w:rsidRPr="00570F56">
        <w:rPr>
          <w:rFonts w:eastAsiaTheme="minorEastAsia"/>
          <w:kern w:val="24"/>
        </w:rPr>
        <w:t xml:space="preserve">. </w:t>
      </w:r>
      <w:r w:rsidR="00663313" w:rsidRPr="00570F56">
        <w:rPr>
          <w:rFonts w:eastAsiaTheme="minorEastAsia"/>
          <w:kern w:val="24"/>
        </w:rPr>
        <w:t xml:space="preserve">If all hospitals in the </w:t>
      </w:r>
      <w:r w:rsidR="00CA08F9">
        <w:rPr>
          <w:rFonts w:eastAsiaTheme="minorEastAsia"/>
          <w:kern w:val="24"/>
        </w:rPr>
        <w:t>12</w:t>
      </w:r>
      <w:r w:rsidR="00663313" w:rsidRPr="00570F56">
        <w:rPr>
          <w:rFonts w:eastAsiaTheme="minorEastAsia"/>
          <w:kern w:val="24"/>
        </w:rPr>
        <w:t xml:space="preserve"> countries in our study had at least 60% bachelor’s nurses and nurse workloads of no more than 6 patients each, more than </w:t>
      </w:r>
      <w:r w:rsidR="00663313" w:rsidRPr="00570F56">
        <w:rPr>
          <w:rFonts w:eastAsiaTheme="minorEastAsia"/>
          <w:kern w:val="24"/>
          <w:u w:val="single"/>
        </w:rPr>
        <w:t xml:space="preserve">3500 deaths a year </w:t>
      </w:r>
      <w:r w:rsidR="00663313" w:rsidRPr="00570F56">
        <w:rPr>
          <w:rFonts w:eastAsiaTheme="minorEastAsia"/>
          <w:kern w:val="24"/>
        </w:rPr>
        <w:t>might be prevented</w:t>
      </w:r>
      <w:r w:rsidR="00D45D71">
        <w:rPr>
          <w:rFonts w:eastAsiaTheme="minorEastAsia"/>
          <w:kern w:val="24"/>
        </w:rPr>
        <w:t xml:space="preserve"> </w:t>
      </w:r>
      <w:r w:rsidR="00D45D71" w:rsidRPr="0097133F">
        <w:rPr>
          <w:rFonts w:eastAsiaTheme="minorEastAsia"/>
          <w:kern w:val="24"/>
          <w:highlight w:val="green"/>
        </w:rPr>
        <w:t>(Aiken et al 2014)</w:t>
      </w:r>
      <w:r w:rsidR="00663313" w:rsidRPr="00570F56">
        <w:rPr>
          <w:rFonts w:eastAsiaTheme="minorEastAsia"/>
          <w:kern w:val="24"/>
        </w:rPr>
        <w:t>.</w:t>
      </w:r>
    </w:p>
    <w:p w:rsidR="00BC131F" w:rsidRPr="00570F56" w:rsidRDefault="00BC131F" w:rsidP="00570F56">
      <w:pPr>
        <w:spacing w:line="480" w:lineRule="auto"/>
        <w:jc w:val="both"/>
        <w:rPr>
          <w:rFonts w:eastAsiaTheme="minorEastAsia"/>
          <w:kern w:val="24"/>
        </w:rPr>
      </w:pPr>
    </w:p>
    <w:p w:rsidR="008076FD" w:rsidRPr="00570F56" w:rsidRDefault="001D2BB8" w:rsidP="00570F56">
      <w:pPr>
        <w:spacing w:line="480" w:lineRule="auto"/>
        <w:jc w:val="both"/>
      </w:pPr>
      <w:r w:rsidRPr="00570F56">
        <w:t>G</w:t>
      </w:r>
      <w:r w:rsidR="00AC0C2C" w:rsidRPr="00570F56">
        <w:t xml:space="preserve">rowing the graduate base </w:t>
      </w:r>
      <w:r w:rsidR="001622D6" w:rsidRPr="00570F56">
        <w:t xml:space="preserve">with workload management has </w:t>
      </w:r>
      <w:r w:rsidR="00417957">
        <w:t xml:space="preserve">been shown to exert </w:t>
      </w:r>
      <w:r w:rsidR="001622D6" w:rsidRPr="00570F56">
        <w:t xml:space="preserve">a multiplier effect upon patient outcomes and </w:t>
      </w:r>
      <w:r w:rsidR="00CB17F2" w:rsidRPr="00570F56">
        <w:t xml:space="preserve">is vital to generating </w:t>
      </w:r>
      <w:r w:rsidR="00343ACA" w:rsidRPr="00570F56">
        <w:t xml:space="preserve">an infrastructure for </w:t>
      </w:r>
      <w:r w:rsidR="00CB17F2" w:rsidRPr="00570F56">
        <w:t>implementing evidence in practice</w:t>
      </w:r>
      <w:r w:rsidR="008319F4" w:rsidRPr="00570F56">
        <w:t xml:space="preserve"> and </w:t>
      </w:r>
      <w:r w:rsidR="00CB17F2" w:rsidRPr="00570F56">
        <w:t xml:space="preserve">ensuring that patients gain </w:t>
      </w:r>
      <w:r w:rsidR="00343ACA" w:rsidRPr="00570F56">
        <w:t xml:space="preserve">access to </w:t>
      </w:r>
      <w:r w:rsidR="00CB17F2" w:rsidRPr="00570F56">
        <w:t xml:space="preserve">effective interventions in a timely </w:t>
      </w:r>
      <w:r w:rsidR="00343ACA" w:rsidRPr="00570F56">
        <w:t>fashion.</w:t>
      </w:r>
      <w:r w:rsidR="00CB17F2" w:rsidRPr="00570F56">
        <w:t xml:space="preserve"> </w:t>
      </w:r>
      <w:r w:rsidR="00AB508C">
        <w:t>D</w:t>
      </w:r>
      <w:r w:rsidR="00E10E3A">
        <w:t xml:space="preserve">ata from the RN4Cast study indicate that </w:t>
      </w:r>
      <w:r w:rsidR="005E311E">
        <w:t xml:space="preserve">both in terms of the investment in bachelors prepared nurses and </w:t>
      </w:r>
      <w:r w:rsidR="002605E9">
        <w:t xml:space="preserve">workload </w:t>
      </w:r>
      <w:r w:rsidR="00283A8A" w:rsidRPr="00570F56">
        <w:t xml:space="preserve">the baseline position of nursing in England is in urgent need of improvement. </w:t>
      </w:r>
    </w:p>
    <w:p w:rsidR="00442F68" w:rsidRDefault="002605E9" w:rsidP="00570F56">
      <w:pPr>
        <w:spacing w:line="480" w:lineRule="auto"/>
        <w:jc w:val="both"/>
      </w:pPr>
      <w:r>
        <w:t xml:space="preserve">In terms of </w:t>
      </w:r>
      <w:r>
        <w:rPr>
          <w:rFonts w:eastAsiaTheme="majorEastAsia"/>
          <w:bCs/>
          <w:kern w:val="24"/>
        </w:rPr>
        <w:t>ho</w:t>
      </w:r>
      <w:r w:rsidR="00283A8A" w:rsidRPr="001B75EE">
        <w:rPr>
          <w:rFonts w:eastAsiaTheme="majorEastAsia"/>
          <w:bCs/>
          <w:kern w:val="24"/>
        </w:rPr>
        <w:t xml:space="preserve">spital </w:t>
      </w:r>
      <w:r>
        <w:rPr>
          <w:rFonts w:eastAsiaTheme="majorEastAsia"/>
          <w:bCs/>
          <w:kern w:val="24"/>
        </w:rPr>
        <w:t>r</w:t>
      </w:r>
      <w:r w:rsidR="00283A8A" w:rsidRPr="001B75EE">
        <w:rPr>
          <w:rFonts w:eastAsiaTheme="majorEastAsia"/>
          <w:bCs/>
          <w:kern w:val="24"/>
        </w:rPr>
        <w:t xml:space="preserve">ankings on </w:t>
      </w:r>
      <w:r>
        <w:rPr>
          <w:rFonts w:eastAsiaTheme="majorEastAsia"/>
          <w:bCs/>
          <w:kern w:val="24"/>
        </w:rPr>
        <w:t>n</w:t>
      </w:r>
      <w:r w:rsidR="00283A8A" w:rsidRPr="001B75EE">
        <w:rPr>
          <w:rFonts w:eastAsiaTheme="majorEastAsia"/>
          <w:bCs/>
          <w:kern w:val="24"/>
        </w:rPr>
        <w:t xml:space="preserve">ursing </w:t>
      </w:r>
      <w:r>
        <w:rPr>
          <w:rFonts w:eastAsiaTheme="majorEastAsia"/>
          <w:bCs/>
          <w:kern w:val="24"/>
        </w:rPr>
        <w:t>i</w:t>
      </w:r>
      <w:r w:rsidR="00283A8A" w:rsidRPr="001B75EE">
        <w:rPr>
          <w:rFonts w:eastAsiaTheme="majorEastAsia"/>
          <w:bCs/>
          <w:kern w:val="24"/>
        </w:rPr>
        <w:t>nvestments</w:t>
      </w:r>
      <w:r>
        <w:rPr>
          <w:rFonts w:eastAsiaTheme="majorEastAsia"/>
          <w:bCs/>
          <w:kern w:val="24"/>
        </w:rPr>
        <w:t xml:space="preserve"> in education and workload related </w:t>
      </w:r>
      <w:r w:rsidR="00F75A52">
        <w:rPr>
          <w:rFonts w:eastAsiaTheme="majorEastAsia"/>
          <w:bCs/>
          <w:kern w:val="24"/>
        </w:rPr>
        <w:t xml:space="preserve">practices </w:t>
      </w:r>
      <w:r w:rsidR="00283A8A" w:rsidRPr="001B75EE">
        <w:rPr>
          <w:rFonts w:eastAsiaTheme="majorEastAsia"/>
          <w:bCs/>
          <w:kern w:val="24"/>
        </w:rPr>
        <w:t xml:space="preserve">in </w:t>
      </w:r>
      <w:r>
        <w:rPr>
          <w:rFonts w:eastAsiaTheme="majorEastAsia"/>
          <w:bCs/>
          <w:kern w:val="24"/>
        </w:rPr>
        <w:t xml:space="preserve">our </w:t>
      </w:r>
      <w:r w:rsidR="00283A8A" w:rsidRPr="00570F56">
        <w:t xml:space="preserve">EU </w:t>
      </w:r>
      <w:r w:rsidR="005B0F94" w:rsidRPr="00570F56">
        <w:t>study</w:t>
      </w:r>
      <w:r>
        <w:t xml:space="preserve"> </w:t>
      </w:r>
      <w:r w:rsidR="00F75A52">
        <w:t xml:space="preserve">of </w:t>
      </w:r>
      <w:r w:rsidR="00CA08F9">
        <w:t>12</w:t>
      </w:r>
      <w:r w:rsidR="00F75A52">
        <w:t xml:space="preserve"> countries </w:t>
      </w:r>
      <w:r w:rsidR="00283A8A" w:rsidRPr="00570F56">
        <w:t xml:space="preserve">nurses in England </w:t>
      </w:r>
      <w:r w:rsidR="00306199" w:rsidRPr="00570F56">
        <w:t xml:space="preserve">ranked at the lower end in many categories: </w:t>
      </w:r>
      <w:r w:rsidR="00D5222A" w:rsidRPr="00570F56">
        <w:t>8</w:t>
      </w:r>
      <w:r w:rsidR="00D5222A" w:rsidRPr="00570F56">
        <w:rPr>
          <w:vertAlign w:val="superscript"/>
        </w:rPr>
        <w:t>th</w:t>
      </w:r>
      <w:r w:rsidR="00D5222A" w:rsidRPr="00570F56">
        <w:t xml:space="preserve"> in education level; </w:t>
      </w:r>
      <w:r w:rsidR="00283A8A" w:rsidRPr="00570F56">
        <w:t>7</w:t>
      </w:r>
      <w:r w:rsidR="00283A8A" w:rsidRPr="00570F56">
        <w:rPr>
          <w:vertAlign w:val="superscript"/>
        </w:rPr>
        <w:t>th</w:t>
      </w:r>
      <w:r w:rsidR="00283A8A" w:rsidRPr="00570F56">
        <w:t xml:space="preserve"> in terms of staffing and resource adequacy; 10</w:t>
      </w:r>
      <w:r w:rsidR="00283A8A" w:rsidRPr="00570F56">
        <w:rPr>
          <w:vertAlign w:val="superscript"/>
        </w:rPr>
        <w:t>th</w:t>
      </w:r>
      <w:r w:rsidR="00283A8A" w:rsidRPr="00570F56">
        <w:t xml:space="preserve"> in terms of skill mix; work environment quality; 11</w:t>
      </w:r>
      <w:r w:rsidR="00283A8A" w:rsidRPr="00570F56">
        <w:rPr>
          <w:vertAlign w:val="superscript"/>
        </w:rPr>
        <w:t>th</w:t>
      </w:r>
      <w:r w:rsidR="00283A8A" w:rsidRPr="00570F56">
        <w:t xml:space="preserve"> in terms of burnout  and high nurse intent to leave job</w:t>
      </w:r>
      <w:r w:rsidR="00306199" w:rsidRPr="00570F56">
        <w:t>, meaning they had</w:t>
      </w:r>
      <w:r w:rsidR="00283A8A" w:rsidRPr="00570F56">
        <w:t xml:space="preserve"> amongst the highest levels of burnout of nurses across the EU apart from Greece, Poland and Spain (</w:t>
      </w:r>
      <w:r w:rsidR="00BB2250" w:rsidRPr="00570F56">
        <w:rPr>
          <w:highlight w:val="green"/>
        </w:rPr>
        <w:t xml:space="preserve">Aiken et al., </w:t>
      </w:r>
      <w:r w:rsidR="00283A8A" w:rsidRPr="00570F56">
        <w:rPr>
          <w:highlight w:val="green"/>
        </w:rPr>
        <w:t>2012).</w:t>
      </w:r>
      <w:r w:rsidR="005C0BF6">
        <w:t xml:space="preserve"> Similary, c</w:t>
      </w:r>
      <w:r w:rsidR="00D42193" w:rsidRPr="00570F56">
        <w:t>ompared to its peers in other high income countries outside of Europe such as Canada, the US and Australia</w:t>
      </w:r>
      <w:r w:rsidR="00DD1649" w:rsidRPr="00570F56">
        <w:t>,</w:t>
      </w:r>
      <w:r w:rsidR="00D42193" w:rsidRPr="00570F56">
        <w:t xml:space="preserve"> England has been under-producing domestically trained nurses </w:t>
      </w:r>
      <w:r w:rsidR="005461D6" w:rsidRPr="00570F56">
        <w:t>f</w:t>
      </w:r>
      <w:r w:rsidR="00D42193" w:rsidRPr="00570F56">
        <w:t>or the past decade rel</w:t>
      </w:r>
      <w:r w:rsidR="007317C7">
        <w:t>ying</w:t>
      </w:r>
      <w:r w:rsidR="00D42193" w:rsidRPr="00570F56">
        <w:t xml:space="preserve"> instead on internationally recruited nurses, including an increasing proportion from the EU and agency nurses to fill skills gaps. Brexit threatens </w:t>
      </w:r>
      <w:r w:rsidR="00125274">
        <w:t xml:space="preserve">to </w:t>
      </w:r>
      <w:r w:rsidR="00D42193" w:rsidRPr="00570F56">
        <w:t xml:space="preserve">add further pressure to the EU as a source of recruitment </w:t>
      </w:r>
      <w:r w:rsidR="00125274">
        <w:t>f</w:t>
      </w:r>
      <w:r w:rsidR="00D42193" w:rsidRPr="00570F56">
        <w:t>or the nursing workforce (</w:t>
      </w:r>
      <w:r w:rsidR="00D42193" w:rsidRPr="00F13318">
        <w:rPr>
          <w:highlight w:val="green"/>
        </w:rPr>
        <w:t>Leone et al</w:t>
      </w:r>
      <w:r w:rsidR="00F13318" w:rsidRPr="00F13318">
        <w:rPr>
          <w:highlight w:val="green"/>
        </w:rPr>
        <w:t>.,</w:t>
      </w:r>
      <w:r w:rsidR="00D42193" w:rsidRPr="00F13318">
        <w:rPr>
          <w:highlight w:val="green"/>
        </w:rPr>
        <w:t xml:space="preserve"> 2015</w:t>
      </w:r>
      <w:r w:rsidR="00D42193" w:rsidRPr="00570F56">
        <w:t xml:space="preserve">). The UK has also </w:t>
      </w:r>
      <w:r w:rsidR="00B54568" w:rsidRPr="00570F56">
        <w:t xml:space="preserve">lagged behind </w:t>
      </w:r>
      <w:r w:rsidR="00D42193" w:rsidRPr="00570F56">
        <w:t xml:space="preserve">in terms of the OECD average in its recruitment profile according to the latest data in 2016 </w:t>
      </w:r>
      <w:r w:rsidR="00D42193" w:rsidRPr="00167787">
        <w:rPr>
          <w:highlight w:val="green"/>
        </w:rPr>
        <w:t>(OECD 2016)</w:t>
      </w:r>
      <w:r w:rsidR="00757257">
        <w:t>. T</w:t>
      </w:r>
      <w:r w:rsidR="00D42193" w:rsidRPr="00570F56">
        <w:t>he numbers of nurses has increased in nearly all OECD countries since 2000 from 8.3million to 10.8million in 2013</w:t>
      </w:r>
      <w:r w:rsidR="00D304F9" w:rsidRPr="00570F56">
        <w:t xml:space="preserve">.  </w:t>
      </w:r>
      <w:r w:rsidR="00D42193" w:rsidRPr="00570F56">
        <w:t>At a time when many of its peer countries such as Canada, the US and Australia have been investing in educating increasing numbers of nurses to meet demographic demand and disease burden</w:t>
      </w:r>
      <w:r w:rsidR="000C3843" w:rsidRPr="00570F56">
        <w:t xml:space="preserve">, </w:t>
      </w:r>
      <w:r w:rsidR="00D42193" w:rsidRPr="00570F56">
        <w:t xml:space="preserve">the UK has remained </w:t>
      </w:r>
      <w:r w:rsidR="00AE6297">
        <w:t xml:space="preserve">stubbornly </w:t>
      </w:r>
      <w:r w:rsidR="00D42193" w:rsidRPr="00570F56">
        <w:t xml:space="preserve">static, dipped or only made temporary adjustments to an unhealthy boom bust cycle of recruitment (HEE Figure 1). </w:t>
      </w:r>
    </w:p>
    <w:p w:rsidR="00BC131F" w:rsidRPr="00570F56" w:rsidRDefault="00BC131F" w:rsidP="00570F56">
      <w:pPr>
        <w:spacing w:line="480" w:lineRule="auto"/>
        <w:jc w:val="both"/>
      </w:pPr>
    </w:p>
    <w:p w:rsidR="002C253C" w:rsidRDefault="007170C0" w:rsidP="00570F56">
      <w:pPr>
        <w:spacing w:line="480" w:lineRule="auto"/>
        <w:jc w:val="both"/>
      </w:pPr>
      <w:r>
        <w:t xml:space="preserve">In times of austerity nursing has </w:t>
      </w:r>
      <w:r w:rsidR="00702C66">
        <w:t xml:space="preserve">tended to be </w:t>
      </w:r>
      <w:r w:rsidR="008A294A">
        <w:t xml:space="preserve">been used as a </w:t>
      </w:r>
      <w:r>
        <w:t>soft target’ for savings</w:t>
      </w:r>
      <w:r w:rsidR="00DB7743">
        <w:t xml:space="preserve"> by managers and decision makers</w:t>
      </w:r>
      <w:r>
        <w:t xml:space="preserve">. </w:t>
      </w:r>
      <w:r w:rsidR="00442F68" w:rsidRPr="00570F56">
        <w:t>The static position of nurse numbers over the past decade contrasts starkly with the position for doctors, whose numbers have been steadily climbing to meet growing demand and demographic pressures</w:t>
      </w:r>
      <w:r w:rsidR="000C3843" w:rsidRPr="00570F56">
        <w:t>, and with plans to recruit a further 1500 doctors for training</w:t>
      </w:r>
      <w:r w:rsidR="00442F68" w:rsidRPr="00570F56">
        <w:t xml:space="preserve">. </w:t>
      </w:r>
      <w:r w:rsidR="00442F68" w:rsidRPr="00976822">
        <w:rPr>
          <w:highlight w:val="yellow"/>
        </w:rPr>
        <w:t>(</w:t>
      </w:r>
      <w:r w:rsidR="009462C1" w:rsidRPr="00976822">
        <w:rPr>
          <w:highlight w:val="yellow"/>
        </w:rPr>
        <w:t>Buchan Seecombe and Charleworth 2016</w:t>
      </w:r>
      <w:r w:rsidR="00442F68" w:rsidRPr="00976822">
        <w:rPr>
          <w:highlight w:val="yellow"/>
        </w:rPr>
        <w:t>)</w:t>
      </w:r>
      <w:r w:rsidR="00442F68" w:rsidRPr="00570F56">
        <w:t>.</w:t>
      </w:r>
      <w:r w:rsidR="00577E44" w:rsidRPr="00570F56">
        <w:t xml:space="preserve"> </w:t>
      </w:r>
      <w:r w:rsidR="00442F68" w:rsidRPr="00570F56">
        <w:t>While more doctors may meet growing demand they also generate demand, whose toll falls mainly on nurses. The tax on nurses can be seen in burnout, vacancy, turnover, agency and temporary staffing rates in Trusts.</w:t>
      </w:r>
      <w:r w:rsidR="005B25BE" w:rsidRPr="00570F56">
        <w:t xml:space="preserve"> </w:t>
      </w:r>
      <w:r w:rsidR="00236E9B" w:rsidRPr="0063779E">
        <w:t>Last</w:t>
      </w:r>
      <w:r w:rsidR="005B25BE" w:rsidRPr="0063779E">
        <w:t xml:space="preserve"> year’s decision by the Migration Advisory Committee to place nursing on the Shortage Occupation List (SOL) in the UK </w:t>
      </w:r>
      <w:r w:rsidR="00FF1897">
        <w:t xml:space="preserve">was the </w:t>
      </w:r>
      <w:r w:rsidR="005B25BE" w:rsidRPr="0063779E">
        <w:t>culmination of years of poor workforce planning, pay restraint and weak decision making on staffing issues</w:t>
      </w:r>
      <w:r w:rsidR="00AE1802" w:rsidRPr="0063779E">
        <w:t xml:space="preserve"> (i</w:t>
      </w:r>
      <w:r w:rsidR="00FE0836" w:rsidRPr="0063779E">
        <w:t>n 2015</w:t>
      </w:r>
      <w:r w:rsidR="00AE1802" w:rsidRPr="0063779E">
        <w:t>-2016</w:t>
      </w:r>
      <w:r w:rsidR="00FE0836" w:rsidRPr="0063779E">
        <w:t xml:space="preserve"> t</w:t>
      </w:r>
      <w:r w:rsidR="005B25BE" w:rsidRPr="0063779E">
        <w:t>he vacancy rate</w:t>
      </w:r>
      <w:r w:rsidR="00236E9B" w:rsidRPr="0063779E">
        <w:t xml:space="preserve"> </w:t>
      </w:r>
      <w:r w:rsidR="00FE0836" w:rsidRPr="0063779E">
        <w:t xml:space="preserve">was </w:t>
      </w:r>
      <w:r w:rsidR="00236E9B" w:rsidRPr="0063779E">
        <w:t>10%</w:t>
      </w:r>
      <w:r w:rsidR="00AE1802" w:rsidRPr="0063779E">
        <w:t>)</w:t>
      </w:r>
      <w:r w:rsidR="00D82770">
        <w:t>.</w:t>
      </w:r>
      <w:r w:rsidR="00420580" w:rsidRPr="0063779E">
        <w:t xml:space="preserve">. The supply of nurses has failed to keep up with this rapid growth in demand. </w:t>
      </w:r>
      <w:r w:rsidR="00153E5E" w:rsidRPr="0063779E">
        <w:t>National Statistics</w:t>
      </w:r>
      <w:r w:rsidR="002C253C" w:rsidRPr="0063779E">
        <w:t xml:space="preserve"> data revealed that in the NHS in England and Wales, between 2013 and 2015, there had been a 50% increase in nursing vacancies (from 12,513 to 18,714). The data also show that nearly three-quarters of NHS trusts and health boards were actively trying to recruit from abroad.</w:t>
      </w:r>
      <w:r w:rsidR="00153E5E" w:rsidRPr="0063779E">
        <w:t xml:space="preserve"> </w:t>
      </w:r>
      <w:r w:rsidR="00153E5E" w:rsidRPr="00976822">
        <w:rPr>
          <w:highlight w:val="yellow"/>
        </w:rPr>
        <w:t>(O</w:t>
      </w:r>
      <w:r w:rsidR="00976822" w:rsidRPr="00976822">
        <w:rPr>
          <w:highlight w:val="yellow"/>
        </w:rPr>
        <w:t xml:space="preserve">ffice of </w:t>
      </w:r>
      <w:r w:rsidR="00153E5E" w:rsidRPr="00976822">
        <w:rPr>
          <w:highlight w:val="yellow"/>
        </w:rPr>
        <w:t>N</w:t>
      </w:r>
      <w:r w:rsidR="00976822" w:rsidRPr="00976822">
        <w:rPr>
          <w:highlight w:val="yellow"/>
        </w:rPr>
        <w:t xml:space="preserve">ational </w:t>
      </w:r>
      <w:r w:rsidR="00153E5E" w:rsidRPr="00976822">
        <w:rPr>
          <w:highlight w:val="yellow"/>
        </w:rPr>
        <w:t>S</w:t>
      </w:r>
      <w:r w:rsidR="00976822" w:rsidRPr="00976822">
        <w:rPr>
          <w:highlight w:val="yellow"/>
        </w:rPr>
        <w:t>tatistics</w:t>
      </w:r>
      <w:r w:rsidR="00153E5E" w:rsidRPr="00976822">
        <w:rPr>
          <w:highlight w:val="yellow"/>
        </w:rPr>
        <w:t xml:space="preserve"> 2016).</w:t>
      </w:r>
    </w:p>
    <w:p w:rsidR="00BC131F" w:rsidRPr="00570F56" w:rsidRDefault="00BC131F" w:rsidP="00570F56">
      <w:pPr>
        <w:spacing w:line="480" w:lineRule="auto"/>
        <w:jc w:val="both"/>
      </w:pPr>
    </w:p>
    <w:p w:rsidR="00D42193" w:rsidRDefault="00442F68" w:rsidP="00570F56">
      <w:pPr>
        <w:spacing w:line="480" w:lineRule="auto"/>
        <w:jc w:val="both"/>
      </w:pPr>
      <w:r w:rsidRPr="00570F56">
        <w:t xml:space="preserve">Not only does the mismatch signal a lack of a joined up, multi-professional approach to planning at national and local levels but the different value that is placed on doctors and nurses within the service. </w:t>
      </w:r>
      <w:r w:rsidR="006252F4" w:rsidRPr="00570F56">
        <w:t xml:space="preserve">Strategic failures in workforce planning over a protracted period of time have consequences for staff as well as patient experience and outcomes of care. </w:t>
      </w:r>
      <w:r w:rsidR="00420617" w:rsidRPr="00570F56">
        <w:t xml:space="preserve">Failure to </w:t>
      </w:r>
      <w:r w:rsidRPr="00570F56">
        <w:t xml:space="preserve">invest </w:t>
      </w:r>
      <w:r w:rsidR="00420617" w:rsidRPr="00570F56">
        <w:t xml:space="preserve">adequately </w:t>
      </w:r>
      <w:r w:rsidRPr="00570F56">
        <w:t xml:space="preserve">in the largest healthcare workforce is </w:t>
      </w:r>
      <w:r w:rsidR="00420617" w:rsidRPr="00570F56">
        <w:t xml:space="preserve">reflected in </w:t>
      </w:r>
      <w:r w:rsidRPr="00570F56">
        <w:t>variation</w:t>
      </w:r>
      <w:r w:rsidR="00C35719">
        <w:t>s</w:t>
      </w:r>
      <w:r w:rsidRPr="00570F56">
        <w:t xml:space="preserve"> in retention, turnover, staffing levels and vacancies and consequently care outcomes for patients</w:t>
      </w:r>
      <w:r w:rsidR="00420617" w:rsidRPr="00570F56">
        <w:t xml:space="preserve"> on a scale unseen in medicine.</w:t>
      </w:r>
      <w:r w:rsidR="000E347C" w:rsidRPr="00EB43D5">
        <w:rPr>
          <w:color w:val="333333"/>
          <w:shd w:val="clear" w:color="auto" w:fill="FFFFFF"/>
        </w:rPr>
        <w:t xml:space="preserve"> </w:t>
      </w:r>
      <w:r w:rsidR="000E347C" w:rsidRPr="00570F56">
        <w:rPr>
          <w:highlight w:val="yellow"/>
          <w:shd w:val="clear" w:color="auto" w:fill="FFFFFF"/>
        </w:rPr>
        <w:t>The figures show 96 per cent of acute hospitals failed to provide the planned number of registered nurses to cover day shifts in Octob</w:t>
      </w:r>
      <w:r w:rsidR="00153E5E" w:rsidRPr="00570F56">
        <w:rPr>
          <w:highlight w:val="yellow"/>
          <w:shd w:val="clear" w:color="auto" w:fill="FFFFFF"/>
        </w:rPr>
        <w:t>er 2016</w:t>
      </w:r>
      <w:r w:rsidR="00FF7D80" w:rsidRPr="00570F56">
        <w:rPr>
          <w:highlight w:val="yellow"/>
          <w:shd w:val="clear" w:color="auto" w:fill="FFFFFF"/>
        </w:rPr>
        <w:t xml:space="preserve"> (</w:t>
      </w:r>
      <w:r w:rsidR="00DC03F9" w:rsidRPr="00570F56">
        <w:rPr>
          <w:highlight w:val="green"/>
          <w:shd w:val="clear" w:color="auto" w:fill="FFFFFF"/>
        </w:rPr>
        <w:t>Lintern</w:t>
      </w:r>
      <w:r w:rsidR="00A57E71" w:rsidRPr="00570F56">
        <w:rPr>
          <w:highlight w:val="green"/>
          <w:shd w:val="clear" w:color="auto" w:fill="FFFFFF"/>
        </w:rPr>
        <w:t xml:space="preserve">, </w:t>
      </w:r>
      <w:r w:rsidR="00FF7D80" w:rsidRPr="00570F56">
        <w:rPr>
          <w:highlight w:val="green"/>
          <w:shd w:val="clear" w:color="auto" w:fill="FFFFFF"/>
        </w:rPr>
        <w:t>2017</w:t>
      </w:r>
      <w:r w:rsidR="00FF7D80" w:rsidRPr="00570F56">
        <w:rPr>
          <w:highlight w:val="yellow"/>
          <w:shd w:val="clear" w:color="auto" w:fill="FFFFFF"/>
        </w:rPr>
        <w:t>)</w:t>
      </w:r>
      <w:r w:rsidR="000E347C" w:rsidRPr="00570F56">
        <w:rPr>
          <w:highlight w:val="yellow"/>
          <w:shd w:val="clear" w:color="auto" w:fill="FFFFFF"/>
        </w:rPr>
        <w:t>.</w:t>
      </w:r>
      <w:r w:rsidR="00FF7D80" w:rsidRPr="00570F56">
        <w:rPr>
          <w:b/>
          <w:bCs/>
          <w:caps/>
          <w:shd w:val="clear" w:color="auto" w:fill="FFFFFF"/>
        </w:rPr>
        <w:t xml:space="preserve"> </w:t>
      </w:r>
      <w:r w:rsidRPr="00570F56">
        <w:t xml:space="preserve">It is </w:t>
      </w:r>
      <w:r w:rsidRPr="00570F56">
        <w:lastRenderedPageBreak/>
        <w:t xml:space="preserve">not only the position in acute care </w:t>
      </w:r>
      <w:r w:rsidR="006252F4" w:rsidRPr="00570F56">
        <w:t xml:space="preserve">setting which </w:t>
      </w:r>
      <w:r w:rsidRPr="00570F56">
        <w:t xml:space="preserve">gives cause for concern but nursing in the community </w:t>
      </w:r>
      <w:r w:rsidR="006252F4" w:rsidRPr="00570F56">
        <w:t xml:space="preserve">has </w:t>
      </w:r>
      <w:r w:rsidRPr="00570F56">
        <w:t>been allowed to deteriorate. Over the past 10 ye</w:t>
      </w:r>
      <w:r w:rsidR="00FF7D80" w:rsidRPr="00570F56">
        <w:t>ars the numbers of</w:t>
      </w:r>
      <w:r w:rsidRPr="00570F56">
        <w:t xml:space="preserve"> district nurses has dropped by 2</w:t>
      </w:r>
      <w:r w:rsidR="006252F4" w:rsidRPr="00570F56">
        <w:t>8</w:t>
      </w:r>
      <w:r w:rsidRPr="00570F56">
        <w:t xml:space="preserve">% </w:t>
      </w:r>
      <w:r w:rsidR="00D22A90" w:rsidRPr="00570F56">
        <w:t>to just under 6,000, while the wider community nurse workforce had shrunk by 8% to 36,000 (</w:t>
      </w:r>
      <w:r w:rsidR="00082625" w:rsidRPr="00570F56">
        <w:rPr>
          <w:highlight w:val="green"/>
        </w:rPr>
        <w:t>Maybin et al</w:t>
      </w:r>
      <w:r w:rsidR="00271AC7" w:rsidRPr="00570F56">
        <w:rPr>
          <w:highlight w:val="green"/>
        </w:rPr>
        <w:t xml:space="preserve">., </w:t>
      </w:r>
      <w:r w:rsidR="00D22A90" w:rsidRPr="00570F56">
        <w:rPr>
          <w:highlight w:val="green"/>
        </w:rPr>
        <w:t>2016</w:t>
      </w:r>
      <w:r w:rsidR="00A3247E" w:rsidRPr="00570F56">
        <w:rPr>
          <w:highlight w:val="green"/>
        </w:rPr>
        <w:t>)</w:t>
      </w:r>
      <w:r w:rsidR="00D22A90" w:rsidRPr="00570F56">
        <w:t xml:space="preserve"> </w:t>
      </w:r>
      <w:r w:rsidRPr="00570F56">
        <w:t xml:space="preserve">at a time </w:t>
      </w:r>
      <w:r w:rsidR="006252F4" w:rsidRPr="00570F56">
        <w:t xml:space="preserve">when the workforce is ageing and </w:t>
      </w:r>
      <w:r w:rsidRPr="00570F56">
        <w:t>the policy intent is to shift care into the community.</w:t>
      </w:r>
      <w:r w:rsidR="00820A7E" w:rsidRPr="00570F56">
        <w:t xml:space="preserve"> </w:t>
      </w:r>
    </w:p>
    <w:p w:rsidR="00E95141" w:rsidRPr="00570F56" w:rsidRDefault="00E95141" w:rsidP="00570F56">
      <w:pPr>
        <w:spacing w:line="480" w:lineRule="auto"/>
        <w:jc w:val="both"/>
      </w:pPr>
    </w:p>
    <w:p w:rsidR="002E6C3E" w:rsidRDefault="006B5F4D" w:rsidP="00570F56">
      <w:pPr>
        <w:spacing w:line="480" w:lineRule="auto"/>
        <w:jc w:val="both"/>
      </w:pPr>
      <w:r>
        <w:t xml:space="preserve">Policy has neither kept pace with growing demand nor been driven by the available evidence. Rather it has </w:t>
      </w:r>
      <w:r w:rsidR="001230F7">
        <w:t xml:space="preserve">been allowed to </w:t>
      </w:r>
      <w:r>
        <w:t>drift</w:t>
      </w:r>
      <w:r w:rsidR="001230F7">
        <w:t xml:space="preserve"> in a downward direction</w:t>
      </w:r>
      <w:r w:rsidR="0039523C">
        <w:t xml:space="preserve"> as finances have tightened.</w:t>
      </w:r>
      <w:r>
        <w:t xml:space="preserve"> Furthermore, one of the main policy levers </w:t>
      </w:r>
      <w:r w:rsidR="000074A8" w:rsidRPr="00570F56">
        <w:t>for recruitment</w:t>
      </w:r>
      <w:r w:rsidR="00F9291D" w:rsidRPr="00570F56">
        <w:t xml:space="preserve">, the </w:t>
      </w:r>
      <w:r w:rsidR="00583451">
        <w:t xml:space="preserve">bursary or </w:t>
      </w:r>
      <w:r w:rsidR="00F9291D" w:rsidRPr="00570F56">
        <w:t>state subsidy for nursing entrants</w:t>
      </w:r>
      <w:r w:rsidR="001A22B1" w:rsidRPr="00570F56">
        <w:t>,</w:t>
      </w:r>
      <w:r w:rsidR="00B54568" w:rsidRPr="00570F56">
        <w:t xml:space="preserve"> </w:t>
      </w:r>
      <w:r w:rsidR="000074A8" w:rsidRPr="00570F56">
        <w:t xml:space="preserve">has </w:t>
      </w:r>
      <w:r>
        <w:t xml:space="preserve">recently </w:t>
      </w:r>
      <w:r w:rsidR="000074A8" w:rsidRPr="00570F56">
        <w:t>been removed</w:t>
      </w:r>
      <w:r>
        <w:t xml:space="preserve"> by the government</w:t>
      </w:r>
      <w:r w:rsidR="00C35719">
        <w:t xml:space="preserve"> leaving recruitment to the fate of student loans</w:t>
      </w:r>
      <w:r>
        <w:t>.</w:t>
      </w:r>
      <w:r w:rsidR="000074A8" w:rsidRPr="00570F56">
        <w:t xml:space="preserve"> </w:t>
      </w:r>
      <w:r w:rsidR="00F9291D" w:rsidRPr="00570F56">
        <w:t xml:space="preserve">At the time of writing we have more than </w:t>
      </w:r>
      <w:r w:rsidR="00253421" w:rsidRPr="00570F56">
        <w:t xml:space="preserve">a </w:t>
      </w:r>
      <w:r w:rsidR="00F9291D" w:rsidRPr="00570F56">
        <w:t>20% drop in applications for nursing places</w:t>
      </w:r>
      <w:r w:rsidR="000074A8" w:rsidRPr="00570F56">
        <w:t xml:space="preserve"> at universities.</w:t>
      </w:r>
      <w:r w:rsidR="00046EF9" w:rsidRPr="00570F56">
        <w:t xml:space="preserve"> While there are proposals to create degree apprenticeships by the Higher Education Funding Council </w:t>
      </w:r>
      <w:r w:rsidR="00F47835">
        <w:t xml:space="preserve">for England (HEFCE) </w:t>
      </w:r>
      <w:r w:rsidR="00046EF9" w:rsidRPr="00570F56">
        <w:t xml:space="preserve">this is </w:t>
      </w:r>
      <w:r w:rsidR="006107E4" w:rsidRPr="00570F56">
        <w:t xml:space="preserve">as yet </w:t>
      </w:r>
      <w:r w:rsidR="00046EF9" w:rsidRPr="00570F56">
        <w:t xml:space="preserve">an unknown quantity. </w:t>
      </w:r>
      <w:r w:rsidR="002373CE" w:rsidRPr="00570F56">
        <w:t xml:space="preserve">Brexit threatens to exacerbate </w:t>
      </w:r>
      <w:r w:rsidR="003669A0" w:rsidRPr="00570F56">
        <w:t>th</w:t>
      </w:r>
      <w:r w:rsidR="001F4600">
        <w:t xml:space="preserve">e </w:t>
      </w:r>
      <w:r w:rsidR="002373CE" w:rsidRPr="00570F56">
        <w:t>situation</w:t>
      </w:r>
      <w:r w:rsidR="001F4600">
        <w:t xml:space="preserve"> further</w:t>
      </w:r>
      <w:r w:rsidR="002373CE" w:rsidRPr="00570F56">
        <w:t>. Recruitment shortages in 2010 were filled by nurses from the EU, upon which the UK has become increasingly reliant</w:t>
      </w:r>
      <w:r w:rsidR="00F96D52">
        <w:t>. Numbers of nurses from EU count</w:t>
      </w:r>
      <w:r w:rsidR="00D37319">
        <w:t xml:space="preserve">ries </w:t>
      </w:r>
      <w:r w:rsidR="00F96D52">
        <w:t xml:space="preserve">have dropped dramatically </w:t>
      </w:r>
      <w:r w:rsidR="001F4600">
        <w:t>i</w:t>
      </w:r>
      <w:r w:rsidR="00F96D52">
        <w:t>n the past year (Health Foundation 2016). Furthermore</w:t>
      </w:r>
      <w:r w:rsidR="00D37319">
        <w:t>,</w:t>
      </w:r>
      <w:r w:rsidR="00F96D52">
        <w:t xml:space="preserve"> c</w:t>
      </w:r>
      <w:r w:rsidR="002373CE" w:rsidRPr="00570F56">
        <w:t xml:space="preserve">uts to post qualification training </w:t>
      </w:r>
      <w:r w:rsidR="00D37319">
        <w:t xml:space="preserve">of up to 50% in some Trusts are likely to impact too on EU recruitment and retention of nurses more generally.  Continuing professional development opportunities </w:t>
      </w:r>
      <w:r w:rsidR="00CC1EA1">
        <w:t xml:space="preserve">is </w:t>
      </w:r>
      <w:r w:rsidR="002373CE" w:rsidRPr="00570F56">
        <w:t>a major incentive in the absence of such policies in countries such as Portugal, hit heavily</w:t>
      </w:r>
      <w:r w:rsidR="00780098">
        <w:t xml:space="preserve"> by austerity </w:t>
      </w:r>
      <w:r w:rsidR="00780098" w:rsidRPr="00C6232A">
        <w:rPr>
          <w:highlight w:val="yellow"/>
        </w:rPr>
        <w:t>(Leone et al, 201</w:t>
      </w:r>
      <w:r w:rsidR="00180EC8" w:rsidRPr="00C6232A">
        <w:rPr>
          <w:highlight w:val="yellow"/>
        </w:rPr>
        <w:t>5</w:t>
      </w:r>
      <w:r w:rsidR="002373CE" w:rsidRPr="00C6232A">
        <w:rPr>
          <w:highlight w:val="yellow"/>
        </w:rPr>
        <w:t>).</w:t>
      </w:r>
      <w:r w:rsidR="00175DD4" w:rsidRPr="00570F56">
        <w:t xml:space="preserve"> Add to this </w:t>
      </w:r>
      <w:r w:rsidR="001F4600">
        <w:t xml:space="preserve">scenario </w:t>
      </w:r>
      <w:r w:rsidR="00175DD4" w:rsidRPr="00570F56">
        <w:t>caps on funding agency and temporary staff</w:t>
      </w:r>
      <w:r w:rsidR="00C76998">
        <w:t xml:space="preserve"> and </w:t>
      </w:r>
      <w:r w:rsidR="00F9291D" w:rsidRPr="00570F56">
        <w:t xml:space="preserve">Cohen’s </w:t>
      </w:r>
      <w:r w:rsidR="00852783">
        <w:t>con</w:t>
      </w:r>
      <w:r w:rsidR="00FE03B7">
        <w:t>tention t</w:t>
      </w:r>
      <w:r w:rsidR="00F9291D" w:rsidRPr="00570F56">
        <w:t>hat nursing re</w:t>
      </w:r>
      <w:r w:rsidR="00852783">
        <w:t xml:space="preserve">flected </w:t>
      </w:r>
      <w:r w:rsidR="00F9291D" w:rsidRPr="00570F56">
        <w:t xml:space="preserve">the flaws in the planning system </w:t>
      </w:r>
      <w:r w:rsidR="00E5451F" w:rsidRPr="00570F56">
        <w:t xml:space="preserve">seems to be </w:t>
      </w:r>
      <w:r w:rsidR="001F4600">
        <w:t xml:space="preserve">compelling and </w:t>
      </w:r>
      <w:r w:rsidR="00CF041B" w:rsidRPr="00570F56">
        <w:t xml:space="preserve">starkly </w:t>
      </w:r>
      <w:r w:rsidR="00F9291D" w:rsidRPr="00570F56">
        <w:t xml:space="preserve">illustrated by the </w:t>
      </w:r>
      <w:r w:rsidR="00B54568" w:rsidRPr="00570F56">
        <w:t xml:space="preserve">strategic failures of </w:t>
      </w:r>
      <w:r w:rsidR="00F9291D" w:rsidRPr="00570F56">
        <w:t>workforce planning</w:t>
      </w:r>
      <w:r w:rsidR="00CF041B" w:rsidRPr="00570F56">
        <w:t xml:space="preserve"> </w:t>
      </w:r>
      <w:r w:rsidR="00C1165B">
        <w:t xml:space="preserve">described </w:t>
      </w:r>
      <w:r w:rsidR="00CC1EA1">
        <w:t xml:space="preserve">above. </w:t>
      </w:r>
      <w:r w:rsidR="00B54568" w:rsidRPr="00570F56">
        <w:t xml:space="preserve"> </w:t>
      </w:r>
    </w:p>
    <w:p w:rsidR="00BC131F" w:rsidRPr="00570F56" w:rsidRDefault="00BC131F" w:rsidP="00570F56">
      <w:pPr>
        <w:spacing w:line="480" w:lineRule="auto"/>
        <w:jc w:val="both"/>
      </w:pPr>
    </w:p>
    <w:p w:rsidR="00E95141" w:rsidRDefault="00E95141" w:rsidP="00570F56">
      <w:pPr>
        <w:spacing w:line="480" w:lineRule="auto"/>
        <w:jc w:val="both"/>
        <w:rPr>
          <w:b/>
        </w:rPr>
      </w:pPr>
    </w:p>
    <w:p w:rsidR="00E95141" w:rsidRDefault="00E95141" w:rsidP="00570F56">
      <w:pPr>
        <w:spacing w:line="480" w:lineRule="auto"/>
        <w:jc w:val="both"/>
        <w:rPr>
          <w:b/>
        </w:rPr>
      </w:pPr>
    </w:p>
    <w:p w:rsidR="00E52B5C" w:rsidRPr="00570F56" w:rsidRDefault="00CF4163" w:rsidP="00570F56">
      <w:pPr>
        <w:spacing w:line="480" w:lineRule="auto"/>
        <w:jc w:val="both"/>
        <w:rPr>
          <w:b/>
        </w:rPr>
      </w:pPr>
      <w:r w:rsidRPr="00570F56">
        <w:rPr>
          <w:b/>
        </w:rPr>
        <w:t>Policy by dilution</w:t>
      </w:r>
    </w:p>
    <w:p w:rsidR="00B01356" w:rsidRPr="00B01356" w:rsidRDefault="007F231F" w:rsidP="00B01356">
      <w:pPr>
        <w:spacing w:line="480" w:lineRule="auto"/>
        <w:jc w:val="both"/>
      </w:pPr>
      <w:r>
        <w:t>W</w:t>
      </w:r>
      <w:r w:rsidR="00E76583">
        <w:t xml:space="preserve">e </w:t>
      </w:r>
      <w:r>
        <w:t xml:space="preserve">have to ask ourselves how has ths been allowed to happen? </w:t>
      </w:r>
      <w:r w:rsidR="002548C3" w:rsidRPr="00744E81">
        <w:t>Maybin and Klein (2012)</w:t>
      </w:r>
      <w:r w:rsidR="002548C3" w:rsidRPr="00570F56">
        <w:t xml:space="preserve"> describe the different ways in which rationing healthcare can occur, one of which is dilution.</w:t>
      </w:r>
      <w:r w:rsidR="002548C3">
        <w:t xml:space="preserve"> </w:t>
      </w:r>
      <w:r w:rsidR="00FB29D0" w:rsidRPr="00570F56">
        <w:t xml:space="preserve">Dilution itself can take different forms. </w:t>
      </w:r>
      <w:r w:rsidR="00F754D1">
        <w:t>R</w:t>
      </w:r>
      <w:r w:rsidR="00B01356" w:rsidRPr="00B01356">
        <w:t>ationing by dilution refers to a situation where a service continues to be offered but its quality declines as cuts are made to staff numbers, equipment and so on. One of the consequences of understaffing is that care is compromised   (</w:t>
      </w:r>
      <w:r w:rsidR="00B01356" w:rsidRPr="00B01356">
        <w:rPr>
          <w:highlight w:val="green"/>
        </w:rPr>
        <w:t>Ausserhofer, et al., 2014; Ball et al., 2014</w:t>
      </w:r>
      <w:r w:rsidR="00B01356" w:rsidRPr="00B01356">
        <w:t>).  Lower staffing levels are associated with higher levels of care left undone, particularly the ‘human touch’ of comforting or talking with patients and educating patients and their family.  England was among the group with the highest levels of care left undone overall compared to other European countries, Switzerland, Belgium, Poland and Spain (</w:t>
      </w:r>
      <w:r w:rsidR="00B01356" w:rsidRPr="00B01356">
        <w:rPr>
          <w:highlight w:val="green"/>
        </w:rPr>
        <w:t>Aiken et al., 2013).</w:t>
      </w:r>
      <w:r w:rsidR="00B01356" w:rsidRPr="00B01356">
        <w:t xml:space="preserve"> </w:t>
      </w:r>
      <w:r w:rsidR="00B01356" w:rsidRPr="00B01356">
        <w:rPr>
          <w:shd w:val="clear" w:color="auto" w:fill="FFFFFF"/>
        </w:rPr>
        <w:t>Time-consuming activities, or psycho-social activities for which the required time-effort is difficult to estimate were more often omitted and seem to receive the lowest priorities.</w:t>
      </w:r>
      <w:r w:rsidR="00B01356" w:rsidRPr="00B01356">
        <w:t xml:space="preserve"> </w:t>
      </w:r>
      <w:r w:rsidR="00B01356" w:rsidRPr="00B01356">
        <w:rPr>
          <w:shd w:val="clear" w:color="auto" w:fill="FFFFFF"/>
        </w:rPr>
        <w:t>According to Ball et al (2014) </w:t>
      </w:r>
      <w:r w:rsidR="00006FCF">
        <w:rPr>
          <w:shd w:val="clear" w:color="auto" w:fill="FFFFFF"/>
        </w:rPr>
        <w:t>78%</w:t>
      </w:r>
      <w:r w:rsidR="00B01356" w:rsidRPr="00B01356">
        <w:rPr>
          <w:shd w:val="clear" w:color="auto" w:fill="FFFFFF"/>
        </w:rPr>
        <w:t xml:space="preserve"> of those in the best staffed environments (with 6.13 patient or fewer per RN) reported some care was missed on their last shift, compared with 90% of those with lower staffing levels (7.4 patients or more per RN).</w:t>
      </w:r>
      <w:r w:rsidR="00B01356" w:rsidRPr="00B01356">
        <w:t xml:space="preserve"> </w:t>
      </w:r>
      <w:r w:rsidR="00B01356" w:rsidRPr="00B01356">
        <w:rPr>
          <w:shd w:val="clear" w:color="auto" w:fill="FFFFFF"/>
        </w:rPr>
        <w:t xml:space="preserve">RN staffing level was significantly associated with missed care for 8 of the 13 care activities. The effect of staffing was strongest for ‘adequate patient surveillance’, ‘adequately documenting nursing care’ and ‘comforting/talking with patients’ </w:t>
      </w:r>
      <w:r w:rsidR="00B01356" w:rsidRPr="0097133F">
        <w:rPr>
          <w:highlight w:val="green"/>
          <w:shd w:val="clear" w:color="auto" w:fill="FFFFFF"/>
        </w:rPr>
        <w:t>(Ball et al 2014).</w:t>
      </w:r>
      <w:r w:rsidR="00B01356" w:rsidRPr="00B01356">
        <w:rPr>
          <w:shd w:val="clear" w:color="auto" w:fill="FFFFFF"/>
        </w:rPr>
        <w:t xml:space="preserve"> The study found a strong relationship between the number of items of missed care and nurses’ perception of quality of nursing care. </w:t>
      </w:r>
      <w:r w:rsidR="00B01356" w:rsidRPr="00B01356">
        <w:t xml:space="preserve">This is essential not only for the quality and safety of care but the resilience and sustainability of the health system. As the </w:t>
      </w:r>
      <w:r w:rsidR="00E324F6">
        <w:t xml:space="preserve">so-called </w:t>
      </w:r>
      <w:r w:rsidR="00B01356" w:rsidRPr="00B01356">
        <w:t xml:space="preserve">Swiss army knife of the NHS many other workers rely upon nurses in order to operate effectively themselves. The Royal College of Physicians remarked upon the consequence of understaffing for medical work. The survey of doctors-in-training demonstrated that nursing </w:t>
      </w:r>
      <w:r w:rsidR="00B01356" w:rsidRPr="00B01356">
        <w:lastRenderedPageBreak/>
        <w:t>shortages take their toll on both the workload of doctors and on patient care; nearly all trainees (96%) report that gaps in nursing rotas are having a negative impact on patient safety in their hospital (</w:t>
      </w:r>
      <w:r w:rsidR="00B01356" w:rsidRPr="00B01356">
        <w:rPr>
          <w:highlight w:val="green"/>
        </w:rPr>
        <w:t>Royal College of Physicians, 2016).</w:t>
      </w:r>
      <w:r w:rsidR="00B01356" w:rsidRPr="00B01356">
        <w:t xml:space="preserve"> The nursing function cannot perform at its most efficient if there are too few staff to provide needed care.</w:t>
      </w:r>
    </w:p>
    <w:p w:rsidR="002D21CF" w:rsidRDefault="002D21CF" w:rsidP="00570F56">
      <w:pPr>
        <w:spacing w:line="480" w:lineRule="auto"/>
        <w:jc w:val="both"/>
      </w:pPr>
    </w:p>
    <w:p w:rsidR="000B1B82" w:rsidRDefault="00FB29D0" w:rsidP="00570F56">
      <w:pPr>
        <w:spacing w:line="480" w:lineRule="auto"/>
        <w:jc w:val="both"/>
      </w:pPr>
      <w:r w:rsidRPr="00570F56">
        <w:t>It is not just dilution of qualified staff numbers but of skill mix</w:t>
      </w:r>
      <w:r w:rsidR="002D21CF">
        <w:t xml:space="preserve"> which matters</w:t>
      </w:r>
      <w:r w:rsidRPr="00570F56">
        <w:t xml:space="preserve">. For the first time since 1943 the NHS in England is poised to implement a second grade of nursing associate to plug the skills gap in the shortage of RNs </w:t>
      </w:r>
      <w:r w:rsidR="000B4084">
        <w:t xml:space="preserve">. This decision </w:t>
      </w:r>
      <w:r w:rsidRPr="00570F56">
        <w:t>e</w:t>
      </w:r>
      <w:r w:rsidR="000B4084">
        <w:t>ffectively rever</w:t>
      </w:r>
      <w:r w:rsidRPr="00570F56">
        <w:t xml:space="preserve">ses a policy in the 1980s to eliminate the enrolled nurse, the </w:t>
      </w:r>
      <w:r>
        <w:t xml:space="preserve">antecedent </w:t>
      </w:r>
      <w:r w:rsidRPr="00570F56">
        <w:t xml:space="preserve">to the nursing associate, which was introduced during WW2 to deal with the acute shortage of RNs during the wartime emergency.  The enrolled nurse was phased out on the grounds that this was an exploited role with poor career prospects. Incumbents were absorbed by conversion courses into the RN workforce in what was a silent but successful policy achievement in </w:t>
      </w:r>
      <w:r>
        <w:t xml:space="preserve">assimilating and </w:t>
      </w:r>
      <w:r w:rsidRPr="00570F56">
        <w:t>upgrading the workforce</w:t>
      </w:r>
      <w:r w:rsidR="00DA611F">
        <w:t xml:space="preserve"> </w:t>
      </w:r>
      <w:r>
        <w:t>a nursing associate second level</w:t>
      </w:r>
      <w:r w:rsidR="000B4084">
        <w:t xml:space="preserve">. </w:t>
      </w:r>
      <w:r w:rsidR="00841C2D" w:rsidRPr="00570F56">
        <w:t>At the time of writing the nursing associate role is being piloted</w:t>
      </w:r>
      <w:r w:rsidR="00DC55DC" w:rsidRPr="00570F56">
        <w:t>,</w:t>
      </w:r>
      <w:r w:rsidR="00841C2D" w:rsidRPr="00570F56">
        <w:t xml:space="preserve"> evaluated</w:t>
      </w:r>
      <w:r w:rsidR="00DC55DC" w:rsidRPr="00570F56">
        <w:t xml:space="preserve"> and a consultation launched</w:t>
      </w:r>
      <w:r w:rsidR="00841C2D" w:rsidRPr="00570F56">
        <w:t xml:space="preserve">. </w:t>
      </w:r>
      <w:r w:rsidR="00AD03A9" w:rsidRPr="00570F56">
        <w:t>It is worth noting that our</w:t>
      </w:r>
      <w:r w:rsidR="00E52B5C" w:rsidRPr="00570F56">
        <w:t xml:space="preserve"> track record </w:t>
      </w:r>
      <w:r w:rsidR="00AD03A9" w:rsidRPr="00570F56">
        <w:t xml:space="preserve">of </w:t>
      </w:r>
      <w:r w:rsidR="00E52B5C" w:rsidRPr="00570F56">
        <w:t xml:space="preserve">adding new workers into the skill mix is </w:t>
      </w:r>
      <w:r w:rsidR="0032456B">
        <w:t>poor.</w:t>
      </w:r>
      <w:r w:rsidR="00AD03A9" w:rsidRPr="00570F56">
        <w:t xml:space="preserve"> A</w:t>
      </w:r>
      <w:r w:rsidR="00E52B5C" w:rsidRPr="00570F56">
        <w:t>ssistant practitioners and physician assistants have limited progression opportunities</w:t>
      </w:r>
      <w:r w:rsidR="00D779E5" w:rsidRPr="00570F56">
        <w:t xml:space="preserve"> and though nursing associates may </w:t>
      </w:r>
      <w:r w:rsidR="00841C2D" w:rsidRPr="00570F56">
        <w:t xml:space="preserve">be able to transition into degree courses there is the danger </w:t>
      </w:r>
      <w:r w:rsidR="00D779E5" w:rsidRPr="00570F56">
        <w:t xml:space="preserve">that they </w:t>
      </w:r>
      <w:r w:rsidR="00DE5F91" w:rsidRPr="00570F56">
        <w:t xml:space="preserve">will </w:t>
      </w:r>
      <w:r w:rsidR="00D779E5" w:rsidRPr="00570F56">
        <w:t>become the default grade in the longer term</w:t>
      </w:r>
      <w:r w:rsidR="00841C2D" w:rsidRPr="00570F56">
        <w:t>,</w:t>
      </w:r>
      <w:r w:rsidR="00D779E5" w:rsidRPr="00570F56">
        <w:t xml:space="preserve"> diverting energy from </w:t>
      </w:r>
      <w:r w:rsidR="00A61A5D">
        <w:t xml:space="preserve">using the evidence to </w:t>
      </w:r>
      <w:r w:rsidR="00D779E5" w:rsidRPr="00570F56">
        <w:t xml:space="preserve">build </w:t>
      </w:r>
      <w:r w:rsidR="005074AA" w:rsidRPr="00570F56">
        <w:t xml:space="preserve">quality </w:t>
      </w:r>
      <w:r w:rsidR="000C3DCE" w:rsidRPr="00570F56">
        <w:t>in the RN qualified workforce. T</w:t>
      </w:r>
      <w:r w:rsidR="00624DBA" w:rsidRPr="00570F56">
        <w:t xml:space="preserve">he policy </w:t>
      </w:r>
      <w:r w:rsidR="000C3DCE" w:rsidRPr="00570F56">
        <w:t xml:space="preserve">is also </w:t>
      </w:r>
      <w:r w:rsidR="00BA47AC" w:rsidRPr="00570F56">
        <w:t xml:space="preserve">based </w:t>
      </w:r>
      <w:r w:rsidR="00624DBA" w:rsidRPr="00570F56">
        <w:t>on</w:t>
      </w:r>
      <w:r w:rsidR="00A61A5D">
        <w:t xml:space="preserve"> flawed</w:t>
      </w:r>
      <w:r w:rsidR="00BA47AC" w:rsidRPr="00570F56">
        <w:t xml:space="preserve"> </w:t>
      </w:r>
      <w:r w:rsidR="00624DBA" w:rsidRPr="00570F56">
        <w:t>foundations</w:t>
      </w:r>
      <w:r w:rsidR="00BA47AC" w:rsidRPr="00570F56">
        <w:t xml:space="preserve"> </w:t>
      </w:r>
      <w:r w:rsidR="00A61A5D">
        <w:t xml:space="preserve">which </w:t>
      </w:r>
      <w:r w:rsidR="00624DBA" w:rsidRPr="00570F56">
        <w:t>ignor</w:t>
      </w:r>
      <w:r w:rsidR="00BA47AC" w:rsidRPr="00570F56">
        <w:t xml:space="preserve">e </w:t>
      </w:r>
      <w:r w:rsidR="00624DBA" w:rsidRPr="00570F56">
        <w:t xml:space="preserve">the available evidence </w:t>
      </w:r>
      <w:r w:rsidR="00A61A5D">
        <w:t xml:space="preserve">on the risks of </w:t>
      </w:r>
      <w:r w:rsidR="00624DBA" w:rsidRPr="00570F56">
        <w:t xml:space="preserve">diluting skill mix </w:t>
      </w:r>
      <w:r w:rsidR="00FC3E1D">
        <w:t xml:space="preserve">which are </w:t>
      </w:r>
      <w:r w:rsidR="00624DBA" w:rsidRPr="00570F56">
        <w:t>associated with higher mortality for patients (</w:t>
      </w:r>
      <w:r w:rsidR="00624DBA" w:rsidRPr="00570F56">
        <w:rPr>
          <w:highlight w:val="green"/>
        </w:rPr>
        <w:t>Griffiths et al</w:t>
      </w:r>
      <w:r w:rsidR="006875F6" w:rsidRPr="00570F56">
        <w:rPr>
          <w:highlight w:val="green"/>
        </w:rPr>
        <w:t>.</w:t>
      </w:r>
      <w:r w:rsidR="00624DBA" w:rsidRPr="00570F56">
        <w:rPr>
          <w:highlight w:val="green"/>
        </w:rPr>
        <w:t>, 2016).</w:t>
      </w:r>
      <w:r w:rsidR="00D779E5" w:rsidRPr="00570F56">
        <w:t xml:space="preserve"> </w:t>
      </w:r>
    </w:p>
    <w:p w:rsidR="00BC131F" w:rsidRPr="00570F56" w:rsidRDefault="00BC131F" w:rsidP="00570F56">
      <w:pPr>
        <w:spacing w:line="480" w:lineRule="auto"/>
        <w:jc w:val="both"/>
      </w:pPr>
    </w:p>
    <w:p w:rsidR="001061F2" w:rsidRPr="00570F56" w:rsidRDefault="00FF3DB2" w:rsidP="00570F56">
      <w:pPr>
        <w:spacing w:line="480" w:lineRule="auto"/>
        <w:jc w:val="both"/>
      </w:pPr>
      <w:r w:rsidRPr="00570F56">
        <w:t xml:space="preserve">So far </w:t>
      </w:r>
      <w:r w:rsidR="00E52B5C" w:rsidRPr="00570F56">
        <w:t xml:space="preserve">England is alone </w:t>
      </w:r>
      <w:r w:rsidR="001B4D82" w:rsidRPr="00570F56">
        <w:t xml:space="preserve">of the devolved administrations </w:t>
      </w:r>
      <w:r w:rsidR="00E52B5C" w:rsidRPr="00570F56">
        <w:t xml:space="preserve">in taking </w:t>
      </w:r>
      <w:r w:rsidR="001B4D82" w:rsidRPr="00570F56">
        <w:t>this step to solve the shortage</w:t>
      </w:r>
      <w:r w:rsidR="00A56C63" w:rsidRPr="00570F56">
        <w:t xml:space="preserve">, with </w:t>
      </w:r>
      <w:r w:rsidR="00E52B5C" w:rsidRPr="00570F56">
        <w:t xml:space="preserve">Scotland, Wales and Northern Ireland </w:t>
      </w:r>
      <w:r w:rsidR="00A56C63" w:rsidRPr="00570F56">
        <w:t>preferring</w:t>
      </w:r>
      <w:r w:rsidR="00283FBA" w:rsidRPr="00570F56">
        <w:t xml:space="preserve"> to concentrate on </w:t>
      </w:r>
      <w:r w:rsidR="000B1B82" w:rsidRPr="00570F56">
        <w:t xml:space="preserve">building a </w:t>
      </w:r>
      <w:r w:rsidR="00E52B5C" w:rsidRPr="00570F56">
        <w:lastRenderedPageBreak/>
        <w:t>graduate p</w:t>
      </w:r>
      <w:r w:rsidR="00697FB7">
        <w:t>athway and c</w:t>
      </w:r>
      <w:r w:rsidR="001061F2" w:rsidRPr="00570F56">
        <w:t>areer structure</w:t>
      </w:r>
      <w:r w:rsidR="00697FB7">
        <w:t xml:space="preserve">. </w:t>
      </w:r>
      <w:r w:rsidR="00B56148" w:rsidRPr="00570F56">
        <w:t>At present, the s</w:t>
      </w:r>
      <w:r w:rsidR="001061F2" w:rsidRPr="00570F56">
        <w:t>hape of the career structure for nurses is heavily concentrated in lower grades, band 5 and 6</w:t>
      </w:r>
      <w:r w:rsidR="00A15BEF" w:rsidRPr="00570F56">
        <w:t>,</w:t>
      </w:r>
      <w:r w:rsidR="001061F2" w:rsidRPr="00570F56">
        <w:t xml:space="preserve"> with only a </w:t>
      </w:r>
      <w:r w:rsidR="00A15BEF" w:rsidRPr="00570F56">
        <w:t xml:space="preserve">narrow </w:t>
      </w:r>
      <w:r w:rsidR="001061F2" w:rsidRPr="00570F56">
        <w:t xml:space="preserve">canal of advanced and senior roles. In the current environment there are too few prospects for promotion to senior grades, which </w:t>
      </w:r>
      <w:r w:rsidR="00756C9C" w:rsidRPr="00570F56">
        <w:t xml:space="preserve">is not only demotivating for those in the system but </w:t>
      </w:r>
      <w:r w:rsidR="00B21FC0">
        <w:t xml:space="preserve">for </w:t>
      </w:r>
      <w:r w:rsidR="001061F2" w:rsidRPr="00570F56">
        <w:t xml:space="preserve">the next generation </w:t>
      </w:r>
      <w:r w:rsidR="00851254" w:rsidRPr="00570F56">
        <w:t xml:space="preserve">seeking opportunities and looking ahead. </w:t>
      </w:r>
      <w:r w:rsidR="001061F2" w:rsidRPr="00570F56">
        <w:t xml:space="preserve">It is clear that </w:t>
      </w:r>
      <w:r w:rsidR="00DA611F">
        <w:t>there is a</w:t>
      </w:r>
      <w:r w:rsidR="001061F2" w:rsidRPr="00570F56">
        <w:t xml:space="preserve"> need to produce and promote advanced practice nurses to meet growing demand for </w:t>
      </w:r>
      <w:r w:rsidR="00B21FC0">
        <w:t>long term conditions</w:t>
      </w:r>
      <w:r w:rsidR="00891C1B">
        <w:t xml:space="preserve"> (Rafferty and Xyrichis 2015)</w:t>
      </w:r>
      <w:r w:rsidR="00B21FC0">
        <w:t xml:space="preserve">. </w:t>
      </w:r>
      <w:r w:rsidR="001061F2" w:rsidRPr="00570F56">
        <w:t xml:space="preserve">Advanced practice nurses </w:t>
      </w:r>
      <w:r w:rsidR="00851254" w:rsidRPr="00570F56">
        <w:t xml:space="preserve">have also proven </w:t>
      </w:r>
      <w:r w:rsidR="001061F2" w:rsidRPr="00570F56">
        <w:t>effective substitute</w:t>
      </w:r>
      <w:r w:rsidR="00851254" w:rsidRPr="00570F56">
        <w:t>s</w:t>
      </w:r>
      <w:r w:rsidR="001061F2" w:rsidRPr="00570F56">
        <w:t xml:space="preserve"> for doctors in taking on certain routine tasks and investigations such as endoscopy achieving comparable and in some cases better results. </w:t>
      </w:r>
      <w:r w:rsidR="00A15BEF" w:rsidRPr="00A01579">
        <w:rPr>
          <w:highlight w:val="green"/>
        </w:rPr>
        <w:t>(</w:t>
      </w:r>
      <w:r w:rsidR="00777799" w:rsidRPr="00A01579">
        <w:rPr>
          <w:color w:val="333333"/>
          <w:highlight w:val="green"/>
          <w:shd w:val="clear" w:color="auto" w:fill="FFFFFF"/>
        </w:rPr>
        <w:t>Limoges-Gonzalez M.</w:t>
      </w:r>
      <w:r w:rsidR="00D0604F" w:rsidRPr="00A01579">
        <w:rPr>
          <w:color w:val="333333"/>
          <w:highlight w:val="green"/>
          <w:shd w:val="clear" w:color="auto" w:fill="FFFFFF"/>
        </w:rPr>
        <w:t xml:space="preserve"> et al</w:t>
      </w:r>
      <w:r w:rsidR="00A01579" w:rsidRPr="00A01579">
        <w:rPr>
          <w:color w:val="333333"/>
          <w:highlight w:val="green"/>
          <w:shd w:val="clear" w:color="auto" w:fill="FFFFFF"/>
        </w:rPr>
        <w:t>.</w:t>
      </w:r>
      <w:r w:rsidR="00D0604F" w:rsidRPr="00A01579">
        <w:rPr>
          <w:color w:val="333333"/>
          <w:highlight w:val="green"/>
          <w:shd w:val="clear" w:color="auto" w:fill="FFFFFF"/>
        </w:rPr>
        <w:t xml:space="preserve">, </w:t>
      </w:r>
      <w:r w:rsidR="00777799" w:rsidRPr="00A01579">
        <w:rPr>
          <w:color w:val="333333"/>
          <w:highlight w:val="green"/>
          <w:shd w:val="clear" w:color="auto" w:fill="FFFFFF"/>
        </w:rPr>
        <w:t>2011)</w:t>
      </w:r>
      <w:r w:rsidR="00067A22" w:rsidRPr="00A01579">
        <w:rPr>
          <w:color w:val="333333"/>
          <w:highlight w:val="green"/>
          <w:shd w:val="clear" w:color="auto" w:fill="FFFFFF"/>
        </w:rPr>
        <w:t>.</w:t>
      </w:r>
      <w:r w:rsidR="00A15BEF" w:rsidRPr="00570F56">
        <w:t xml:space="preserve"> </w:t>
      </w:r>
      <w:r w:rsidR="001061F2" w:rsidRPr="00570F56">
        <w:t xml:space="preserve">Senior nurses provide an essential leadership function </w:t>
      </w:r>
      <w:r w:rsidR="00851254" w:rsidRPr="00570F56">
        <w:t xml:space="preserve">and role models for more junior staff </w:t>
      </w:r>
      <w:r w:rsidR="001061F2" w:rsidRPr="00570F56">
        <w:t xml:space="preserve">in nursing as well as </w:t>
      </w:r>
      <w:r w:rsidR="00851254" w:rsidRPr="00570F56">
        <w:t>strategic and operational suppor</w:t>
      </w:r>
      <w:r w:rsidR="006C7763">
        <w:t xml:space="preserve">t for healthcare organisations. </w:t>
      </w:r>
      <w:r w:rsidR="00E95141">
        <w:t xml:space="preserve">There is a need </w:t>
      </w:r>
      <w:r w:rsidR="001061F2" w:rsidRPr="00570F56">
        <w:t xml:space="preserve">to grow this cadre of nurses. Inadequate investment in producing our own nurses </w:t>
      </w:r>
      <w:r w:rsidR="00327889">
        <w:t xml:space="preserve">has </w:t>
      </w:r>
      <w:r w:rsidR="001061F2" w:rsidRPr="00570F56">
        <w:t>force</w:t>
      </w:r>
      <w:r w:rsidR="00327889">
        <w:t>d</w:t>
      </w:r>
      <w:r w:rsidR="001061F2" w:rsidRPr="00570F56">
        <w:t xml:space="preserve"> us into the vicious circle of falling back on internationally recruited nurses and agency</w:t>
      </w:r>
      <w:r w:rsidR="00A15BEF" w:rsidRPr="00570F56">
        <w:t xml:space="preserve">, </w:t>
      </w:r>
      <w:r w:rsidR="001061F2" w:rsidRPr="00570F56">
        <w:t xml:space="preserve">which have poorer outcomes in terms of patient satisfaction and ultimately satisfaction with the NHS </w:t>
      </w:r>
      <w:r w:rsidR="001061F2" w:rsidRPr="00E47A01">
        <w:rPr>
          <w:highlight w:val="green"/>
        </w:rPr>
        <w:t>(Aiken et al</w:t>
      </w:r>
      <w:r w:rsidR="00E47A01" w:rsidRPr="00E47A01">
        <w:rPr>
          <w:highlight w:val="green"/>
        </w:rPr>
        <w:t>.,</w:t>
      </w:r>
      <w:r w:rsidR="001061F2" w:rsidRPr="00E47A01">
        <w:rPr>
          <w:highlight w:val="green"/>
        </w:rPr>
        <w:t xml:space="preserve"> 2016).</w:t>
      </w:r>
      <w:r w:rsidR="001061F2" w:rsidRPr="00570F56">
        <w:t xml:space="preserve">  Other high income OECD countries have been investing both in their domestic supply of nurses, growing their graduate population and the US, which had one of the major shortages brought its workforc</w:t>
      </w:r>
      <w:r w:rsidR="00B9275E" w:rsidRPr="00570F56">
        <w:t xml:space="preserve">e into balance. </w:t>
      </w:r>
      <w:r w:rsidR="001061F2" w:rsidRPr="00570F56">
        <w:t xml:space="preserve">Evidence demonstrates even small deviations </w:t>
      </w:r>
      <w:r w:rsidR="00327889">
        <w:t xml:space="preserve">in planned to actual nurse to patient ratios </w:t>
      </w:r>
      <w:r w:rsidR="001061F2" w:rsidRPr="00570F56">
        <w:t>impact patient safety (</w:t>
      </w:r>
      <w:r w:rsidR="009545D1" w:rsidRPr="00570F56">
        <w:rPr>
          <w:highlight w:val="green"/>
        </w:rPr>
        <w:t>Needleman</w:t>
      </w:r>
      <w:r w:rsidR="00012112" w:rsidRPr="00570F56">
        <w:rPr>
          <w:highlight w:val="green"/>
        </w:rPr>
        <w:t xml:space="preserve"> et al., 2011</w:t>
      </w:r>
      <w:r w:rsidR="001061F2" w:rsidRPr="00570F56">
        <w:t xml:space="preserve">) </w:t>
      </w:r>
      <w:r w:rsidR="00111D29">
        <w:t xml:space="preserve">The </w:t>
      </w:r>
      <w:r w:rsidR="00327889">
        <w:t xml:space="preserve">recommended </w:t>
      </w:r>
      <w:r w:rsidR="001061F2" w:rsidRPr="00570F56">
        <w:t xml:space="preserve">1:8 compares </w:t>
      </w:r>
      <w:r w:rsidR="00111D29">
        <w:t xml:space="preserve">in England </w:t>
      </w:r>
      <w:r w:rsidR="001061F2" w:rsidRPr="00570F56">
        <w:t xml:space="preserve">unfavourably with </w:t>
      </w:r>
      <w:r w:rsidR="002D4720">
        <w:t xml:space="preserve">Australia and </w:t>
      </w:r>
      <w:r w:rsidR="001061F2" w:rsidRPr="00570F56">
        <w:t>the US 1:6 and 1:4 even though these are crude metrics</w:t>
      </w:r>
      <w:r w:rsidR="00327889">
        <w:t>.</w:t>
      </w:r>
      <w:r w:rsidR="001061F2" w:rsidRPr="00570F56">
        <w:t xml:space="preserve"> Wales has been successful in changing its workforce policy by enacting staffing legislation providing a natural experiment with England. This important policy development demonstrates the importance of effecting a policy shift with strong lobbying platform, a well-orchestrated campaign to mobilise support beyond nursing, especially with the public and a strong evidence base to underpin policy.</w:t>
      </w:r>
    </w:p>
    <w:p w:rsidR="007C7FFD" w:rsidRPr="00570F56" w:rsidRDefault="007C7FFD" w:rsidP="00570F56">
      <w:pPr>
        <w:spacing w:line="480" w:lineRule="auto"/>
        <w:jc w:val="both"/>
      </w:pPr>
    </w:p>
    <w:p w:rsidR="000B4084" w:rsidRDefault="007E6247" w:rsidP="00570F56">
      <w:pPr>
        <w:spacing w:line="480" w:lineRule="auto"/>
        <w:jc w:val="both"/>
      </w:pPr>
      <w:r w:rsidRPr="00570F56">
        <w:t xml:space="preserve"> </w:t>
      </w:r>
    </w:p>
    <w:p w:rsidR="002E02D2" w:rsidRDefault="00531BD9" w:rsidP="00570F56">
      <w:pPr>
        <w:spacing w:line="480" w:lineRule="auto"/>
        <w:jc w:val="both"/>
      </w:pPr>
      <w:r>
        <w:t>W</w:t>
      </w:r>
      <w:r w:rsidR="006B7F1C" w:rsidRPr="00570F56">
        <w:t>hile w</w:t>
      </w:r>
      <w:r w:rsidR="001B4D82" w:rsidRPr="00570F56">
        <w:t xml:space="preserve">e have made </w:t>
      </w:r>
      <w:r w:rsidR="006B7F1C" w:rsidRPr="00570F56">
        <w:t xml:space="preserve">significant </w:t>
      </w:r>
      <w:r w:rsidR="00690991" w:rsidRPr="00570F56">
        <w:t xml:space="preserve">strides </w:t>
      </w:r>
      <w:r w:rsidR="001B4D82" w:rsidRPr="00570F56">
        <w:t xml:space="preserve">in generating evidence </w:t>
      </w:r>
      <w:r w:rsidR="006B7F1C" w:rsidRPr="00570F56">
        <w:t>in key workforce domains</w:t>
      </w:r>
      <w:r w:rsidR="00A15BEF" w:rsidRPr="00570F56">
        <w:t>,</w:t>
      </w:r>
      <w:r w:rsidR="006B7F1C" w:rsidRPr="00570F56">
        <w:t xml:space="preserve"> this </w:t>
      </w:r>
      <w:r w:rsidR="00241F63" w:rsidRPr="00570F56">
        <w:t xml:space="preserve">is not being put into practice. </w:t>
      </w:r>
      <w:r w:rsidR="00641C6C" w:rsidRPr="00570F56">
        <w:t xml:space="preserve">Significantly, the current </w:t>
      </w:r>
      <w:r w:rsidR="00BF1F64" w:rsidRPr="00570F56">
        <w:t xml:space="preserve">nurse </w:t>
      </w:r>
      <w:r w:rsidR="00641C6C" w:rsidRPr="00570F56">
        <w:t xml:space="preserve">staffing policy in England uses the currency of </w:t>
      </w:r>
      <w:r w:rsidR="00BF1F64" w:rsidRPr="00570F56">
        <w:t>care hours per patient day, which effectively combines the inputs of registered and non-registered staff</w:t>
      </w:r>
      <w:r w:rsidR="00276F5A" w:rsidRPr="00570F56">
        <w:t xml:space="preserve"> (NHSI) </w:t>
      </w:r>
      <w:r w:rsidR="00D67333" w:rsidRPr="00570F56">
        <w:t>by passing evidence on skill mix</w:t>
      </w:r>
      <w:r w:rsidR="000A1A69" w:rsidRPr="00570F56">
        <w:t xml:space="preserve"> and patient outcomes</w:t>
      </w:r>
      <w:r w:rsidR="00D67333" w:rsidRPr="00570F56">
        <w:t>.</w:t>
      </w:r>
      <w:r w:rsidR="00D60776" w:rsidRPr="00570F56">
        <w:t xml:space="preserve"> </w:t>
      </w:r>
      <w:r w:rsidR="00032EA1">
        <w:t xml:space="preserve">Lord </w:t>
      </w:r>
      <w:r w:rsidR="00584770" w:rsidRPr="003A27E8">
        <w:t>Carter’s productivity review (</w:t>
      </w:r>
      <w:r w:rsidR="00A12012" w:rsidRPr="0097133F">
        <w:rPr>
          <w:highlight w:val="green"/>
        </w:rPr>
        <w:t xml:space="preserve">Carter </w:t>
      </w:r>
      <w:r w:rsidR="00584770" w:rsidRPr="0097133F">
        <w:rPr>
          <w:highlight w:val="green"/>
        </w:rPr>
        <w:t>2016)</w:t>
      </w:r>
      <w:r w:rsidR="00D60776" w:rsidRPr="003A27E8">
        <w:t xml:space="preserve"> arg</w:t>
      </w:r>
      <w:r w:rsidR="00C00E4D" w:rsidRPr="003A27E8">
        <w:t>ues that conventional measures</w:t>
      </w:r>
      <w:r w:rsidR="00D60776" w:rsidRPr="003A27E8">
        <w:t xml:space="preserve"> such as whole-time equivalen</w:t>
      </w:r>
      <w:r w:rsidR="00C00E4D" w:rsidRPr="003A27E8">
        <w:t>ts or staff-patient ratios</w:t>
      </w:r>
      <w:r w:rsidR="00584770" w:rsidRPr="003A27E8">
        <w:t xml:space="preserve"> did</w:t>
      </w:r>
      <w:r w:rsidR="00D60776" w:rsidRPr="003A27E8">
        <w:t xml:space="preserve"> not ref</w:t>
      </w:r>
      <w:r w:rsidR="00584770" w:rsidRPr="003A27E8">
        <w:t>l</w:t>
      </w:r>
      <w:r w:rsidR="00D60776" w:rsidRPr="003A27E8">
        <w:t>ect varying staff allocations a</w:t>
      </w:r>
      <w:r w:rsidR="00C00E4D" w:rsidRPr="003A27E8">
        <w:t>cross the day so</w:t>
      </w:r>
      <w:r w:rsidR="00584770" w:rsidRPr="003A27E8">
        <w:t xml:space="preserve"> </w:t>
      </w:r>
      <w:r w:rsidR="001069C3" w:rsidRPr="003A27E8">
        <w:t xml:space="preserve">that </w:t>
      </w:r>
      <w:r w:rsidR="00584770" w:rsidRPr="003A27E8">
        <w:t xml:space="preserve">it </w:t>
      </w:r>
      <w:r w:rsidR="00D60776" w:rsidRPr="003A27E8">
        <w:t>propose</w:t>
      </w:r>
      <w:r w:rsidR="00584770" w:rsidRPr="003A27E8">
        <w:t>s</w:t>
      </w:r>
      <w:r w:rsidR="00D60776" w:rsidRPr="003A27E8">
        <w:t xml:space="preserve"> the use of care hours per patient day, calculated by adding the hours of registered nurses to those of healthcare support workers and dividing the total by every 24 hours of inpatient admissions. </w:t>
      </w:r>
      <w:r w:rsidR="00584770" w:rsidRPr="003A27E8">
        <w:t>The new metric adopted from other countries such as USA, Australia has nev</w:t>
      </w:r>
      <w:r w:rsidR="00C00E4D" w:rsidRPr="003A27E8">
        <w:t xml:space="preserve">er been </w:t>
      </w:r>
      <w:r w:rsidR="002A1E28" w:rsidRPr="003A27E8">
        <w:t>trialed</w:t>
      </w:r>
      <w:r w:rsidR="00C00E4D" w:rsidRPr="003A27E8">
        <w:t xml:space="preserve"> in the UK NHS and </w:t>
      </w:r>
      <w:r w:rsidR="00584770" w:rsidRPr="003A27E8">
        <w:t xml:space="preserve">the concerns </w:t>
      </w:r>
      <w:r w:rsidR="00C00E4D" w:rsidRPr="003A27E8">
        <w:t xml:space="preserve">are it will dilute the </w:t>
      </w:r>
      <w:r w:rsidR="001069C3" w:rsidRPr="003A27E8">
        <w:t xml:space="preserve">registered </w:t>
      </w:r>
      <w:r w:rsidR="00C00E4D" w:rsidRPr="003A27E8">
        <w:t>nurses’ contributions to care so that such merger with may be a ‘fatal flaw’ in patient safety (</w:t>
      </w:r>
      <w:r w:rsidR="002A1E28">
        <w:t xml:space="preserve">Merriman, </w:t>
      </w:r>
      <w:r w:rsidR="001069C3" w:rsidRPr="003A27E8">
        <w:t>2016)</w:t>
      </w:r>
      <w:r w:rsidR="00C00E4D" w:rsidRPr="003A27E8">
        <w:t>.</w:t>
      </w:r>
      <w:r w:rsidR="00C00E4D" w:rsidRPr="00570F56">
        <w:t xml:space="preserve"> </w:t>
      </w:r>
      <w:r w:rsidR="00584770" w:rsidRPr="00570F56">
        <w:t xml:space="preserve">   </w:t>
      </w:r>
    </w:p>
    <w:p w:rsidR="00531BD9" w:rsidRDefault="00531BD9" w:rsidP="00531BD9">
      <w:pPr>
        <w:spacing w:line="480" w:lineRule="auto"/>
        <w:jc w:val="both"/>
        <w:rPr>
          <w:b/>
        </w:rPr>
      </w:pPr>
    </w:p>
    <w:p w:rsidR="00531BD9" w:rsidRPr="00570F56" w:rsidRDefault="00531BD9" w:rsidP="00531BD9">
      <w:pPr>
        <w:spacing w:line="480" w:lineRule="auto"/>
        <w:jc w:val="both"/>
        <w:rPr>
          <w:b/>
        </w:rPr>
      </w:pPr>
      <w:r w:rsidRPr="003C5BF1">
        <w:rPr>
          <w:b/>
        </w:rPr>
        <w:t xml:space="preserve">Leading change for better healthcare </w:t>
      </w:r>
      <w:r w:rsidRPr="00570F56">
        <w:rPr>
          <w:b/>
        </w:rPr>
        <w:t>tomorrow?</w:t>
      </w:r>
    </w:p>
    <w:p w:rsidR="00042926" w:rsidRDefault="000A1A69" w:rsidP="00570F56">
      <w:pPr>
        <w:spacing w:line="480" w:lineRule="auto"/>
        <w:jc w:val="both"/>
      </w:pPr>
      <w:r w:rsidRPr="00570F56">
        <w:t>Wh</w:t>
      </w:r>
      <w:r w:rsidR="00646D70" w:rsidRPr="00570F56">
        <w:t xml:space="preserve">ere </w:t>
      </w:r>
      <w:r w:rsidR="00241F63" w:rsidRPr="00570F56">
        <w:t xml:space="preserve">then </w:t>
      </w:r>
      <w:r w:rsidR="00646D70" w:rsidRPr="00570F56">
        <w:t>does this leave n</w:t>
      </w:r>
      <w:r w:rsidR="001B6501" w:rsidRPr="00570F56">
        <w:t xml:space="preserve">urses as change agents </w:t>
      </w:r>
      <w:r w:rsidR="00646D70" w:rsidRPr="00570F56">
        <w:t xml:space="preserve">for </w:t>
      </w:r>
      <w:r w:rsidR="001B6501" w:rsidRPr="00570F56">
        <w:t>better healthcare tomorrow?</w:t>
      </w:r>
      <w:r w:rsidR="00730E42" w:rsidRPr="00570F56">
        <w:t xml:space="preserve"> </w:t>
      </w:r>
      <w:r w:rsidR="0046276B" w:rsidRPr="00570F56">
        <w:t>The role of change agent can take many forms. N</w:t>
      </w:r>
      <w:r w:rsidR="00646D70" w:rsidRPr="00570F56">
        <w:t xml:space="preserve">urses have been active in generating much of the evidence </w:t>
      </w:r>
      <w:r w:rsidR="00343BDC" w:rsidRPr="00570F56">
        <w:t xml:space="preserve">to underpin workforce policy. </w:t>
      </w:r>
      <w:r w:rsidR="001D389D" w:rsidRPr="00570F56">
        <w:t>H</w:t>
      </w:r>
      <w:r w:rsidR="00333673" w:rsidRPr="00570F56">
        <w:t xml:space="preserve">istory </w:t>
      </w:r>
      <w:r w:rsidR="003E4850" w:rsidRPr="00570F56">
        <w:t xml:space="preserve">tells </w:t>
      </w:r>
      <w:r w:rsidR="00197CB1">
        <w:t xml:space="preserve">us </w:t>
      </w:r>
      <w:r w:rsidR="003E4850" w:rsidRPr="00570F56">
        <w:t xml:space="preserve">though </w:t>
      </w:r>
      <w:r w:rsidR="00333673" w:rsidRPr="00570F56">
        <w:t>that one of the key conditions for change to be effected has been the convergence between the interests of the profession and those of the state</w:t>
      </w:r>
      <w:r w:rsidR="0022149F" w:rsidRPr="00570F56">
        <w:t xml:space="preserve"> </w:t>
      </w:r>
      <w:r w:rsidR="007C7FFD" w:rsidRPr="00570F56">
        <w:rPr>
          <w:highlight w:val="green"/>
        </w:rPr>
        <w:t>(Rafferty</w:t>
      </w:r>
      <w:r w:rsidR="00147AF1" w:rsidRPr="00570F56">
        <w:rPr>
          <w:highlight w:val="green"/>
        </w:rPr>
        <w:t>, 199</w:t>
      </w:r>
      <w:r w:rsidR="00724116">
        <w:rPr>
          <w:highlight w:val="green"/>
        </w:rPr>
        <w:t>6; Rafferty and Traynor 1998</w:t>
      </w:r>
      <w:r w:rsidR="00AA7FA6" w:rsidRPr="00570F56">
        <w:rPr>
          <w:highlight w:val="green"/>
        </w:rPr>
        <w:t>)</w:t>
      </w:r>
      <w:r w:rsidR="00333673" w:rsidRPr="00570F56">
        <w:rPr>
          <w:highlight w:val="green"/>
        </w:rPr>
        <w:t>.</w:t>
      </w:r>
      <w:r w:rsidR="00333673" w:rsidRPr="00570F56">
        <w:t xml:space="preserve"> Often </w:t>
      </w:r>
      <w:r w:rsidR="00531BD9">
        <w:t xml:space="preserve">change </w:t>
      </w:r>
      <w:r w:rsidR="00333673" w:rsidRPr="00570F56">
        <w:t>has em</w:t>
      </w:r>
      <w:r w:rsidR="00AF19C7">
        <w:t xml:space="preserve">anated </w:t>
      </w:r>
      <w:r w:rsidR="00333673" w:rsidRPr="00570F56">
        <w:t xml:space="preserve">from a campaign or lobbying effort to mobilise </w:t>
      </w:r>
      <w:r w:rsidR="006B3CD5" w:rsidRPr="00570F56">
        <w:t>and make the change happen</w:t>
      </w:r>
      <w:r w:rsidR="00122E99">
        <w:t>. T</w:t>
      </w:r>
      <w:r w:rsidR="006B3CD5" w:rsidRPr="00570F56">
        <w:t>his is one way of trying to prevent the politics of drift from continuing.</w:t>
      </w:r>
      <w:r w:rsidR="0022149F" w:rsidRPr="00570F56">
        <w:t xml:space="preserve"> The development of nurse prescribing was </w:t>
      </w:r>
      <w:r w:rsidR="00E448A9" w:rsidRPr="00570F56">
        <w:t xml:space="preserve">only </w:t>
      </w:r>
      <w:r w:rsidR="0022149F" w:rsidRPr="00570F56">
        <w:t xml:space="preserve">won </w:t>
      </w:r>
      <w:r w:rsidR="00E448A9" w:rsidRPr="00570F56">
        <w:t>after a battle with the B</w:t>
      </w:r>
      <w:r w:rsidR="00197CB1">
        <w:t xml:space="preserve">ritish </w:t>
      </w:r>
      <w:r w:rsidR="00E448A9" w:rsidRPr="00570F56">
        <w:t>M</w:t>
      </w:r>
      <w:r w:rsidR="00197CB1">
        <w:t xml:space="preserve">edical </w:t>
      </w:r>
      <w:r w:rsidR="00E448A9" w:rsidRPr="00570F56">
        <w:t>A</w:t>
      </w:r>
      <w:r w:rsidR="00197CB1">
        <w:t>ssociation (BMA)</w:t>
      </w:r>
      <w:r w:rsidR="00E448A9" w:rsidRPr="00570F56">
        <w:t xml:space="preserve"> and </w:t>
      </w:r>
      <w:r w:rsidR="0022149F" w:rsidRPr="00570F56">
        <w:t xml:space="preserve">a campaign and lobbying effort countering medical </w:t>
      </w:r>
      <w:r w:rsidR="0022149F" w:rsidRPr="00406F1B">
        <w:t>opposition (</w:t>
      </w:r>
      <w:r w:rsidR="0022149F" w:rsidRPr="00570F56">
        <w:rPr>
          <w:highlight w:val="green"/>
        </w:rPr>
        <w:t>Jones,</w:t>
      </w:r>
      <w:r w:rsidR="00825EF0" w:rsidRPr="00570F56">
        <w:rPr>
          <w:highlight w:val="green"/>
        </w:rPr>
        <w:t xml:space="preserve"> 1999; </w:t>
      </w:r>
      <w:r w:rsidR="00AD693E" w:rsidRPr="00570F56">
        <w:rPr>
          <w:highlight w:val="green"/>
        </w:rPr>
        <w:t xml:space="preserve">Shepherd et </w:t>
      </w:r>
      <w:r w:rsidR="00AD693E" w:rsidRPr="00570F56">
        <w:rPr>
          <w:highlight w:val="green"/>
        </w:rPr>
        <w:lastRenderedPageBreak/>
        <w:t>al., 1999)</w:t>
      </w:r>
      <w:r w:rsidR="003E4850" w:rsidRPr="00570F56">
        <w:rPr>
          <w:highlight w:val="green"/>
        </w:rPr>
        <w:t>.</w:t>
      </w:r>
      <w:r w:rsidR="003E4850" w:rsidRPr="00570F56">
        <w:t xml:space="preserve"> Securing the state registration of nurses in the UK </w:t>
      </w:r>
      <w:r w:rsidR="00343BDC" w:rsidRPr="00570F56">
        <w:t xml:space="preserve">in 1919 </w:t>
      </w:r>
      <w:r w:rsidR="003E4850" w:rsidRPr="00570F56">
        <w:t xml:space="preserve">was a battle lasting almost 30 years and </w:t>
      </w:r>
      <w:r w:rsidR="00E448A9" w:rsidRPr="00570F56">
        <w:t>the product of significant and sustained lobbying activity</w:t>
      </w:r>
      <w:r w:rsidR="00343BDC" w:rsidRPr="00570F56">
        <w:t xml:space="preserve">, </w:t>
      </w:r>
      <w:r w:rsidR="00E448A9" w:rsidRPr="00570F56">
        <w:t xml:space="preserve">campaigning </w:t>
      </w:r>
      <w:r w:rsidR="00343BDC" w:rsidRPr="00570F56">
        <w:t>and political leadership on the part of nurses. But it was also part of a con</w:t>
      </w:r>
      <w:r w:rsidR="00AF19C7">
        <w:t xml:space="preserve">vergence </w:t>
      </w:r>
      <w:r w:rsidR="00343BDC" w:rsidRPr="00570F56">
        <w:t xml:space="preserve">of interests between the profession and the state in providing mobility within the labour market and a standardised qualification in the light of proposed health reform </w:t>
      </w:r>
      <w:r w:rsidR="00E448A9" w:rsidRPr="00570F56">
        <w:t>(</w:t>
      </w:r>
      <w:r w:rsidR="00E448A9" w:rsidRPr="00570F56">
        <w:rPr>
          <w:highlight w:val="green"/>
        </w:rPr>
        <w:t>Rafferty</w:t>
      </w:r>
      <w:r w:rsidR="00DD49C5" w:rsidRPr="00570F56">
        <w:rPr>
          <w:highlight w:val="green"/>
        </w:rPr>
        <w:t>,</w:t>
      </w:r>
      <w:r w:rsidR="00E448A9" w:rsidRPr="00570F56">
        <w:rPr>
          <w:highlight w:val="green"/>
        </w:rPr>
        <w:t xml:space="preserve"> 1996).</w:t>
      </w:r>
      <w:r w:rsidR="00E448A9" w:rsidRPr="00570F56">
        <w:t xml:space="preserve"> </w:t>
      </w:r>
    </w:p>
    <w:p w:rsidR="00BC131F" w:rsidRPr="00570F56" w:rsidRDefault="00BC131F" w:rsidP="00570F56">
      <w:pPr>
        <w:spacing w:line="480" w:lineRule="auto"/>
        <w:jc w:val="both"/>
        <w:rPr>
          <w:highlight w:val="yellow"/>
        </w:rPr>
      </w:pPr>
    </w:p>
    <w:p w:rsidR="00EB345F" w:rsidRDefault="00042926">
      <w:pPr>
        <w:spacing w:line="480" w:lineRule="auto"/>
        <w:jc w:val="both"/>
      </w:pPr>
      <w:r w:rsidRPr="00570F56">
        <w:t xml:space="preserve">The expansion in universalising access to care has </w:t>
      </w:r>
      <w:r w:rsidR="005B5AA4">
        <w:t xml:space="preserve">been </w:t>
      </w:r>
      <w:r w:rsidRPr="00570F56">
        <w:t>a stimulus to nurse recruitment, education and expanding graduate pathways to advanced practice in the US. Again this process and effort has been underpinned by a campaign in the US sup</w:t>
      </w:r>
      <w:r w:rsidR="00C00E4D" w:rsidRPr="00570F56">
        <w:t>ported by the Robert Wood Johnson</w:t>
      </w:r>
      <w:r w:rsidRPr="00570F56">
        <w:t xml:space="preserve"> Foundation, the Institute of Medicine and</w:t>
      </w:r>
      <w:r w:rsidR="00175B29">
        <w:t>,</w:t>
      </w:r>
      <w:r w:rsidRPr="00570F56">
        <w:t xml:space="preserve"> significantly</w:t>
      </w:r>
      <w:r w:rsidR="00175B29">
        <w:t>,</w:t>
      </w:r>
      <w:r w:rsidRPr="00570F56">
        <w:t xml:space="preserve"> the Associated of Retired Persons, arguably the most powerful NGO in the US. </w:t>
      </w:r>
      <w:r w:rsidR="00DF27D4" w:rsidRPr="00570F56">
        <w:t>Targets have been set to increase the numbers of graduates in the workforce and advanced practice nurses</w:t>
      </w:r>
      <w:r w:rsidR="00AD0F5E" w:rsidRPr="00570F56">
        <w:t xml:space="preserve"> </w:t>
      </w:r>
      <w:r w:rsidR="00AD0F5E" w:rsidRPr="0097133F">
        <w:rPr>
          <w:highlight w:val="green"/>
        </w:rPr>
        <w:t>(Institute of Medicine 2010)</w:t>
      </w:r>
      <w:r w:rsidR="00FE1559">
        <w:t xml:space="preserve"> </w:t>
      </w:r>
      <w:r w:rsidR="001D048A">
        <w:t>The</w:t>
      </w:r>
      <w:hyperlink r:id="rId9" w:history="1"/>
      <w:r w:rsidR="00531BD9">
        <w:t xml:space="preserve"> </w:t>
      </w:r>
      <w:r w:rsidR="00DC58FD" w:rsidRPr="00570F56">
        <w:t xml:space="preserve">campaign which </w:t>
      </w:r>
      <w:r w:rsidR="00531BD9">
        <w:t xml:space="preserve">resulted from these changes </w:t>
      </w:r>
      <w:r w:rsidR="00DC58FD" w:rsidRPr="00570F56">
        <w:t xml:space="preserve">has </w:t>
      </w:r>
      <w:r w:rsidRPr="00570F56">
        <w:t xml:space="preserve">not been mirrored in the UK even although we have </w:t>
      </w:r>
      <w:r w:rsidR="007152D9" w:rsidRPr="00570F56">
        <w:t>spiraling</w:t>
      </w:r>
      <w:r w:rsidRPr="00570F56">
        <w:t xml:space="preserve"> demand for healthcare services. </w:t>
      </w:r>
      <w:r w:rsidR="00231DAF" w:rsidRPr="00570F56">
        <w:t xml:space="preserve">There is no </w:t>
      </w:r>
      <w:r w:rsidRPr="00570F56">
        <w:t xml:space="preserve">corresponding </w:t>
      </w:r>
      <w:r w:rsidR="00EB345F">
        <w:t xml:space="preserve">workforce </w:t>
      </w:r>
      <w:r w:rsidRPr="00570F56">
        <w:t xml:space="preserve">policy being formulated to meet growth in the demand for care </w:t>
      </w:r>
      <w:r w:rsidR="00EB345F">
        <w:t xml:space="preserve">volume and complexity </w:t>
      </w:r>
      <w:r w:rsidRPr="00570F56">
        <w:t>in England.  Rather</w:t>
      </w:r>
      <w:r w:rsidR="006B77DF" w:rsidRPr="00570F56">
        <w:t>, there are</w:t>
      </w:r>
      <w:r w:rsidRPr="00570F56">
        <w:t xml:space="preserve"> signs of mov</w:t>
      </w:r>
      <w:r w:rsidR="006B77DF" w:rsidRPr="00570F56">
        <w:t>ement</w:t>
      </w:r>
      <w:r w:rsidRPr="00570F56">
        <w:t xml:space="preserve"> in the opposite direction</w:t>
      </w:r>
      <w:r w:rsidR="006B77DF" w:rsidRPr="00570F56">
        <w:t xml:space="preserve"> with the reintroduction of </w:t>
      </w:r>
      <w:r w:rsidRPr="00570F56">
        <w:t>degree apprenticeships</w:t>
      </w:r>
      <w:r w:rsidR="006B77DF" w:rsidRPr="00570F56">
        <w:t xml:space="preserve"> that muddies the </w:t>
      </w:r>
      <w:r w:rsidR="003A0EE8" w:rsidRPr="00570F56">
        <w:t>different routes to registration</w:t>
      </w:r>
      <w:r w:rsidR="00A1568F" w:rsidRPr="00570F56">
        <w:t xml:space="preserve"> and strengthen</w:t>
      </w:r>
      <w:r w:rsidR="006B77DF" w:rsidRPr="00570F56">
        <w:t>s</w:t>
      </w:r>
      <w:r w:rsidR="00A1568F" w:rsidRPr="00570F56">
        <w:t xml:space="preserve"> the hand of employers over educat</w:t>
      </w:r>
      <w:r w:rsidR="00373CDE" w:rsidRPr="00570F56">
        <w:t>ion</w:t>
      </w:r>
      <w:r w:rsidR="00324060" w:rsidRPr="00570F56">
        <w:t>.</w:t>
      </w:r>
      <w:r w:rsidR="001510C5">
        <w:t xml:space="preserve"> </w:t>
      </w:r>
    </w:p>
    <w:p w:rsidR="001510C5" w:rsidRPr="001510C5" w:rsidRDefault="001510C5" w:rsidP="00570F56">
      <w:pPr>
        <w:spacing w:line="480" w:lineRule="auto"/>
        <w:jc w:val="both"/>
        <w:rPr>
          <w:b/>
        </w:rPr>
      </w:pPr>
    </w:p>
    <w:p w:rsidR="00994C4E" w:rsidRDefault="00994C4E" w:rsidP="00994C4E">
      <w:pPr>
        <w:spacing w:line="480" w:lineRule="auto"/>
        <w:jc w:val="both"/>
      </w:pPr>
      <w:r w:rsidRPr="00570F56">
        <w:t>The body responsible for workforce planning Health Education England, has presided over one of the most fiscally stringent periods in the recent history of healthcare following from the financial crash of 2008</w:t>
      </w:r>
      <w:r w:rsidR="001510C5">
        <w:t xml:space="preserve"> but it has failed in its mandate to deliver a multi-professional workforce plan. </w:t>
      </w:r>
      <w:r w:rsidR="005B5AA4">
        <w:t>W</w:t>
      </w:r>
      <w:r w:rsidRPr="00570F56">
        <w:t xml:space="preserve">e </w:t>
      </w:r>
      <w:r w:rsidR="005B5AA4">
        <w:t xml:space="preserve">are struggling </w:t>
      </w:r>
      <w:r w:rsidRPr="00570F56">
        <w:t xml:space="preserve">to meet growing demand </w:t>
      </w:r>
      <w:r w:rsidR="005B5AA4">
        <w:t xml:space="preserve">from </w:t>
      </w:r>
      <w:r w:rsidRPr="00570F56">
        <w:t xml:space="preserve">an ageing population with multi-co-morbidities; the crisis in social care, rising public expectations, increasing use of technology, slow to no growth in budgets and cuts in many places cuts to nursing numbers. </w:t>
      </w:r>
      <w:r w:rsidRPr="00570F56">
        <w:lastRenderedPageBreak/>
        <w:t xml:space="preserve">Numbers of nurses should be rising </w:t>
      </w:r>
      <w:r w:rsidR="00CE18FE">
        <w:t xml:space="preserve">in line with doctors </w:t>
      </w:r>
      <w:r w:rsidRPr="00570F56">
        <w:t xml:space="preserve">to meet demand and yet </w:t>
      </w:r>
      <w:r w:rsidR="00757EF1">
        <w:t xml:space="preserve">we </w:t>
      </w:r>
      <w:r w:rsidRPr="00570F56">
        <w:t>seem</w:t>
      </w:r>
      <w:r w:rsidR="002D2206">
        <w:t xml:space="preserve"> to be </w:t>
      </w:r>
      <w:r w:rsidRPr="00570F56">
        <w:t>caught in a a historical holding pattern preventing us from moving forward in capacity building and adding much needed strength to where areas of highest need</w:t>
      </w:r>
      <w:r w:rsidR="00C963D1">
        <w:t xml:space="preserve"> e.g. district and community nursing</w:t>
      </w:r>
      <w:r w:rsidRPr="00570F56">
        <w:t xml:space="preserve">. </w:t>
      </w:r>
      <w:r w:rsidR="00CE18FE">
        <w:t>I</w:t>
      </w:r>
      <w:r w:rsidRPr="00570F56">
        <w:t xml:space="preserve">f the largest segment of the workforce falters the rest of the system </w:t>
      </w:r>
      <w:r w:rsidR="00CE18FE">
        <w:t>will be vulnerable too.</w:t>
      </w:r>
      <w:r w:rsidRPr="00570F56">
        <w:t xml:space="preserve">  </w:t>
      </w:r>
    </w:p>
    <w:p w:rsidR="00324060" w:rsidRPr="00570F56" w:rsidRDefault="00994C4E" w:rsidP="00570F56">
      <w:pPr>
        <w:spacing w:line="480" w:lineRule="auto"/>
        <w:jc w:val="both"/>
      </w:pPr>
      <w:r w:rsidRPr="00570F56">
        <w:t>There is ample evidence to suggest that women are disproportionately impacted by austerity cuts</w:t>
      </w:r>
      <w:r w:rsidR="00FB4B96">
        <w:t xml:space="preserve"> (Bennett 2015) </w:t>
      </w:r>
      <w:r w:rsidR="00531BD9">
        <w:t>. As a female dominated p</w:t>
      </w:r>
      <w:r w:rsidRPr="00570F56">
        <w:t xml:space="preserve">rofession, nursing in England seems to be shouldering an undue burden of austerity. </w:t>
      </w:r>
      <w:r w:rsidR="00757EF1">
        <w:t>T</w:t>
      </w:r>
      <w:r w:rsidRPr="00570F56">
        <w:t xml:space="preserve">he workforce metrics for the two largest segments of the healthcare workforce; doctors and nurses </w:t>
      </w:r>
      <w:r w:rsidR="00757EF1">
        <w:t xml:space="preserve">indicate </w:t>
      </w:r>
      <w:r w:rsidRPr="00570F56">
        <w:t xml:space="preserve">a growing divide and marked misalignment in growth rates over the past decade a time when demand has been rising steeply. </w:t>
      </w:r>
      <w:r w:rsidR="00531BD9">
        <w:t xml:space="preserve">Ensuring the participation of nurses in the design of policy will release frontline expertise and know-how into the system. </w:t>
      </w:r>
      <w:r w:rsidR="00343BDC" w:rsidRPr="00570F56">
        <w:t xml:space="preserve">This is </w:t>
      </w:r>
      <w:r w:rsidR="001540CF">
        <w:t xml:space="preserve">not only about </w:t>
      </w:r>
      <w:r w:rsidR="00343BDC" w:rsidRPr="00570F56">
        <w:t xml:space="preserve">good employment practice </w:t>
      </w:r>
      <w:r w:rsidR="00810BE6" w:rsidRPr="00570F56">
        <w:rPr>
          <w:highlight w:val="yellow"/>
        </w:rPr>
        <w:t>(</w:t>
      </w:r>
      <w:r w:rsidR="00810BE6" w:rsidRPr="00570F56">
        <w:rPr>
          <w:highlight w:val="green"/>
        </w:rPr>
        <w:t xml:space="preserve">West et al., </w:t>
      </w:r>
      <w:r w:rsidR="00343BDC" w:rsidRPr="00570F56">
        <w:rPr>
          <w:highlight w:val="green"/>
        </w:rPr>
        <w:t>2006)</w:t>
      </w:r>
      <w:r w:rsidR="00343BDC" w:rsidRPr="00570F56">
        <w:t xml:space="preserve"> </w:t>
      </w:r>
      <w:r w:rsidR="001540CF">
        <w:t>but t</w:t>
      </w:r>
      <w:r w:rsidR="00524C55" w:rsidRPr="00570F56">
        <w:t xml:space="preserve">he need for </w:t>
      </w:r>
      <w:r w:rsidR="00042926" w:rsidRPr="00570F56">
        <w:t>shared governance</w:t>
      </w:r>
      <w:r w:rsidR="00343BDC" w:rsidRPr="00570F56">
        <w:t xml:space="preserve"> to be scaled up. </w:t>
      </w:r>
      <w:r w:rsidR="00231DAF" w:rsidRPr="00570F56">
        <w:t>T</w:t>
      </w:r>
      <w:r w:rsidR="00042926" w:rsidRPr="00570F56">
        <w:t xml:space="preserve">he magnet hospital model offers the best evidence based approach </w:t>
      </w:r>
      <w:r w:rsidR="00231DAF" w:rsidRPr="00570F56">
        <w:t xml:space="preserve">to achieve </w:t>
      </w:r>
      <w:r w:rsidR="001540CF">
        <w:t xml:space="preserve">a number of </w:t>
      </w:r>
      <w:r w:rsidR="00231DAF" w:rsidRPr="00570F56">
        <w:t xml:space="preserve"> policy goals simultaneously; better retention of nurses through positive practice environments and better outcomes for patients</w:t>
      </w:r>
      <w:r w:rsidR="00DC1BB1">
        <w:t xml:space="preserve"> and shared governance for frontline nurses</w:t>
      </w:r>
      <w:r w:rsidR="00231DAF" w:rsidRPr="008808F6">
        <w:t xml:space="preserve">. </w:t>
      </w:r>
      <w:r w:rsidR="00DC1BB1" w:rsidRPr="003C5BF1">
        <w:t>Many other industries recognise the utility of frontline delivery are best placed to redesign and improve systems yet in healthcare we often ignore or squander the opportunity. This has to be a priority for any change strategy moving forward and written into the governance frameworks of organisations</w:t>
      </w:r>
      <w:r w:rsidR="00705A6F" w:rsidRPr="003C5BF1">
        <w:t xml:space="preserve"> (Aiken et al, 2008).</w:t>
      </w:r>
      <w:r w:rsidR="00705A6F">
        <w:rPr>
          <w:sz w:val="28"/>
          <w:szCs w:val="28"/>
        </w:rPr>
        <w:t xml:space="preserve"> </w:t>
      </w:r>
    </w:p>
    <w:p w:rsidR="005D3DC5" w:rsidRDefault="00324060">
      <w:pPr>
        <w:spacing w:line="480" w:lineRule="auto"/>
        <w:jc w:val="both"/>
      </w:pPr>
      <w:r w:rsidRPr="00570F56">
        <w:t>On the campaigning front nurses have been active as a pressure group</w:t>
      </w:r>
      <w:r w:rsidR="00E85465" w:rsidRPr="00570F56">
        <w:t>,</w:t>
      </w:r>
      <w:r w:rsidRPr="00570F56">
        <w:t xml:space="preserve"> formulating a change agenda through a s</w:t>
      </w:r>
      <w:r w:rsidR="00343BDC" w:rsidRPr="00570F56">
        <w:t>afe staffing alliance representing a coalition of unions, professional associations, the Patients’ Association, senior nurse leaders, academics and activists</w:t>
      </w:r>
      <w:r w:rsidRPr="00570F56">
        <w:t xml:space="preserve">. This alliance </w:t>
      </w:r>
      <w:r w:rsidR="00343BDC" w:rsidRPr="00570F56">
        <w:t>has been campaigning for a more rigorous, evidence driven approach to workforce planning (</w:t>
      </w:r>
      <w:hyperlink r:id="rId10" w:history="1">
        <w:r w:rsidR="008808F6" w:rsidRPr="008808F6">
          <w:rPr>
            <w:rStyle w:val="Hyperlink"/>
          </w:rPr>
          <w:t>www.safestaffing</w:t>
        </w:r>
        <w:r w:rsidR="00343BDC" w:rsidRPr="008808F6">
          <w:rPr>
            <w:rStyle w:val="Hyperlink"/>
          </w:rPr>
          <w:t>alliance.org</w:t>
        </w:r>
        <w:r w:rsidR="00267A47" w:rsidRPr="008808F6">
          <w:rPr>
            <w:rStyle w:val="Hyperlink"/>
          </w:rPr>
          <w:t>.uk</w:t>
        </w:r>
      </w:hyperlink>
      <w:r w:rsidR="00343BDC" w:rsidRPr="00570F56">
        <w:t xml:space="preserve">). Within the UK different devolved countries have </w:t>
      </w:r>
      <w:r w:rsidR="00343BDC" w:rsidRPr="00570F56">
        <w:lastRenderedPageBreak/>
        <w:t>responded differently to workforce and staffing pressures. As with some jurisdictions in the US such as California and Australia, notably Victoria and now Queensland</w:t>
      </w:r>
      <w:r w:rsidR="00E85465" w:rsidRPr="00570F56">
        <w:t xml:space="preserve">, </w:t>
      </w:r>
      <w:r w:rsidR="00343BDC" w:rsidRPr="00570F56">
        <w:t xml:space="preserve">staffing legislation has been implemented to mandate staffing ratios in terms of limiting the numbers of patients’ nurses can care for in the course of a shift.  Some evaluation of the impact of the impact of the legislation on patient safety has been undertaken within California </w:t>
      </w:r>
      <w:r w:rsidR="008F374C" w:rsidRPr="00267A47">
        <w:rPr>
          <w:highlight w:val="green"/>
        </w:rPr>
        <w:t>(Aiken</w:t>
      </w:r>
      <w:r w:rsidR="00267A47" w:rsidRPr="00267A47">
        <w:rPr>
          <w:highlight w:val="green"/>
        </w:rPr>
        <w:t>,</w:t>
      </w:r>
      <w:r w:rsidR="008F374C" w:rsidRPr="00267A47">
        <w:rPr>
          <w:highlight w:val="green"/>
        </w:rPr>
        <w:t xml:space="preserve"> 2010)</w:t>
      </w:r>
      <w:r w:rsidR="008F374C" w:rsidRPr="00570F56">
        <w:t xml:space="preserve"> </w:t>
      </w:r>
      <w:r w:rsidR="00343BDC" w:rsidRPr="00570F56">
        <w:t>and Queensland, with a pre and post-test evaluation study design</w:t>
      </w:r>
      <w:r w:rsidR="006012D6" w:rsidRPr="00570F56">
        <w:t xml:space="preserve"> but at the time of writing too early to comment</w:t>
      </w:r>
      <w:r w:rsidR="006774AB" w:rsidRPr="00570F56">
        <w:t xml:space="preserve">. </w:t>
      </w:r>
      <w:r w:rsidR="00343BDC" w:rsidRPr="00570F56">
        <w:t>Within the UK Wales passed nurse staffing legislation, which is in the process of being implemented. The campaign led by the Royal College of Nursing in Wales was orchestrated with a clear strategic plan and executed with military precisio</w:t>
      </w:r>
      <w:r w:rsidR="000858D6">
        <w:t>n.</w:t>
      </w:r>
      <w:r w:rsidR="00343BDC" w:rsidRPr="00570F56">
        <w:t xml:space="preserve"> We now have an interesting </w:t>
      </w:r>
      <w:r w:rsidR="00844CF9" w:rsidRPr="00570F56">
        <w:t>‘</w:t>
      </w:r>
      <w:r w:rsidR="00343BDC" w:rsidRPr="00570F56">
        <w:t xml:space="preserve">natural experiment’ in which two jurisdictions within the same country have adopted different approached to staffing in acute general medical and surgical care, the setting where the evidence base is strongest.  </w:t>
      </w:r>
      <w:r w:rsidR="005F317C" w:rsidRPr="00570F56">
        <w:t xml:space="preserve">Learning from positive practice models and scaling up could be a helpful intervention. </w:t>
      </w:r>
      <w:r w:rsidR="00627A87" w:rsidRPr="00570F56">
        <w:rPr>
          <w:highlight w:val="yellow"/>
        </w:rPr>
        <w:t>(</w:t>
      </w:r>
      <w:r w:rsidR="00627A87" w:rsidRPr="00570F56">
        <w:rPr>
          <w:highlight w:val="green"/>
        </w:rPr>
        <w:t>Kroezen et al</w:t>
      </w:r>
      <w:r w:rsidR="00DA0555" w:rsidRPr="00570F56">
        <w:rPr>
          <w:highlight w:val="green"/>
        </w:rPr>
        <w:t>.,</w:t>
      </w:r>
      <w:r w:rsidR="005F317C" w:rsidRPr="00570F56">
        <w:rPr>
          <w:highlight w:val="green"/>
        </w:rPr>
        <w:t xml:space="preserve"> 2015</w:t>
      </w:r>
      <w:r w:rsidR="00627A87" w:rsidRPr="00570F56">
        <w:rPr>
          <w:highlight w:val="green"/>
        </w:rPr>
        <w:t>)</w:t>
      </w:r>
      <w:r w:rsidR="00511E79" w:rsidRPr="00570F56">
        <w:rPr>
          <w:highlight w:val="green"/>
        </w:rPr>
        <w:t>.</w:t>
      </w:r>
      <w:r w:rsidR="00511E79" w:rsidRPr="00570F56">
        <w:t xml:space="preserve"> </w:t>
      </w:r>
    </w:p>
    <w:p w:rsidR="000858D6" w:rsidRDefault="000858D6" w:rsidP="00EB43D5">
      <w:pPr>
        <w:spacing w:line="480" w:lineRule="auto"/>
        <w:jc w:val="both"/>
        <w:rPr>
          <w:b/>
        </w:rPr>
      </w:pPr>
    </w:p>
    <w:p w:rsidR="005F3F55" w:rsidRPr="00570F56" w:rsidRDefault="005F3F55" w:rsidP="00EB43D5">
      <w:pPr>
        <w:spacing w:line="480" w:lineRule="auto"/>
        <w:jc w:val="both"/>
        <w:rPr>
          <w:b/>
        </w:rPr>
      </w:pPr>
      <w:r w:rsidRPr="00570F56">
        <w:rPr>
          <w:b/>
        </w:rPr>
        <w:t>Conclusion</w:t>
      </w:r>
      <w:r w:rsidR="001510C5">
        <w:rPr>
          <w:b/>
        </w:rPr>
        <w:t xml:space="preserve"> </w:t>
      </w:r>
    </w:p>
    <w:p w:rsidR="007521E9" w:rsidRDefault="00F015FC" w:rsidP="00C22BF3">
      <w:pPr>
        <w:spacing w:line="480" w:lineRule="auto"/>
        <w:jc w:val="both"/>
      </w:pPr>
      <w:r w:rsidRPr="003C5BF1">
        <w:t>Nursing has been called the Swiss army knife of healthcare. It is a major part of the solution to building a better future in healthcare.</w:t>
      </w:r>
      <w:r w:rsidR="00A91CF9">
        <w:t xml:space="preserve"> Future policy </w:t>
      </w:r>
      <w:r w:rsidR="003C65D4">
        <w:t xml:space="preserve">options </w:t>
      </w:r>
      <w:r w:rsidR="00A91CF9">
        <w:t>need</w:t>
      </w:r>
      <w:r w:rsidR="003C65D4">
        <w:t xml:space="preserve"> </w:t>
      </w:r>
      <w:r w:rsidR="00A91CF9">
        <w:t xml:space="preserve">to </w:t>
      </w:r>
      <w:r w:rsidR="003C65D4">
        <w:t xml:space="preserve">consider </w:t>
      </w:r>
      <w:r w:rsidR="00A91CF9">
        <w:t>scal</w:t>
      </w:r>
      <w:r w:rsidR="003C65D4">
        <w:t>ing</w:t>
      </w:r>
      <w:r w:rsidR="00A91CF9">
        <w:t xml:space="preserve"> up the participation of nurses </w:t>
      </w:r>
      <w:r w:rsidR="001510C5" w:rsidRPr="008808F6">
        <w:t xml:space="preserve"> in designing future policy, rather than just being expected to implement</w:t>
      </w:r>
      <w:r w:rsidR="000432DF" w:rsidRPr="008808F6">
        <w:t xml:space="preserve"> </w:t>
      </w:r>
      <w:r w:rsidR="00185B9C" w:rsidRPr="008808F6">
        <w:t>it</w:t>
      </w:r>
      <w:r w:rsidR="00A91CF9">
        <w:t xml:space="preserve">. </w:t>
      </w:r>
      <w:r w:rsidR="00B43447" w:rsidRPr="008808F6">
        <w:t xml:space="preserve">There are many </w:t>
      </w:r>
      <w:r w:rsidR="00336D0D">
        <w:t xml:space="preserve">policy </w:t>
      </w:r>
      <w:r w:rsidR="00B43447" w:rsidRPr="008808F6">
        <w:t xml:space="preserve">interventions that will improve health outcomes for the population but they need support to make change happen and </w:t>
      </w:r>
      <w:r w:rsidR="00185B9C" w:rsidRPr="008808F6">
        <w:t xml:space="preserve">to </w:t>
      </w:r>
      <w:r w:rsidR="00E40E39">
        <w:t xml:space="preserve">do so means </w:t>
      </w:r>
      <w:r w:rsidR="00B43447" w:rsidRPr="008808F6">
        <w:t>embed</w:t>
      </w:r>
      <w:r w:rsidR="00E40E39">
        <w:t>ding</w:t>
      </w:r>
      <w:r w:rsidR="00B43447" w:rsidRPr="008808F6">
        <w:t xml:space="preserve"> the nursing voice </w:t>
      </w:r>
      <w:r w:rsidR="00C276DC" w:rsidRPr="008808F6">
        <w:t xml:space="preserve">in decision making </w:t>
      </w:r>
      <w:r w:rsidR="00B43447" w:rsidRPr="008808F6">
        <w:t xml:space="preserve">at every level of the system. </w:t>
      </w:r>
      <w:r w:rsidR="00A91CF9">
        <w:t xml:space="preserve"> Garnering </w:t>
      </w:r>
      <w:r w:rsidR="00D30389">
        <w:t xml:space="preserve">the lessons from </w:t>
      </w:r>
      <w:r w:rsidR="000432DF" w:rsidRPr="008808F6">
        <w:t>safe staffing</w:t>
      </w:r>
      <w:r w:rsidR="00D30389">
        <w:t xml:space="preserve"> initiatives such as those which have translated into </w:t>
      </w:r>
      <w:r w:rsidR="001510C5" w:rsidRPr="008808F6">
        <w:t>legislati</w:t>
      </w:r>
      <w:r w:rsidR="00D30389">
        <w:t xml:space="preserve">on </w:t>
      </w:r>
      <w:r w:rsidR="001510C5" w:rsidRPr="008808F6">
        <w:t>in California, Victoria and Queensland in Australia and now Wales in the UK</w:t>
      </w:r>
      <w:r w:rsidR="00D30389">
        <w:t xml:space="preserve"> w</w:t>
      </w:r>
      <w:r w:rsidR="00A91CF9">
        <w:t xml:space="preserve">ill </w:t>
      </w:r>
      <w:r w:rsidR="00D30389">
        <w:t xml:space="preserve">provide </w:t>
      </w:r>
      <w:r w:rsidR="00DB09D1">
        <w:t xml:space="preserve">further </w:t>
      </w:r>
      <w:r w:rsidR="00D30389">
        <w:t>case studies of nurses leading change</w:t>
      </w:r>
      <w:r w:rsidR="003C65D4">
        <w:t xml:space="preserve">. </w:t>
      </w:r>
      <w:r w:rsidR="00D30389">
        <w:t>Lev</w:t>
      </w:r>
      <w:r w:rsidR="00C276DC" w:rsidRPr="008808F6">
        <w:t>erag</w:t>
      </w:r>
      <w:r w:rsidR="00D30389">
        <w:t>ing</w:t>
      </w:r>
      <w:r w:rsidR="00C276DC" w:rsidRPr="008808F6">
        <w:t xml:space="preserve"> the lessons from these campaigns and strat</w:t>
      </w:r>
      <w:r w:rsidR="00D30389">
        <w:t>e</w:t>
      </w:r>
      <w:r w:rsidR="00C276DC" w:rsidRPr="008808F6">
        <w:t>gis</w:t>
      </w:r>
      <w:r w:rsidR="00D30389">
        <w:t>ing</w:t>
      </w:r>
      <w:r w:rsidR="00C276DC" w:rsidRPr="008808F6">
        <w:t xml:space="preserve"> across health jurisdictions</w:t>
      </w:r>
      <w:r w:rsidR="00D30389">
        <w:t xml:space="preserve"> </w:t>
      </w:r>
      <w:r w:rsidR="003C65D4">
        <w:t>will provide a policy option for Canada and elsewhere.</w:t>
      </w:r>
      <w:r w:rsidR="00C276DC" w:rsidRPr="003C5BF1">
        <w:t xml:space="preserve"> </w:t>
      </w:r>
      <w:r w:rsidR="00AB6821">
        <w:lastRenderedPageBreak/>
        <w:t xml:space="preserve">Within </w:t>
      </w:r>
      <w:r w:rsidR="00C276DC" w:rsidRPr="003C5BF1">
        <w:t>Canada</w:t>
      </w:r>
      <w:r w:rsidR="00A91CF9">
        <w:t>,</w:t>
      </w:r>
      <w:r w:rsidR="00C276DC" w:rsidRPr="003C5BF1">
        <w:t xml:space="preserve"> there is growing concern </w:t>
      </w:r>
      <w:r w:rsidR="00D62DD2">
        <w:t xml:space="preserve">about </w:t>
      </w:r>
      <w:r w:rsidR="00C276DC" w:rsidRPr="003C5BF1">
        <w:t xml:space="preserve">nursing workloads </w:t>
      </w:r>
      <w:r w:rsidR="00C276DC" w:rsidRPr="003C5BF1">
        <w:rPr>
          <w:highlight w:val="green"/>
        </w:rPr>
        <w:t>(MacPhee et al 2017)</w:t>
      </w:r>
      <w:r w:rsidR="00D62DD2">
        <w:t>. M</w:t>
      </w:r>
      <w:r w:rsidR="00E40E39">
        <w:t xml:space="preserve">omentum </w:t>
      </w:r>
      <w:r w:rsidR="00A91CF9">
        <w:t xml:space="preserve">is </w:t>
      </w:r>
      <w:r w:rsidR="00E40E39">
        <w:t xml:space="preserve">building to </w:t>
      </w:r>
      <w:r w:rsidR="00A91CF9">
        <w:t>debate st</w:t>
      </w:r>
      <w:r w:rsidR="00E40E39">
        <w:t>affing legislation in British Columbia</w:t>
      </w:r>
      <w:r w:rsidR="00A91CF9">
        <w:t>.</w:t>
      </w:r>
      <w:r w:rsidR="00E40E39">
        <w:t xml:space="preserve"> </w:t>
      </w:r>
      <w:r w:rsidR="0030239F" w:rsidRPr="00570F56">
        <w:t xml:space="preserve">Nurses have managed to make changes, expanding prescribing powers; </w:t>
      </w:r>
      <w:r w:rsidR="00A91CF9">
        <w:t xml:space="preserve">scope of practice in increasing access ot services and </w:t>
      </w:r>
      <w:r w:rsidR="0030239F" w:rsidRPr="00570F56">
        <w:t>breaking the link between the economic needs of hospitals and nurse training</w:t>
      </w:r>
      <w:r w:rsidR="00570853" w:rsidRPr="00570F56">
        <w:t>.</w:t>
      </w:r>
      <w:r w:rsidR="00FC7A13" w:rsidRPr="00570F56">
        <w:t xml:space="preserve"> </w:t>
      </w:r>
      <w:r w:rsidR="00A91CF9">
        <w:t>I</w:t>
      </w:r>
      <w:r w:rsidR="00DC55D4">
        <w:t>nvesting in a better educated workforce in sufficient numbers able to work at full scope of practice</w:t>
      </w:r>
      <w:r w:rsidR="00A91CF9">
        <w:t xml:space="preserve"> will </w:t>
      </w:r>
      <w:r w:rsidR="00DB09D1">
        <w:t>enable a</w:t>
      </w:r>
      <w:r w:rsidR="00A91CF9">
        <w:t>n enhanced value proposition for the profession and publi</w:t>
      </w:r>
      <w:r w:rsidR="00FF7264">
        <w:t xml:space="preserve">c thereby </w:t>
      </w:r>
      <w:r w:rsidR="00FC6FFA">
        <w:t xml:space="preserve">and </w:t>
      </w:r>
      <w:r w:rsidR="00FF7264">
        <w:t>secur</w:t>
      </w:r>
      <w:r w:rsidR="00FC6FFA">
        <w:t>e</w:t>
      </w:r>
      <w:r w:rsidR="00FF7264">
        <w:t xml:space="preserve"> a better future for health  care.</w:t>
      </w:r>
    </w:p>
    <w:p w:rsidR="00FF7264" w:rsidRDefault="00FF7264" w:rsidP="00C22BF3">
      <w:pPr>
        <w:spacing w:line="480" w:lineRule="auto"/>
        <w:jc w:val="both"/>
      </w:pPr>
    </w:p>
    <w:p w:rsidR="00E72727" w:rsidRDefault="001B2333" w:rsidP="00570F56">
      <w:pPr>
        <w:spacing w:line="480" w:lineRule="auto"/>
        <w:jc w:val="both"/>
      </w:pPr>
      <w:r>
        <w:t>Acknowledgements</w:t>
      </w:r>
    </w:p>
    <w:p w:rsidR="001B2333" w:rsidRPr="00570F56" w:rsidRDefault="001B2333" w:rsidP="00570F56">
      <w:pPr>
        <w:spacing w:line="480" w:lineRule="auto"/>
        <w:jc w:val="both"/>
      </w:pPr>
      <w:r>
        <w:t xml:space="preserve">Many thanks to the editors, peer viewiers and Olga Boiko and Julie Hipperson for </w:t>
      </w:r>
      <w:r w:rsidR="00C9180A">
        <w:t xml:space="preserve">their </w:t>
      </w:r>
      <w:r>
        <w:t>helpful comments.</w:t>
      </w:r>
    </w:p>
    <w:p w:rsidR="00E72727" w:rsidRPr="00570F56" w:rsidRDefault="00E72727" w:rsidP="00570F56">
      <w:pPr>
        <w:spacing w:line="480" w:lineRule="auto"/>
        <w:jc w:val="both"/>
      </w:pPr>
    </w:p>
    <w:p w:rsidR="00D47C73" w:rsidRPr="003C5BF1" w:rsidRDefault="00934A17" w:rsidP="00570F56">
      <w:pPr>
        <w:spacing w:line="480" w:lineRule="auto"/>
        <w:jc w:val="both"/>
        <w:rPr>
          <w:b/>
        </w:rPr>
      </w:pPr>
      <w:r w:rsidRPr="003C5BF1">
        <w:rPr>
          <w:b/>
        </w:rPr>
        <w:t>References</w:t>
      </w:r>
    </w:p>
    <w:p w:rsidR="00FE1559" w:rsidRPr="00570F56" w:rsidRDefault="00FE1559" w:rsidP="00570F56">
      <w:pPr>
        <w:spacing w:line="480" w:lineRule="auto"/>
        <w:jc w:val="both"/>
      </w:pPr>
    </w:p>
    <w:p w:rsidR="00FE1559" w:rsidRDefault="00295693" w:rsidP="00570F56">
      <w:pPr>
        <w:shd w:val="clear" w:color="auto" w:fill="FFFFFF"/>
        <w:spacing w:after="100" w:afterAutospacing="1" w:line="480" w:lineRule="auto"/>
        <w:jc w:val="both"/>
        <w:rPr>
          <w:rFonts w:eastAsia="Times New Roman"/>
          <w:kern w:val="36"/>
          <w:lang w:eastAsia="en-GB"/>
        </w:rPr>
      </w:pPr>
      <w:r>
        <w:rPr>
          <w:rFonts w:eastAsia="Times New Roman"/>
          <w:kern w:val="36"/>
          <w:lang w:eastAsia="en-GB"/>
        </w:rPr>
        <w:t xml:space="preserve">Aiken, L., Smith, H.L, Lake, E.T. (1994), ‘Lower Medicare mortality among a set of hospitals known for good nursing care, </w:t>
      </w:r>
      <w:r>
        <w:rPr>
          <w:rFonts w:eastAsia="Times New Roman"/>
          <w:i/>
          <w:kern w:val="36"/>
          <w:lang w:eastAsia="en-GB"/>
        </w:rPr>
        <w:t>Medical Care</w:t>
      </w:r>
      <w:r>
        <w:rPr>
          <w:rFonts w:eastAsia="Times New Roman"/>
          <w:kern w:val="36"/>
          <w:lang w:eastAsia="en-GB"/>
        </w:rPr>
        <w:t>, 32(8), 771-87.</w:t>
      </w:r>
    </w:p>
    <w:p w:rsidR="00493325" w:rsidRPr="00A214E7" w:rsidRDefault="005C6F0F" w:rsidP="00570F56">
      <w:pPr>
        <w:shd w:val="clear" w:color="auto" w:fill="FFFFFF"/>
        <w:spacing w:after="100" w:afterAutospacing="1" w:line="480" w:lineRule="auto"/>
        <w:jc w:val="both"/>
        <w:rPr>
          <w:rFonts w:eastAsia="Times New Roman"/>
          <w:bCs/>
          <w:kern w:val="36"/>
          <w:lang w:eastAsia="en-GB"/>
        </w:rPr>
      </w:pPr>
      <w:r w:rsidRPr="00A214E7">
        <w:rPr>
          <w:rFonts w:eastAsia="Times New Roman"/>
          <w:kern w:val="36"/>
          <w:lang w:eastAsia="en-GB"/>
        </w:rPr>
        <w:t>Aiken, L., Sloane, D.M., Cimiotti, J.P., Clarke, S.P., Flynn, L., Seago, J.A., Spetz, J., Smith, H.L.</w:t>
      </w:r>
      <w:r w:rsidRPr="00A214E7">
        <w:rPr>
          <w:rFonts w:eastAsia="Times New Roman"/>
          <w:bCs/>
          <w:kern w:val="36"/>
          <w:lang w:eastAsia="en-GB"/>
        </w:rPr>
        <w:t xml:space="preserve"> (2010), ‘Implications of the California nurse staffing mandate for other states’, </w:t>
      </w:r>
      <w:r w:rsidRPr="00A214E7">
        <w:rPr>
          <w:rFonts w:eastAsia="Times New Roman"/>
          <w:bCs/>
          <w:i/>
          <w:kern w:val="36"/>
          <w:lang w:eastAsia="en-GB"/>
        </w:rPr>
        <w:t>Health Service Research</w:t>
      </w:r>
      <w:r w:rsidRPr="00A214E7">
        <w:rPr>
          <w:rFonts w:eastAsia="Times New Roman"/>
          <w:bCs/>
          <w:kern w:val="36"/>
          <w:lang w:eastAsia="en-GB"/>
        </w:rPr>
        <w:t xml:space="preserve">, 45(4): 904-921. </w:t>
      </w:r>
    </w:p>
    <w:p w:rsidR="007A7153" w:rsidRDefault="007A7153" w:rsidP="00570F56">
      <w:pPr>
        <w:pStyle w:val="Heading1"/>
        <w:spacing w:before="120" w:after="120" w:line="480" w:lineRule="auto"/>
        <w:jc w:val="both"/>
        <w:rPr>
          <w:rFonts w:ascii="Times New Roman" w:eastAsiaTheme="minorHAnsi" w:hAnsi="Times New Roman" w:cs="Times New Roman"/>
          <w:color w:val="auto"/>
          <w:sz w:val="24"/>
          <w:szCs w:val="24"/>
          <w:shd w:val="clear" w:color="auto" w:fill="FFFFFF"/>
        </w:rPr>
      </w:pPr>
      <w:r w:rsidRPr="00A214E7">
        <w:rPr>
          <w:rFonts w:ascii="Times New Roman" w:eastAsiaTheme="minorHAnsi" w:hAnsi="Times New Roman" w:cs="Times New Roman"/>
          <w:color w:val="auto"/>
          <w:sz w:val="24"/>
          <w:szCs w:val="24"/>
          <w:shd w:val="clear" w:color="auto" w:fill="FFFFFF"/>
        </w:rPr>
        <w:lastRenderedPageBreak/>
        <w:t xml:space="preserve">Aiken, L.H., Sloane, D.M., Bruyneel, L., Van den Heede, K., Griffiths, P., Busse., R., Diomidous, M., Kinnunen, J., Kozka, M., Lesaffre, E., McHugh, M., Moreno-Casbas, M.T., Rafferty, A.M., Schwendimann, R., Tishelman, C., van Achterberg, T., and Sermeus, W. (2014), ‘Nurse staffing and education and hospital mortality in nine European countries: a retrospective observational study’, </w:t>
      </w:r>
      <w:r w:rsidRPr="00A214E7">
        <w:rPr>
          <w:rFonts w:ascii="Times New Roman" w:eastAsiaTheme="minorHAnsi" w:hAnsi="Times New Roman" w:cs="Times New Roman"/>
          <w:i/>
          <w:color w:val="auto"/>
          <w:sz w:val="24"/>
          <w:szCs w:val="24"/>
          <w:shd w:val="clear" w:color="auto" w:fill="FFFFFF"/>
        </w:rPr>
        <w:t>Lancet</w:t>
      </w:r>
      <w:r w:rsidRPr="00A214E7">
        <w:rPr>
          <w:rFonts w:ascii="Times New Roman" w:eastAsiaTheme="minorHAnsi" w:hAnsi="Times New Roman" w:cs="Times New Roman"/>
          <w:color w:val="auto"/>
          <w:sz w:val="24"/>
          <w:szCs w:val="24"/>
          <w:shd w:val="clear" w:color="auto" w:fill="FFFFFF"/>
        </w:rPr>
        <w:t>, 383 (9931): 1824-1830.</w:t>
      </w:r>
    </w:p>
    <w:p w:rsidR="00EB08AF" w:rsidRPr="00EB08AF" w:rsidRDefault="00EB08AF" w:rsidP="00EB08AF"/>
    <w:p w:rsidR="009914C6" w:rsidRDefault="009914C6"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r w:rsidRPr="00A214E7">
        <w:rPr>
          <w:rFonts w:eastAsia="Times New Roman"/>
          <w:iCs/>
          <w:bdr w:val="none" w:sz="0" w:space="0" w:color="auto" w:frame="1"/>
          <w:lang w:eastAsia="en-GB"/>
        </w:rPr>
        <w:t>Aiken, L.H.,</w:t>
      </w:r>
      <w:r w:rsidRPr="00A214E7">
        <w:rPr>
          <w:rFonts w:eastAsia="Times New Roman"/>
          <w:iCs/>
          <w:lang w:eastAsia="en-GB"/>
        </w:rPr>
        <w:t xml:space="preserve"> </w:t>
      </w:r>
      <w:r w:rsidR="006475D2" w:rsidRPr="00A214E7">
        <w:rPr>
          <w:rFonts w:eastAsia="Times New Roman"/>
          <w:iCs/>
          <w:bdr w:val="none" w:sz="0" w:space="0" w:color="auto" w:frame="1"/>
          <w:lang w:eastAsia="en-GB"/>
        </w:rPr>
        <w:t>Sermeus, W</w:t>
      </w:r>
      <w:r w:rsidRPr="00A214E7">
        <w:rPr>
          <w:rFonts w:eastAsia="Times New Roman"/>
          <w:iCs/>
          <w:bdr w:val="none" w:sz="0" w:space="0" w:color="auto" w:frame="1"/>
          <w:lang w:eastAsia="en-GB"/>
        </w:rPr>
        <w:t>., Van den Heede, K., Sloane, D.M.,</w:t>
      </w:r>
      <w:r w:rsidRPr="00A214E7">
        <w:rPr>
          <w:rFonts w:eastAsia="Times New Roman"/>
          <w:iCs/>
          <w:lang w:eastAsia="en-GB"/>
        </w:rPr>
        <w:t> </w:t>
      </w:r>
      <w:r w:rsidRPr="00A214E7">
        <w:rPr>
          <w:rFonts w:eastAsia="Times New Roman"/>
          <w:iCs/>
          <w:bdr w:val="none" w:sz="0" w:space="0" w:color="auto" w:frame="1"/>
          <w:lang w:eastAsia="en-GB"/>
        </w:rPr>
        <w:t>Busse, R.,</w:t>
      </w:r>
      <w:r w:rsidRPr="00A214E7">
        <w:rPr>
          <w:rFonts w:eastAsia="Times New Roman"/>
          <w:iCs/>
          <w:lang w:eastAsia="en-GB"/>
        </w:rPr>
        <w:t xml:space="preserve"> </w:t>
      </w:r>
      <w:r w:rsidRPr="00A214E7">
        <w:rPr>
          <w:rFonts w:eastAsia="Times New Roman"/>
          <w:iCs/>
          <w:bdr w:val="none" w:sz="0" w:space="0" w:color="auto" w:frame="1"/>
          <w:lang w:eastAsia="en-GB"/>
        </w:rPr>
        <w:t>McKee, M., Bruyneel, L.,</w:t>
      </w:r>
      <w:r w:rsidRPr="00A214E7">
        <w:rPr>
          <w:rFonts w:eastAsia="Times New Roman"/>
          <w:iCs/>
          <w:lang w:eastAsia="en-GB"/>
        </w:rPr>
        <w:t> </w:t>
      </w:r>
      <w:r w:rsidRPr="00A214E7">
        <w:rPr>
          <w:rFonts w:eastAsia="Times New Roman"/>
          <w:iCs/>
          <w:bdr w:val="none" w:sz="0" w:space="0" w:color="auto" w:frame="1"/>
          <w:lang w:eastAsia="en-GB"/>
        </w:rPr>
        <w:t xml:space="preserve">Rafferty, A.M., </w:t>
      </w:r>
      <w:r w:rsidRPr="00A214E7">
        <w:rPr>
          <w:rFonts w:eastAsia="Times New Roman"/>
          <w:iCs/>
          <w:lang w:eastAsia="en-GB"/>
        </w:rPr>
        <w:t> </w:t>
      </w:r>
      <w:r w:rsidRPr="00A214E7">
        <w:rPr>
          <w:rFonts w:eastAsia="Times New Roman"/>
          <w:iCs/>
          <w:bdr w:val="none" w:sz="0" w:space="0" w:color="auto" w:frame="1"/>
          <w:lang w:eastAsia="en-GB"/>
        </w:rPr>
        <w:t>Griffiths, P.,</w:t>
      </w:r>
      <w:r w:rsidRPr="00A214E7">
        <w:rPr>
          <w:rFonts w:eastAsia="Times New Roman"/>
          <w:iCs/>
          <w:lang w:eastAsia="en-GB"/>
        </w:rPr>
        <w:t xml:space="preserve"> </w:t>
      </w:r>
      <w:r w:rsidRPr="00A214E7">
        <w:rPr>
          <w:rFonts w:eastAsia="Times New Roman"/>
          <w:iCs/>
          <w:bdr w:val="none" w:sz="0" w:space="0" w:color="auto" w:frame="1"/>
          <w:lang w:eastAsia="en-GB"/>
        </w:rPr>
        <w:t>Moreno-Casbas, M.T.</w:t>
      </w:r>
      <w:r w:rsidRPr="00A214E7">
        <w:rPr>
          <w:rFonts w:eastAsia="Times New Roman"/>
          <w:iCs/>
          <w:lang w:eastAsia="en-GB"/>
        </w:rPr>
        <w:t xml:space="preserve">, </w:t>
      </w:r>
      <w:r w:rsidRPr="00A214E7">
        <w:rPr>
          <w:rFonts w:eastAsia="Times New Roman"/>
          <w:iCs/>
          <w:bdr w:val="none" w:sz="0" w:space="0" w:color="auto" w:frame="1"/>
          <w:lang w:eastAsia="en-GB"/>
        </w:rPr>
        <w:t>Tishelman, C.,</w:t>
      </w:r>
      <w:r w:rsidRPr="00A214E7">
        <w:rPr>
          <w:rFonts w:eastAsia="Times New Roman"/>
          <w:iCs/>
          <w:lang w:eastAsia="en-GB"/>
        </w:rPr>
        <w:t xml:space="preserve"> </w:t>
      </w:r>
      <w:r w:rsidRPr="00A214E7">
        <w:rPr>
          <w:rFonts w:eastAsia="Times New Roman"/>
          <w:iCs/>
          <w:bdr w:val="none" w:sz="0" w:space="0" w:color="auto" w:frame="1"/>
          <w:lang w:eastAsia="en-GB"/>
        </w:rPr>
        <w:t xml:space="preserve">Scott, A., Brzostek, T., Kinnunen, J., </w:t>
      </w:r>
      <w:r w:rsidRPr="00A214E7">
        <w:rPr>
          <w:rFonts w:eastAsia="Times New Roman"/>
          <w:iCs/>
          <w:lang w:eastAsia="en-GB"/>
        </w:rPr>
        <w:t> </w:t>
      </w:r>
      <w:r w:rsidRPr="00A214E7">
        <w:rPr>
          <w:rFonts w:eastAsia="Times New Roman"/>
          <w:iCs/>
          <w:bdr w:val="none" w:sz="0" w:space="0" w:color="auto" w:frame="1"/>
          <w:lang w:eastAsia="en-GB"/>
        </w:rPr>
        <w:t xml:space="preserve">Schwendimann, R., Heinen, M., </w:t>
      </w:r>
      <w:r w:rsidRPr="00A214E7">
        <w:rPr>
          <w:rFonts w:eastAsia="Times New Roman"/>
          <w:iCs/>
          <w:lang w:eastAsia="en-GB"/>
        </w:rPr>
        <w:t> </w:t>
      </w:r>
      <w:r w:rsidRPr="00A214E7">
        <w:rPr>
          <w:rFonts w:eastAsia="Times New Roman"/>
          <w:iCs/>
          <w:bdr w:val="none" w:sz="0" w:space="0" w:color="auto" w:frame="1"/>
          <w:lang w:eastAsia="en-GB"/>
        </w:rPr>
        <w:t xml:space="preserve">Zikos, D., </w:t>
      </w:r>
      <w:r w:rsidRPr="00A214E7">
        <w:rPr>
          <w:rFonts w:eastAsia="Times New Roman"/>
          <w:iCs/>
          <w:lang w:eastAsia="en-GB"/>
        </w:rPr>
        <w:t> </w:t>
      </w:r>
      <w:r w:rsidRPr="00A214E7">
        <w:rPr>
          <w:rFonts w:eastAsia="Times New Roman"/>
          <w:iCs/>
          <w:bdr w:val="none" w:sz="0" w:space="0" w:color="auto" w:frame="1"/>
          <w:lang w:eastAsia="en-GB"/>
        </w:rPr>
        <w:t>Strømseng Sjetne, I.</w:t>
      </w:r>
      <w:r w:rsidRPr="00A214E7">
        <w:rPr>
          <w:rFonts w:eastAsia="Times New Roman"/>
          <w:iCs/>
          <w:lang w:eastAsia="en-GB"/>
        </w:rPr>
        <w:t>,</w:t>
      </w:r>
      <w:r w:rsidRPr="00A214E7">
        <w:rPr>
          <w:rFonts w:eastAsia="Times New Roman"/>
          <w:iCs/>
          <w:bdr w:val="none" w:sz="0" w:space="0" w:color="auto" w:frame="1"/>
          <w:lang w:eastAsia="en-GB"/>
        </w:rPr>
        <w:t xml:space="preserve"> Smith, H.L., </w:t>
      </w:r>
      <w:r w:rsidRPr="00A214E7">
        <w:rPr>
          <w:rFonts w:eastAsia="Times New Roman"/>
          <w:iCs/>
          <w:lang w:eastAsia="en-GB"/>
        </w:rPr>
        <w:t> </w:t>
      </w:r>
      <w:r w:rsidRPr="00A214E7">
        <w:rPr>
          <w:rFonts w:eastAsia="Times New Roman"/>
          <w:iCs/>
          <w:bdr w:val="none" w:sz="0" w:space="0" w:color="auto" w:frame="1"/>
          <w:lang w:eastAsia="en-GB"/>
        </w:rPr>
        <w:t xml:space="preserve">Kutney-Lee, A. (2012) ‘Patient safety, satisfaction, and quality of hospital care: cross sectional surveys of nurses and patients in 12 countries in </w:t>
      </w:r>
      <w:r w:rsidR="00660BCE">
        <w:rPr>
          <w:rFonts w:eastAsia="Times New Roman"/>
          <w:iCs/>
          <w:bdr w:val="none" w:sz="0" w:space="0" w:color="auto" w:frame="1"/>
          <w:lang w:eastAsia="en-GB"/>
        </w:rPr>
        <w:t xml:space="preserve">Europe and the United States’,  </w:t>
      </w:r>
      <w:r w:rsidRPr="00A214E7">
        <w:rPr>
          <w:rFonts w:eastAsia="Times New Roman"/>
          <w:i/>
          <w:bdr w:val="none" w:sz="0" w:space="0" w:color="auto" w:frame="1"/>
          <w:shd w:val="clear" w:color="auto" w:fill="FFFFFF"/>
          <w:lang w:eastAsia="en-GB"/>
        </w:rPr>
        <w:t>BMJ</w:t>
      </w:r>
      <w:r w:rsidR="007157FA">
        <w:rPr>
          <w:rFonts w:eastAsia="Times New Roman"/>
          <w:i/>
          <w:bdr w:val="none" w:sz="0" w:space="0" w:color="auto" w:frame="1"/>
          <w:shd w:val="clear" w:color="auto" w:fill="FFFFFF"/>
          <w:lang w:eastAsia="en-GB"/>
        </w:rPr>
        <w:t xml:space="preserve">, </w:t>
      </w:r>
      <w:r w:rsidR="00A33299">
        <w:rPr>
          <w:rFonts w:eastAsia="Times New Roman"/>
          <w:bdr w:val="none" w:sz="0" w:space="0" w:color="auto" w:frame="1"/>
          <w:shd w:val="clear" w:color="auto" w:fill="FFFFFF"/>
          <w:lang w:eastAsia="en-GB"/>
        </w:rPr>
        <w:t>344 (</w:t>
      </w:r>
      <w:r w:rsidRPr="00A214E7">
        <w:rPr>
          <w:rFonts w:eastAsia="Times New Roman"/>
          <w:bdr w:val="none" w:sz="0" w:space="0" w:color="auto" w:frame="1"/>
          <w:shd w:val="clear" w:color="auto" w:fill="FFFFFF"/>
          <w:lang w:eastAsia="en-GB"/>
        </w:rPr>
        <w:t>e1717</w:t>
      </w:r>
      <w:r w:rsidR="00A33299">
        <w:rPr>
          <w:rFonts w:eastAsia="Times New Roman"/>
          <w:bdr w:val="none" w:sz="0" w:space="0" w:color="auto" w:frame="1"/>
          <w:shd w:val="clear" w:color="auto" w:fill="FFFFFF"/>
          <w:lang w:eastAsia="en-GB"/>
        </w:rPr>
        <w:t>).</w:t>
      </w:r>
    </w:p>
    <w:p w:rsidR="00EB08AF" w:rsidRDefault="00EB08AF"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p>
    <w:p w:rsidR="00DE111D" w:rsidRDefault="00DE111D" w:rsidP="002C762C">
      <w:pPr>
        <w:shd w:val="clear" w:color="auto" w:fill="FFFFFF"/>
        <w:spacing w:line="480" w:lineRule="auto"/>
        <w:jc w:val="both"/>
        <w:rPr>
          <w:rFonts w:eastAsia="Times New Roman"/>
          <w:color w:val="333333"/>
          <w:lang w:val="en-GB" w:eastAsia="en-GB"/>
        </w:rPr>
      </w:pPr>
      <w:r>
        <w:rPr>
          <w:rFonts w:eastAsia="Times New Roman"/>
          <w:color w:val="333333"/>
          <w:lang w:val="en-GB" w:eastAsia="en-GB"/>
        </w:rPr>
        <w:t>Aiken L.H., Sloane, D.M., Rafferty, A.M., Bruyneel.L., McHugh, M., Maier, C.B., Moreno-Casbas,T., Ball, J.E., Ausserhofer.D., Sermeus.W. (2016) ‘</w:t>
      </w:r>
      <w:r w:rsidRPr="00DE111D">
        <w:rPr>
          <w:rFonts w:eastAsia="Times New Roman"/>
          <w:color w:val="333333"/>
          <w:lang w:val="en-GB" w:eastAsia="en-GB"/>
        </w:rPr>
        <w:t>Nursing skill mix in European hospitals: cross-sectional study of the association with mortality, patient ratings, and quality of care</w:t>
      </w:r>
      <w:r>
        <w:rPr>
          <w:rFonts w:eastAsia="Times New Roman"/>
          <w:color w:val="333333"/>
          <w:lang w:val="en-GB" w:eastAsia="en-GB"/>
        </w:rPr>
        <w:t>’</w:t>
      </w:r>
      <w:r w:rsidR="00E23518">
        <w:rPr>
          <w:rFonts w:eastAsia="Times New Roman"/>
          <w:color w:val="333333"/>
          <w:lang w:val="en-GB" w:eastAsia="en-GB"/>
        </w:rPr>
        <w:t xml:space="preserve">, </w:t>
      </w:r>
      <w:r w:rsidR="00E23518" w:rsidRPr="009D51AE">
        <w:rPr>
          <w:rFonts w:eastAsia="Times New Roman"/>
          <w:i/>
          <w:color w:val="333333"/>
          <w:lang w:val="en-GB" w:eastAsia="en-GB"/>
        </w:rPr>
        <w:t>BMJ,</w:t>
      </w:r>
      <w:r w:rsidR="00E23518">
        <w:rPr>
          <w:rFonts w:eastAsia="Times New Roman"/>
          <w:color w:val="333333"/>
          <w:lang w:val="en-GB" w:eastAsia="en-GB"/>
        </w:rPr>
        <w:t xml:space="preserve"> </w:t>
      </w:r>
      <w:r w:rsidR="002C762C" w:rsidRPr="009D51AE">
        <w:rPr>
          <w:rFonts w:eastAsia="Times New Roman"/>
          <w:color w:val="333333"/>
          <w:lang w:val="en-GB" w:eastAsia="en-GB"/>
        </w:rPr>
        <w:t>http://dx.doi.org/10.1136/bmjqs-2016-005567</w:t>
      </w:r>
    </w:p>
    <w:p w:rsidR="002C762C" w:rsidRPr="002C762C" w:rsidRDefault="002C762C" w:rsidP="002C762C">
      <w:pPr>
        <w:shd w:val="clear" w:color="auto" w:fill="FFFFFF"/>
        <w:spacing w:line="480" w:lineRule="auto"/>
        <w:jc w:val="both"/>
        <w:rPr>
          <w:rFonts w:eastAsia="Times New Roman"/>
          <w:color w:val="333333"/>
          <w:lang w:val="en-GB" w:eastAsia="en-GB"/>
        </w:rPr>
      </w:pPr>
    </w:p>
    <w:p w:rsidR="00FE1559" w:rsidRPr="00A214E7" w:rsidRDefault="00493325" w:rsidP="00570F56">
      <w:pPr>
        <w:shd w:val="clear" w:color="auto" w:fill="FFFFFF"/>
        <w:spacing w:after="100" w:afterAutospacing="1" w:line="480" w:lineRule="auto"/>
        <w:jc w:val="both"/>
      </w:pPr>
      <w:r w:rsidRPr="00A214E7">
        <w:rPr>
          <w:rFonts w:eastAsia="Times New Roman"/>
          <w:bdr w:val="none" w:sz="0" w:space="0" w:color="auto" w:frame="1"/>
          <w:shd w:val="clear" w:color="auto" w:fill="FFFFFF"/>
          <w:lang w:eastAsia="en-GB"/>
        </w:rPr>
        <w:t xml:space="preserve">Ausserhofer D, Zander B, Busse R, Schubert M, De Geest S, Rafferty AM, Ball J, Scott A, Kinnunen J, Heinen M, </w:t>
      </w:r>
      <w:r w:rsidRPr="00A214E7">
        <w:t xml:space="preserve">Strømseng Sjetne I, Moreno-Casbas T, Kózka M,  Lindqvist R, Diomidous M, Bruyneel L, Sermeus W, Aiken L, Schwendimann R. (2013) ‘Prevalence, patterns and predictors of nursing care left undone in European hospitals: results from the multicountry cross-sectional RN4CAST study’, </w:t>
      </w:r>
      <w:r w:rsidRPr="00A214E7">
        <w:rPr>
          <w:i/>
        </w:rPr>
        <w:t>BMJ Quality and Safety</w:t>
      </w:r>
      <w:r w:rsidRPr="00A214E7">
        <w:t xml:space="preserve">, 23(2): 126-35. </w:t>
      </w:r>
    </w:p>
    <w:p w:rsidR="00E2238F" w:rsidRPr="00A214E7" w:rsidRDefault="00E2238F" w:rsidP="00570F56">
      <w:pPr>
        <w:shd w:val="clear" w:color="auto" w:fill="FFFFFF"/>
        <w:spacing w:before="240" w:after="120" w:line="480" w:lineRule="auto"/>
        <w:jc w:val="both"/>
        <w:outlineLvl w:val="0"/>
        <w:rPr>
          <w:rFonts w:eastAsia="Times New Roman"/>
          <w:color w:val="000000"/>
          <w:lang w:eastAsia="en-GB"/>
        </w:rPr>
      </w:pPr>
      <w:r w:rsidRPr="00A214E7">
        <w:lastRenderedPageBreak/>
        <w:t>Ball, J., Murrells, T., Rafferty, A.M., Morrow, E., Griffiths, P. (2014), ‘“</w:t>
      </w:r>
      <w:r w:rsidRPr="00A214E7">
        <w:rPr>
          <w:rFonts w:eastAsia="Times New Roman"/>
          <w:bCs/>
          <w:color w:val="000000"/>
          <w:kern w:val="36"/>
          <w:lang w:eastAsia="en-GB"/>
        </w:rPr>
        <w:t xml:space="preserve">Care left undone” during nursing shifts: associations with workload and perceived quality of care’, </w:t>
      </w:r>
      <w:r w:rsidRPr="00A214E7">
        <w:rPr>
          <w:rFonts w:eastAsia="Times New Roman"/>
          <w:i/>
          <w:lang w:eastAsia="en-GB"/>
        </w:rPr>
        <w:t>BMJ Quality and Safety</w:t>
      </w:r>
      <w:r w:rsidRPr="00A214E7">
        <w:rPr>
          <w:rFonts w:eastAsia="Times New Roman"/>
          <w:lang w:eastAsia="en-GB"/>
        </w:rPr>
        <w:t xml:space="preserve">, </w:t>
      </w:r>
      <w:r w:rsidRPr="00A214E7">
        <w:rPr>
          <w:rFonts w:eastAsia="Times New Roman"/>
          <w:color w:val="000000"/>
          <w:lang w:eastAsia="en-GB"/>
        </w:rPr>
        <w:t>23(2): 116–125.</w:t>
      </w:r>
    </w:p>
    <w:p w:rsidR="00DA5CBE" w:rsidRDefault="00FB4B96" w:rsidP="00570F56">
      <w:pPr>
        <w:spacing w:line="480" w:lineRule="auto"/>
        <w:jc w:val="both"/>
        <w:rPr>
          <w:rFonts w:eastAsia="Times New Roman"/>
          <w:lang w:eastAsia="en-GB"/>
        </w:rPr>
      </w:pPr>
      <w:r>
        <w:rPr>
          <w:rFonts w:eastAsia="Times New Roman"/>
          <w:lang w:eastAsia="en-GB"/>
        </w:rPr>
        <w:t xml:space="preserve">Bennett, F ‘The Impact of Austerity on Women’ Women’s Budget Group, Oxford </w:t>
      </w:r>
      <w:hyperlink r:id="rId11" w:history="1">
        <w:r w:rsidRPr="00E8784D">
          <w:rPr>
            <w:rStyle w:val="Hyperlink"/>
            <w:rFonts w:eastAsia="Times New Roman"/>
            <w:lang w:eastAsia="en-GB"/>
          </w:rPr>
          <w:t>http://www.social-policy.org.uk/wordpress/wp-content/uploads/2015/04/16_bennett.pdf</w:t>
        </w:r>
      </w:hyperlink>
    </w:p>
    <w:p w:rsidR="00FB4B96" w:rsidRPr="00A214E7" w:rsidRDefault="00FB4B96" w:rsidP="00570F56">
      <w:pPr>
        <w:spacing w:line="480" w:lineRule="auto"/>
        <w:jc w:val="both"/>
        <w:rPr>
          <w:rFonts w:eastAsia="Times New Roman"/>
          <w:lang w:eastAsia="en-GB"/>
        </w:rPr>
      </w:pPr>
    </w:p>
    <w:p w:rsidR="00DA5CBE" w:rsidRDefault="00DA5CBE" w:rsidP="00570F56">
      <w:pPr>
        <w:shd w:val="clear" w:color="auto" w:fill="FFFFFF"/>
        <w:spacing w:line="480" w:lineRule="auto"/>
        <w:ind w:right="300"/>
        <w:jc w:val="both"/>
        <w:textAlignment w:val="baseline"/>
        <w:rPr>
          <w:rFonts w:eastAsia="Times New Roman"/>
          <w:lang w:eastAsia="en-GB"/>
        </w:rPr>
      </w:pPr>
      <w:r w:rsidRPr="00A214E7">
        <w:rPr>
          <w:rFonts w:eastAsia="Times New Roman"/>
          <w:lang w:eastAsia="en-GB"/>
        </w:rPr>
        <w:t xml:space="preserve">Brooks J., Rafferty A.M. (2010), ‘Degrees of ambivalence: Attitudes towards pre-registration university education for nurses in Britain, 1930-1960’, </w:t>
      </w:r>
      <w:r w:rsidRPr="00A214E7">
        <w:rPr>
          <w:rFonts w:eastAsia="Times New Roman"/>
          <w:i/>
          <w:lang w:eastAsia="en-GB"/>
        </w:rPr>
        <w:t>Nurse Education Today</w:t>
      </w:r>
      <w:r w:rsidRPr="00A214E7">
        <w:rPr>
          <w:rFonts w:eastAsia="Times New Roman"/>
          <w:lang w:eastAsia="en-GB"/>
        </w:rPr>
        <w:t>, 30 (6): 579-583.</w:t>
      </w:r>
    </w:p>
    <w:p w:rsidR="006050D3" w:rsidRDefault="006050D3" w:rsidP="00570F56">
      <w:pPr>
        <w:shd w:val="clear" w:color="auto" w:fill="FFFFFF"/>
        <w:spacing w:line="480" w:lineRule="auto"/>
        <w:ind w:right="300"/>
        <w:jc w:val="both"/>
        <w:textAlignment w:val="baseline"/>
        <w:rPr>
          <w:rFonts w:eastAsia="Times New Roman"/>
          <w:lang w:eastAsia="en-GB"/>
        </w:rPr>
      </w:pPr>
    </w:p>
    <w:p w:rsidR="006050D3" w:rsidRDefault="006050D3" w:rsidP="00570F56">
      <w:pPr>
        <w:shd w:val="clear" w:color="auto" w:fill="FFFFFF"/>
        <w:spacing w:line="480" w:lineRule="auto"/>
        <w:ind w:right="300"/>
        <w:jc w:val="both"/>
        <w:textAlignment w:val="baseline"/>
        <w:rPr>
          <w:rFonts w:eastAsia="Times New Roman"/>
          <w:lang w:eastAsia="en-GB"/>
        </w:rPr>
      </w:pPr>
      <w:r>
        <w:rPr>
          <w:rFonts w:eastAsia="Times New Roman"/>
          <w:lang w:eastAsia="en-GB"/>
        </w:rPr>
        <w:t>Buchan, J Seecombe I and Charlesworth, A Staffing matters; funding counts, workforce profile and trends in the English NHS, The Health Foundation, London 2016</w:t>
      </w:r>
    </w:p>
    <w:p w:rsidR="00085321" w:rsidRDefault="00085321" w:rsidP="00570F56">
      <w:pPr>
        <w:shd w:val="clear" w:color="auto" w:fill="FFFFFF"/>
        <w:spacing w:line="480" w:lineRule="auto"/>
        <w:ind w:right="300"/>
        <w:jc w:val="both"/>
        <w:textAlignment w:val="baseline"/>
        <w:rPr>
          <w:rFonts w:eastAsia="Times New Roman"/>
          <w:lang w:eastAsia="en-GB"/>
        </w:rPr>
      </w:pPr>
    </w:p>
    <w:p w:rsidR="00B11252" w:rsidRDefault="00B11252" w:rsidP="00570F56">
      <w:pPr>
        <w:shd w:val="clear" w:color="auto" w:fill="FFFFFF"/>
        <w:spacing w:line="480" w:lineRule="auto"/>
        <w:ind w:right="300"/>
        <w:jc w:val="both"/>
        <w:textAlignment w:val="baseline"/>
        <w:rPr>
          <w:rFonts w:eastAsia="Times New Roman"/>
          <w:lang w:eastAsia="en-GB"/>
        </w:rPr>
      </w:pPr>
      <w:r>
        <w:rPr>
          <w:rFonts w:eastAsia="Times New Roman"/>
          <w:lang w:eastAsia="en-GB"/>
        </w:rPr>
        <w:t>Carter</w:t>
      </w:r>
      <w:r w:rsidR="00085321">
        <w:rPr>
          <w:rFonts w:eastAsia="Times New Roman"/>
          <w:lang w:eastAsia="en-GB"/>
        </w:rPr>
        <w:t>, G (1939)</w:t>
      </w:r>
      <w:r>
        <w:rPr>
          <w:rFonts w:eastAsia="Times New Roman"/>
          <w:lang w:eastAsia="en-GB"/>
        </w:rPr>
        <w:t xml:space="preserve">, </w:t>
      </w:r>
      <w:r w:rsidRPr="000D0D13">
        <w:rPr>
          <w:rFonts w:eastAsia="Times New Roman"/>
          <w:i/>
          <w:lang w:eastAsia="en-GB"/>
        </w:rPr>
        <w:t>A New Deal f</w:t>
      </w:r>
      <w:r w:rsidR="00085321" w:rsidRPr="000D0D13">
        <w:rPr>
          <w:rFonts w:eastAsia="Times New Roman"/>
          <w:i/>
          <w:lang w:eastAsia="en-GB"/>
        </w:rPr>
        <w:t>or Nurses</w:t>
      </w:r>
      <w:r w:rsidR="008B17FE">
        <w:rPr>
          <w:rFonts w:eastAsia="Times New Roman"/>
          <w:lang w:eastAsia="en-GB"/>
        </w:rPr>
        <w:t>.</w:t>
      </w:r>
      <w:r w:rsidR="00085321">
        <w:rPr>
          <w:rFonts w:eastAsia="Times New Roman"/>
          <w:lang w:eastAsia="en-GB"/>
        </w:rPr>
        <w:t xml:space="preserve"> London: Gollancz</w:t>
      </w:r>
    </w:p>
    <w:p w:rsidR="00B75B4A" w:rsidRDefault="00B75B4A" w:rsidP="00570F56">
      <w:pPr>
        <w:shd w:val="clear" w:color="auto" w:fill="FFFFFF"/>
        <w:spacing w:line="480" w:lineRule="auto"/>
        <w:ind w:right="300"/>
        <w:jc w:val="both"/>
        <w:textAlignment w:val="baseline"/>
        <w:rPr>
          <w:rFonts w:eastAsia="Times New Roman"/>
          <w:lang w:eastAsia="en-GB"/>
        </w:rPr>
      </w:pPr>
    </w:p>
    <w:p w:rsidR="00C25765" w:rsidRPr="00A214E7" w:rsidRDefault="00C25765" w:rsidP="00570F56">
      <w:pPr>
        <w:shd w:val="clear" w:color="auto" w:fill="FFFFFF"/>
        <w:spacing w:line="480" w:lineRule="auto"/>
        <w:ind w:right="300"/>
        <w:jc w:val="both"/>
        <w:textAlignment w:val="baseline"/>
        <w:rPr>
          <w:rFonts w:eastAsia="Times New Roman"/>
          <w:color w:val="595959"/>
          <w:lang w:eastAsia="en-GB"/>
        </w:rPr>
      </w:pPr>
      <w:r>
        <w:rPr>
          <w:rFonts w:eastAsia="Times New Roman"/>
          <w:lang w:eastAsia="en-GB"/>
        </w:rPr>
        <w:t>Department of Health, Operational productivity and performance in English NHS acute hospitals: Unwarranted variations (2016)</w:t>
      </w:r>
    </w:p>
    <w:p w:rsidR="007A7153" w:rsidRPr="00A214E7" w:rsidRDefault="007A7153" w:rsidP="00570F56">
      <w:pPr>
        <w:spacing w:line="480" w:lineRule="auto"/>
        <w:jc w:val="both"/>
        <w:rPr>
          <w:shd w:val="clear" w:color="auto" w:fill="FFFFFF"/>
        </w:rPr>
      </w:pPr>
    </w:p>
    <w:p w:rsidR="007A7153" w:rsidRPr="00A214E7" w:rsidRDefault="007A7153" w:rsidP="00570F56">
      <w:pPr>
        <w:spacing w:after="160" w:line="480" w:lineRule="auto"/>
        <w:jc w:val="both"/>
        <w:rPr>
          <w:shd w:val="clear" w:color="auto" w:fill="FFFFFF"/>
        </w:rPr>
      </w:pPr>
      <w:r w:rsidRPr="00A214E7">
        <w:rPr>
          <w:shd w:val="clear" w:color="auto" w:fill="FFFFFF"/>
        </w:rPr>
        <w:t>Dingwall, R., Rafferty, A.M. and Webster, C.</w:t>
      </w:r>
      <w:r w:rsidRPr="00A214E7">
        <w:rPr>
          <w:rStyle w:val="apple-converted-space"/>
          <w:shd w:val="clear" w:color="auto" w:fill="FFFFFF"/>
        </w:rPr>
        <w:t> (</w:t>
      </w:r>
      <w:r w:rsidR="00C41E19">
        <w:rPr>
          <w:shd w:val="clear" w:color="auto" w:fill="FFFFFF"/>
        </w:rPr>
        <w:t>1988</w:t>
      </w:r>
      <w:r w:rsidRPr="00A214E7">
        <w:rPr>
          <w:shd w:val="clear" w:color="auto" w:fill="FFFFFF"/>
        </w:rPr>
        <w:t>),</w:t>
      </w:r>
      <w:r w:rsidRPr="00A214E7">
        <w:rPr>
          <w:rStyle w:val="apple-converted-space"/>
          <w:shd w:val="clear" w:color="auto" w:fill="FFFFFF"/>
        </w:rPr>
        <w:t> </w:t>
      </w:r>
      <w:r w:rsidRPr="00A214E7">
        <w:rPr>
          <w:i/>
          <w:shd w:val="clear" w:color="auto" w:fill="FFFFFF"/>
        </w:rPr>
        <w:t>An introduction to the social history of nursing</w:t>
      </w:r>
      <w:r w:rsidRPr="00A214E7">
        <w:rPr>
          <w:shd w:val="clear" w:color="auto" w:fill="FFFFFF"/>
        </w:rPr>
        <w:t>.</w:t>
      </w:r>
      <w:r w:rsidRPr="00A214E7">
        <w:rPr>
          <w:rStyle w:val="apple-converted-space"/>
          <w:shd w:val="clear" w:color="auto" w:fill="FFFFFF"/>
        </w:rPr>
        <w:t> </w:t>
      </w:r>
      <w:r w:rsidRPr="00A214E7">
        <w:rPr>
          <w:shd w:val="clear" w:color="auto" w:fill="FFFFFF"/>
        </w:rPr>
        <w:t>London: Routledge.</w:t>
      </w:r>
    </w:p>
    <w:p w:rsidR="007A7153" w:rsidRPr="00A214E7" w:rsidRDefault="007A7153" w:rsidP="00570F56">
      <w:pPr>
        <w:shd w:val="clear" w:color="auto" w:fill="FFFFFF"/>
        <w:spacing w:line="480" w:lineRule="auto"/>
        <w:jc w:val="both"/>
        <w:outlineLvl w:val="0"/>
        <w:rPr>
          <w:rFonts w:eastAsia="Times New Roman"/>
          <w:bCs/>
          <w:kern w:val="36"/>
          <w:lang w:eastAsia="en-GB"/>
        </w:rPr>
      </w:pPr>
      <w:r w:rsidRPr="00A214E7">
        <w:rPr>
          <w:rFonts w:eastAsia="Times New Roman"/>
          <w:bCs/>
          <w:kern w:val="36"/>
          <w:lang w:eastAsia="en-GB"/>
        </w:rPr>
        <w:t xml:space="preserve">Elkan R., Robinson J. (1993) ‘Project 2000: the gap between theory and practice’, </w:t>
      </w:r>
      <w:r w:rsidRPr="00A214E7">
        <w:rPr>
          <w:rFonts w:eastAsia="Times New Roman"/>
          <w:bCs/>
          <w:i/>
          <w:kern w:val="36"/>
          <w:lang w:eastAsia="en-GB"/>
        </w:rPr>
        <w:t>Nurse Education Today</w:t>
      </w:r>
      <w:r w:rsidRPr="00A214E7">
        <w:rPr>
          <w:rFonts w:eastAsia="Times New Roman"/>
          <w:bCs/>
          <w:kern w:val="36"/>
          <w:lang w:eastAsia="en-GB"/>
        </w:rPr>
        <w:t>, 13(4): 295-298.</w:t>
      </w:r>
    </w:p>
    <w:p w:rsidR="00CD24A3" w:rsidRDefault="00CD24A3" w:rsidP="00570F56">
      <w:pPr>
        <w:shd w:val="clear" w:color="auto" w:fill="FFFFFF"/>
        <w:spacing w:line="480" w:lineRule="auto"/>
        <w:jc w:val="both"/>
        <w:outlineLvl w:val="0"/>
        <w:rPr>
          <w:rStyle w:val="Emphasis"/>
          <w:bCs/>
          <w:i w:val="0"/>
          <w:iCs w:val="0"/>
          <w:shd w:val="clear" w:color="auto" w:fill="FFFFFF"/>
        </w:rPr>
      </w:pPr>
    </w:p>
    <w:p w:rsidR="007A7153" w:rsidRPr="00A214E7" w:rsidRDefault="007A7153" w:rsidP="00CD24A3">
      <w:pPr>
        <w:shd w:val="clear" w:color="auto" w:fill="FFFFFF"/>
        <w:spacing w:line="480" w:lineRule="auto"/>
        <w:jc w:val="both"/>
        <w:outlineLvl w:val="0"/>
        <w:rPr>
          <w:shd w:val="clear" w:color="auto" w:fill="FFFFFF"/>
        </w:rPr>
      </w:pPr>
      <w:r w:rsidRPr="00A214E7">
        <w:rPr>
          <w:rStyle w:val="Emphasis"/>
          <w:bCs/>
          <w:i w:val="0"/>
          <w:iCs w:val="0"/>
          <w:shd w:val="clear" w:color="auto" w:fill="FFFFFF"/>
        </w:rPr>
        <w:t>Griffiths</w:t>
      </w:r>
      <w:r w:rsidRPr="00A214E7">
        <w:rPr>
          <w:shd w:val="clear" w:color="auto" w:fill="FFFFFF"/>
        </w:rPr>
        <w:t>,</w:t>
      </w:r>
      <w:r w:rsidRPr="00A214E7">
        <w:rPr>
          <w:rStyle w:val="apple-converted-space"/>
          <w:shd w:val="clear" w:color="auto" w:fill="FFFFFF"/>
        </w:rPr>
        <w:t> </w:t>
      </w:r>
      <w:r w:rsidRPr="00A214E7">
        <w:rPr>
          <w:rStyle w:val="Emphasis"/>
          <w:bCs/>
          <w:i w:val="0"/>
          <w:iCs w:val="0"/>
          <w:shd w:val="clear" w:color="auto" w:fill="FFFFFF"/>
        </w:rPr>
        <w:t>P</w:t>
      </w:r>
      <w:r w:rsidRPr="00A214E7">
        <w:rPr>
          <w:shd w:val="clear" w:color="auto" w:fill="FFFFFF"/>
        </w:rPr>
        <w:t>,</w:t>
      </w:r>
      <w:r w:rsidRPr="00A214E7">
        <w:rPr>
          <w:rStyle w:val="apple-converted-space"/>
          <w:shd w:val="clear" w:color="auto" w:fill="FFFFFF"/>
        </w:rPr>
        <w:t> </w:t>
      </w:r>
      <w:r w:rsidRPr="00A214E7">
        <w:rPr>
          <w:rStyle w:val="Emphasis"/>
          <w:bCs/>
          <w:i w:val="0"/>
          <w:iCs w:val="0"/>
          <w:shd w:val="clear" w:color="auto" w:fill="FFFFFF"/>
        </w:rPr>
        <w:t>Ball</w:t>
      </w:r>
      <w:r w:rsidRPr="00A214E7">
        <w:rPr>
          <w:shd w:val="clear" w:color="auto" w:fill="FFFFFF"/>
        </w:rPr>
        <w:t>,</w:t>
      </w:r>
      <w:r w:rsidRPr="00A214E7">
        <w:rPr>
          <w:rStyle w:val="apple-converted-space"/>
          <w:shd w:val="clear" w:color="auto" w:fill="FFFFFF"/>
        </w:rPr>
        <w:t> </w:t>
      </w:r>
      <w:r w:rsidRPr="00A214E7">
        <w:rPr>
          <w:rStyle w:val="Emphasis"/>
          <w:bCs/>
          <w:i w:val="0"/>
          <w:iCs w:val="0"/>
          <w:shd w:val="clear" w:color="auto" w:fill="FFFFFF"/>
        </w:rPr>
        <w:t>J</w:t>
      </w:r>
      <w:r w:rsidRPr="00A214E7">
        <w:rPr>
          <w:shd w:val="clear" w:color="auto" w:fill="FFFFFF"/>
        </w:rPr>
        <w:t>,</w:t>
      </w:r>
      <w:r w:rsidRPr="00A214E7">
        <w:rPr>
          <w:rStyle w:val="apple-converted-space"/>
          <w:shd w:val="clear" w:color="auto" w:fill="FFFFFF"/>
        </w:rPr>
        <w:t> </w:t>
      </w:r>
      <w:r w:rsidRPr="00A214E7">
        <w:rPr>
          <w:rStyle w:val="Emphasis"/>
          <w:bCs/>
          <w:i w:val="0"/>
          <w:iCs w:val="0"/>
          <w:shd w:val="clear" w:color="auto" w:fill="FFFFFF"/>
        </w:rPr>
        <w:t>Drennan</w:t>
      </w:r>
      <w:r w:rsidRPr="00A214E7">
        <w:rPr>
          <w:shd w:val="clear" w:color="auto" w:fill="FFFFFF"/>
        </w:rPr>
        <w:t>,</w:t>
      </w:r>
      <w:r w:rsidRPr="00A214E7">
        <w:rPr>
          <w:rStyle w:val="apple-converted-space"/>
          <w:shd w:val="clear" w:color="auto" w:fill="FFFFFF"/>
        </w:rPr>
        <w:t> </w:t>
      </w:r>
      <w:r w:rsidRPr="00A214E7">
        <w:rPr>
          <w:rStyle w:val="Emphasis"/>
          <w:bCs/>
          <w:i w:val="0"/>
          <w:iCs w:val="0"/>
          <w:shd w:val="clear" w:color="auto" w:fill="FFFFFF"/>
        </w:rPr>
        <w:t>J</w:t>
      </w:r>
      <w:r w:rsidRPr="00A214E7">
        <w:rPr>
          <w:shd w:val="clear" w:color="auto" w:fill="FFFFFF"/>
        </w:rPr>
        <w:t>,</w:t>
      </w:r>
      <w:r w:rsidRPr="00A214E7">
        <w:rPr>
          <w:rStyle w:val="apple-converted-space"/>
          <w:shd w:val="clear" w:color="auto" w:fill="FFFFFF"/>
        </w:rPr>
        <w:t> </w:t>
      </w:r>
      <w:r w:rsidRPr="00A214E7">
        <w:rPr>
          <w:rStyle w:val="Emphasis"/>
          <w:bCs/>
          <w:i w:val="0"/>
          <w:iCs w:val="0"/>
          <w:shd w:val="clear" w:color="auto" w:fill="FFFFFF"/>
        </w:rPr>
        <w:t>Jones</w:t>
      </w:r>
      <w:r w:rsidRPr="00A214E7">
        <w:rPr>
          <w:shd w:val="clear" w:color="auto" w:fill="FFFFFF"/>
        </w:rPr>
        <w:t>,</w:t>
      </w:r>
      <w:r w:rsidRPr="00A214E7">
        <w:rPr>
          <w:rStyle w:val="apple-converted-space"/>
          <w:shd w:val="clear" w:color="auto" w:fill="FFFFFF"/>
        </w:rPr>
        <w:t> </w:t>
      </w:r>
      <w:r w:rsidRPr="00A214E7">
        <w:rPr>
          <w:rStyle w:val="Emphasis"/>
          <w:bCs/>
          <w:i w:val="0"/>
          <w:iCs w:val="0"/>
          <w:shd w:val="clear" w:color="auto" w:fill="FFFFFF"/>
        </w:rPr>
        <w:t>J</w:t>
      </w:r>
      <w:r w:rsidRPr="00A214E7">
        <w:rPr>
          <w:shd w:val="clear" w:color="auto" w:fill="FFFFFF"/>
        </w:rPr>
        <w:t>,</w:t>
      </w:r>
      <w:r w:rsidRPr="00A214E7">
        <w:rPr>
          <w:rStyle w:val="apple-converted-space"/>
          <w:shd w:val="clear" w:color="auto" w:fill="FFFFFF"/>
        </w:rPr>
        <w:t> </w:t>
      </w:r>
      <w:r w:rsidRPr="00A214E7">
        <w:rPr>
          <w:rStyle w:val="Emphasis"/>
          <w:bCs/>
          <w:i w:val="0"/>
          <w:iCs w:val="0"/>
          <w:shd w:val="clear" w:color="auto" w:fill="FFFFFF"/>
        </w:rPr>
        <w:t>Reccio</w:t>
      </w:r>
      <w:r w:rsidRPr="00A214E7">
        <w:rPr>
          <w:shd w:val="clear" w:color="auto" w:fill="FFFFFF"/>
        </w:rPr>
        <w:t>-</w:t>
      </w:r>
      <w:r w:rsidRPr="00A214E7">
        <w:rPr>
          <w:rStyle w:val="Emphasis"/>
          <w:bCs/>
          <w:i w:val="0"/>
          <w:iCs w:val="0"/>
          <w:shd w:val="clear" w:color="auto" w:fill="FFFFFF"/>
        </w:rPr>
        <w:t>Saucedo</w:t>
      </w:r>
      <w:r w:rsidR="00CD24A3">
        <w:rPr>
          <w:shd w:val="clear" w:color="auto" w:fill="FFFFFF"/>
        </w:rPr>
        <w:t xml:space="preserve">, </w:t>
      </w:r>
      <w:r w:rsidRPr="00A214E7">
        <w:rPr>
          <w:shd w:val="clear" w:color="auto" w:fill="FFFFFF"/>
        </w:rPr>
        <w:t>A,</w:t>
      </w:r>
      <w:r w:rsidRPr="00A214E7">
        <w:rPr>
          <w:rStyle w:val="apple-converted-space"/>
          <w:shd w:val="clear" w:color="auto" w:fill="FFFFFF"/>
        </w:rPr>
        <w:t> </w:t>
      </w:r>
      <w:r w:rsidRPr="00A214E7">
        <w:rPr>
          <w:rStyle w:val="Emphasis"/>
          <w:bCs/>
          <w:i w:val="0"/>
          <w:iCs w:val="0"/>
          <w:shd w:val="clear" w:color="auto" w:fill="FFFFFF"/>
        </w:rPr>
        <w:t>Simon</w:t>
      </w:r>
      <w:r w:rsidRPr="00A214E7">
        <w:rPr>
          <w:shd w:val="clear" w:color="auto" w:fill="FFFFFF"/>
        </w:rPr>
        <w:t>,</w:t>
      </w:r>
      <w:r w:rsidRPr="00A214E7">
        <w:rPr>
          <w:rStyle w:val="apple-converted-space"/>
          <w:shd w:val="clear" w:color="auto" w:fill="FFFFFF"/>
        </w:rPr>
        <w:t> </w:t>
      </w:r>
      <w:r w:rsidRPr="00A214E7">
        <w:rPr>
          <w:rStyle w:val="Emphasis"/>
          <w:bCs/>
          <w:i w:val="0"/>
          <w:iCs w:val="0"/>
          <w:shd w:val="clear" w:color="auto" w:fill="FFFFFF"/>
        </w:rPr>
        <w:t>M</w:t>
      </w:r>
      <w:r w:rsidRPr="00A214E7">
        <w:rPr>
          <w:shd w:val="clear" w:color="auto" w:fill="FFFFFF"/>
        </w:rPr>
        <w:t>,</w:t>
      </w:r>
      <w:r w:rsidRPr="00A214E7">
        <w:rPr>
          <w:rStyle w:val="apple-converted-space"/>
          <w:shd w:val="clear" w:color="auto" w:fill="FFFFFF"/>
        </w:rPr>
        <w:t> </w:t>
      </w:r>
      <w:r w:rsidR="00CD24A3">
        <w:rPr>
          <w:rStyle w:val="apple-converted-space"/>
          <w:shd w:val="clear" w:color="auto" w:fill="FFFFFF"/>
        </w:rPr>
        <w:t>(</w:t>
      </w:r>
      <w:r w:rsidRPr="00A214E7">
        <w:rPr>
          <w:rStyle w:val="Emphasis"/>
          <w:bCs/>
          <w:i w:val="0"/>
          <w:iCs w:val="0"/>
          <w:shd w:val="clear" w:color="auto" w:fill="FFFFFF"/>
        </w:rPr>
        <w:t>2014</w:t>
      </w:r>
      <w:r w:rsidR="00CD24A3">
        <w:rPr>
          <w:rStyle w:val="Emphasis"/>
          <w:bCs/>
          <w:i w:val="0"/>
          <w:iCs w:val="0"/>
          <w:shd w:val="clear" w:color="auto" w:fill="FFFFFF"/>
        </w:rPr>
        <w:t>)</w:t>
      </w:r>
      <w:r w:rsidRPr="00A214E7">
        <w:rPr>
          <w:shd w:val="clear" w:color="auto" w:fill="FFFFFF"/>
        </w:rPr>
        <w:t>, The</w:t>
      </w:r>
      <w:r w:rsidRPr="00A214E7">
        <w:rPr>
          <w:rStyle w:val="apple-converted-space"/>
          <w:shd w:val="clear" w:color="auto" w:fill="FFFFFF"/>
        </w:rPr>
        <w:t> </w:t>
      </w:r>
      <w:r w:rsidRPr="00A214E7">
        <w:rPr>
          <w:rStyle w:val="Emphasis"/>
          <w:bCs/>
          <w:i w:val="0"/>
          <w:iCs w:val="0"/>
          <w:shd w:val="clear" w:color="auto" w:fill="FFFFFF"/>
        </w:rPr>
        <w:t>association between patient safety outcomes</w:t>
      </w:r>
      <w:r w:rsidRPr="00A214E7">
        <w:rPr>
          <w:rStyle w:val="apple-converted-space"/>
          <w:shd w:val="clear" w:color="auto" w:fill="FFFFFF"/>
        </w:rPr>
        <w:t> </w:t>
      </w:r>
      <w:r w:rsidRPr="00A214E7">
        <w:rPr>
          <w:shd w:val="clear" w:color="auto" w:fill="FFFFFF"/>
        </w:rPr>
        <w:t>and</w:t>
      </w:r>
      <w:r w:rsidRPr="00A214E7">
        <w:rPr>
          <w:rStyle w:val="apple-converted-space"/>
          <w:shd w:val="clear" w:color="auto" w:fill="FFFFFF"/>
        </w:rPr>
        <w:t> </w:t>
      </w:r>
      <w:r w:rsidRPr="00A214E7">
        <w:rPr>
          <w:rStyle w:val="Emphasis"/>
          <w:bCs/>
          <w:i w:val="0"/>
          <w:iCs w:val="0"/>
          <w:shd w:val="clear" w:color="auto" w:fill="FFFFFF"/>
        </w:rPr>
        <w:t>nurse</w:t>
      </w:r>
      <w:r w:rsidRPr="00A214E7">
        <w:rPr>
          <w:shd w:val="clear" w:color="auto" w:fill="FFFFFF"/>
        </w:rPr>
        <w:t>/</w:t>
      </w:r>
      <w:r w:rsidRPr="00A214E7">
        <w:rPr>
          <w:rStyle w:val="Emphasis"/>
          <w:bCs/>
          <w:i w:val="0"/>
          <w:iCs w:val="0"/>
          <w:shd w:val="clear" w:color="auto" w:fill="FFFFFF"/>
        </w:rPr>
        <w:t xml:space="preserve">healthcare assistant skill </w:t>
      </w:r>
      <w:r w:rsidRPr="00A214E7">
        <w:rPr>
          <w:rStyle w:val="Emphasis"/>
          <w:bCs/>
          <w:i w:val="0"/>
          <w:iCs w:val="0"/>
          <w:shd w:val="clear" w:color="auto" w:fill="FFFFFF"/>
        </w:rPr>
        <w:lastRenderedPageBreak/>
        <w:t>mix</w:t>
      </w:r>
      <w:r w:rsidRPr="00A214E7">
        <w:rPr>
          <w:rStyle w:val="apple-converted-space"/>
          <w:shd w:val="clear" w:color="auto" w:fill="FFFFFF"/>
        </w:rPr>
        <w:t> </w:t>
      </w:r>
      <w:r w:rsidRPr="00A214E7">
        <w:rPr>
          <w:shd w:val="clear" w:color="auto" w:fill="FFFFFF"/>
        </w:rPr>
        <w:t>and</w:t>
      </w:r>
      <w:r w:rsidRPr="00A214E7">
        <w:rPr>
          <w:rStyle w:val="apple-converted-space"/>
          <w:shd w:val="clear" w:color="auto" w:fill="FFFFFF"/>
        </w:rPr>
        <w:t> </w:t>
      </w:r>
      <w:r w:rsidRPr="00A214E7">
        <w:rPr>
          <w:rStyle w:val="Emphasis"/>
          <w:bCs/>
          <w:i w:val="0"/>
          <w:iCs w:val="0"/>
          <w:shd w:val="clear" w:color="auto" w:fill="FFFFFF"/>
        </w:rPr>
        <w:t>staffing levels</w:t>
      </w:r>
      <w:r w:rsidRPr="00A214E7">
        <w:rPr>
          <w:rStyle w:val="apple-converted-space"/>
          <w:shd w:val="clear" w:color="auto" w:fill="FFFFFF"/>
        </w:rPr>
        <w:t> </w:t>
      </w:r>
      <w:r w:rsidRPr="00A214E7">
        <w:rPr>
          <w:shd w:val="clear" w:color="auto" w:fill="FFFFFF"/>
        </w:rPr>
        <w:t xml:space="preserve">and </w:t>
      </w:r>
      <w:r w:rsidRPr="00A214E7">
        <w:rPr>
          <w:rStyle w:val="Emphasis"/>
          <w:bCs/>
          <w:i w:val="0"/>
          <w:iCs w:val="0"/>
          <w:shd w:val="clear" w:color="auto" w:fill="FFFFFF"/>
        </w:rPr>
        <w:t>factors</w:t>
      </w:r>
      <w:r w:rsidRPr="00A214E7">
        <w:rPr>
          <w:rStyle w:val="apple-converted-space"/>
          <w:shd w:val="clear" w:color="auto" w:fill="FFFFFF"/>
        </w:rPr>
        <w:t> </w:t>
      </w:r>
      <w:r w:rsidRPr="00A214E7">
        <w:rPr>
          <w:shd w:val="clear" w:color="auto" w:fill="FFFFFF"/>
        </w:rPr>
        <w:t>that</w:t>
      </w:r>
      <w:r w:rsidRPr="00A214E7">
        <w:rPr>
          <w:rStyle w:val="apple-converted-space"/>
          <w:shd w:val="clear" w:color="auto" w:fill="FFFFFF"/>
        </w:rPr>
        <w:t> </w:t>
      </w:r>
      <w:r w:rsidRPr="00A214E7">
        <w:rPr>
          <w:rStyle w:val="Emphasis"/>
          <w:bCs/>
          <w:i w:val="0"/>
          <w:iCs w:val="0"/>
          <w:shd w:val="clear" w:color="auto" w:fill="FFFFFF"/>
        </w:rPr>
        <w:t>may influence staffing requirements</w:t>
      </w:r>
      <w:r w:rsidRPr="00A214E7">
        <w:rPr>
          <w:shd w:val="clear" w:color="auto" w:fill="FFFFFF"/>
        </w:rPr>
        <w:t>, Southampton:</w:t>
      </w:r>
      <w:r w:rsidRPr="00A214E7">
        <w:rPr>
          <w:rStyle w:val="apple-converted-space"/>
          <w:shd w:val="clear" w:color="auto" w:fill="FFFFFF"/>
        </w:rPr>
        <w:t> </w:t>
      </w:r>
      <w:r w:rsidRPr="00A214E7">
        <w:rPr>
          <w:rStyle w:val="Emphasis"/>
          <w:bCs/>
          <w:i w:val="0"/>
          <w:iCs w:val="0"/>
          <w:shd w:val="clear" w:color="auto" w:fill="FFFFFF"/>
        </w:rPr>
        <w:t>University</w:t>
      </w:r>
      <w:r w:rsidRPr="00A214E7">
        <w:rPr>
          <w:rStyle w:val="apple-converted-space"/>
          <w:shd w:val="clear" w:color="auto" w:fill="FFFFFF"/>
        </w:rPr>
        <w:t> </w:t>
      </w:r>
      <w:r w:rsidRPr="00A214E7">
        <w:rPr>
          <w:shd w:val="clear" w:color="auto" w:fill="FFFFFF"/>
        </w:rPr>
        <w:t>of Southampton. NICE report</w:t>
      </w:r>
    </w:p>
    <w:p w:rsidR="002E3EB7" w:rsidRPr="00A214E7" w:rsidRDefault="002E3EB7" w:rsidP="00570F56">
      <w:pPr>
        <w:shd w:val="clear" w:color="auto" w:fill="FFFFFF"/>
        <w:spacing w:line="480" w:lineRule="auto"/>
        <w:jc w:val="both"/>
        <w:outlineLvl w:val="0"/>
        <w:rPr>
          <w:shd w:val="clear" w:color="auto" w:fill="FFFFFF"/>
        </w:rPr>
      </w:pPr>
    </w:p>
    <w:p w:rsidR="005C6F0F" w:rsidRPr="00EB08AF" w:rsidRDefault="002E3EB7" w:rsidP="00EB08AF">
      <w:pPr>
        <w:shd w:val="clear" w:color="auto" w:fill="FFFFFF"/>
        <w:spacing w:after="100" w:afterAutospacing="1" w:line="480" w:lineRule="auto"/>
        <w:jc w:val="both"/>
      </w:pPr>
      <w:r w:rsidRPr="00A214E7">
        <w:t xml:space="preserve">Gillett, K. (2014), ‘Nostalgic constructions of nurse education in British national newspapers’, </w:t>
      </w:r>
      <w:r w:rsidRPr="00A214E7">
        <w:rPr>
          <w:i/>
        </w:rPr>
        <w:t>Journal of Advanced Nursing</w:t>
      </w:r>
      <w:r w:rsidRPr="00A214E7">
        <w:t>, 70(11): 2495-505.</w:t>
      </w:r>
    </w:p>
    <w:p w:rsidR="005C6F0F" w:rsidRPr="00A214E7" w:rsidRDefault="005C6F0F" w:rsidP="00570F56">
      <w:pPr>
        <w:shd w:val="clear" w:color="auto" w:fill="FFFFFF"/>
        <w:spacing w:line="480" w:lineRule="auto"/>
        <w:jc w:val="both"/>
        <w:rPr>
          <w:rFonts w:eastAsia="Times New Roman"/>
          <w:bCs/>
          <w:kern w:val="36"/>
          <w:lang w:eastAsia="en-GB"/>
        </w:rPr>
      </w:pPr>
      <w:r w:rsidRPr="00A214E7">
        <w:rPr>
          <w:rFonts w:eastAsia="Times New Roman"/>
          <w:lang w:eastAsia="en-GB"/>
        </w:rPr>
        <w:t xml:space="preserve">Griffiths, P., Ball, J., Murrells, T., Jones, S., Rafferty, A.M. (2016), ‘Registered nurse, healthcare support worker, medical staffing levels and mortality in English hospital trusts: a cross-sectional study’, </w:t>
      </w:r>
      <w:r w:rsidRPr="00A214E7">
        <w:rPr>
          <w:rFonts w:eastAsia="Times New Roman"/>
          <w:bCs/>
          <w:i/>
          <w:kern w:val="36"/>
          <w:lang w:eastAsia="en-GB"/>
        </w:rPr>
        <w:t>BMJ Open</w:t>
      </w:r>
      <w:r w:rsidRPr="00A214E7">
        <w:rPr>
          <w:rFonts w:eastAsia="Times New Roman"/>
          <w:bCs/>
          <w:kern w:val="36"/>
          <w:lang w:eastAsia="en-GB"/>
        </w:rPr>
        <w:t xml:space="preserve"> 6(2): </w:t>
      </w:r>
      <w:hyperlink r:id="rId12" w:history="1">
        <w:r w:rsidRPr="00A214E7">
          <w:rPr>
            <w:rStyle w:val="Hyperlink"/>
            <w:rFonts w:eastAsia="Times New Roman"/>
            <w:kern w:val="36"/>
            <w:lang w:eastAsia="en-GB"/>
          </w:rPr>
          <w:t>http://bmjopen.bmj.com/content/6/2/e008751</w:t>
        </w:r>
      </w:hyperlink>
    </w:p>
    <w:p w:rsidR="00F522CD" w:rsidRDefault="00F522CD" w:rsidP="00570F56">
      <w:pPr>
        <w:shd w:val="clear" w:color="auto" w:fill="FFFFFF"/>
        <w:spacing w:line="480" w:lineRule="auto"/>
        <w:jc w:val="both"/>
        <w:rPr>
          <w:rFonts w:eastAsia="Times New Roman"/>
          <w:color w:val="000000"/>
          <w:lang w:eastAsia="en-GB"/>
        </w:rPr>
      </w:pPr>
    </w:p>
    <w:p w:rsidR="00D467A9" w:rsidRDefault="00D467A9" w:rsidP="00570F56">
      <w:pPr>
        <w:shd w:val="clear" w:color="auto" w:fill="FFFFFF"/>
        <w:spacing w:line="480" w:lineRule="auto"/>
        <w:jc w:val="both"/>
        <w:rPr>
          <w:rFonts w:eastAsia="Times New Roman"/>
          <w:color w:val="000000"/>
          <w:lang w:eastAsia="en-GB"/>
        </w:rPr>
      </w:pPr>
      <w:r>
        <w:rPr>
          <w:rFonts w:eastAsia="Times New Roman"/>
          <w:color w:val="000000"/>
          <w:lang w:eastAsia="en-GB"/>
        </w:rPr>
        <w:t>Health Education England Strategic Framework Development Plan 2014</w:t>
      </w:r>
    </w:p>
    <w:p w:rsidR="00D467A9" w:rsidRPr="00A214E7" w:rsidRDefault="00D467A9" w:rsidP="00570F56">
      <w:pPr>
        <w:shd w:val="clear" w:color="auto" w:fill="FFFFFF"/>
        <w:spacing w:line="480" w:lineRule="auto"/>
        <w:jc w:val="both"/>
        <w:rPr>
          <w:rFonts w:eastAsia="Times New Roman"/>
          <w:color w:val="000000"/>
          <w:lang w:eastAsia="en-GB"/>
        </w:rPr>
      </w:pPr>
    </w:p>
    <w:p w:rsidR="00F522CD" w:rsidRPr="00A214E7" w:rsidRDefault="00F522CD" w:rsidP="00570F56">
      <w:pPr>
        <w:shd w:val="clear" w:color="auto" w:fill="FFFFFF"/>
        <w:spacing w:line="480" w:lineRule="auto"/>
        <w:jc w:val="both"/>
        <w:rPr>
          <w:rFonts w:eastAsia="Times New Roman"/>
          <w:color w:val="000000"/>
          <w:lang w:eastAsia="en-GB"/>
        </w:rPr>
      </w:pPr>
      <w:r w:rsidRPr="00A214E7">
        <w:rPr>
          <w:rFonts w:eastAsia="Times New Roman"/>
          <w:color w:val="000000"/>
          <w:lang w:eastAsia="en-GB"/>
        </w:rPr>
        <w:t xml:space="preserve">Jones, K., McLoughlin, M., Brown, S., Warren, A., Davies, A., Jamieson, I., Crofts, L. (2016), ‘Meeting the needs of four generations of nurses’, </w:t>
      </w:r>
      <w:r w:rsidRPr="00A214E7">
        <w:rPr>
          <w:rFonts w:eastAsia="Times New Roman"/>
          <w:i/>
          <w:color w:val="000000"/>
          <w:lang w:eastAsia="en-GB"/>
        </w:rPr>
        <w:t>Nursing Times</w:t>
      </w:r>
      <w:r w:rsidRPr="00A214E7">
        <w:rPr>
          <w:rFonts w:eastAsia="Times New Roman"/>
          <w:color w:val="000000"/>
          <w:lang w:eastAsia="en-GB"/>
        </w:rPr>
        <w:t>, 112(21-23):12-5.</w:t>
      </w:r>
    </w:p>
    <w:p w:rsidR="005C6F0F" w:rsidRPr="00A214E7" w:rsidRDefault="00825EF0" w:rsidP="00570F56">
      <w:pPr>
        <w:spacing w:line="480" w:lineRule="auto"/>
        <w:rPr>
          <w:rFonts w:eastAsia="Times New Roman"/>
        </w:rPr>
      </w:pPr>
      <w:r w:rsidRPr="00A214E7">
        <w:rPr>
          <w:shd w:val="clear" w:color="auto" w:fill="FFFFFF"/>
        </w:rPr>
        <w:t>Jones, M.</w:t>
      </w:r>
      <w:r w:rsidR="00F5787E" w:rsidRPr="00A214E7">
        <w:rPr>
          <w:shd w:val="clear" w:color="auto" w:fill="FFFFFF"/>
        </w:rPr>
        <w:t xml:space="preserve"> (Ed),</w:t>
      </w:r>
      <w:r w:rsidR="00F5787E" w:rsidRPr="00A214E7">
        <w:rPr>
          <w:rFonts w:eastAsia="Arial Unicode MS"/>
          <w:color w:val="32322F"/>
          <w:shd w:val="clear" w:color="auto" w:fill="FFFFFF"/>
        </w:rPr>
        <w:t xml:space="preserve"> </w:t>
      </w:r>
      <w:r w:rsidR="00F5787E" w:rsidRPr="00A214E7">
        <w:rPr>
          <w:rFonts w:eastAsia="Times New Roman"/>
        </w:rPr>
        <w:t xml:space="preserve">(1999) </w:t>
      </w:r>
      <w:r w:rsidRPr="00A214E7">
        <w:rPr>
          <w:i/>
          <w:shd w:val="clear" w:color="auto" w:fill="FFFFFF"/>
        </w:rPr>
        <w:t>Nursing Prescribing: Politics to Practice</w:t>
      </w:r>
      <w:r w:rsidR="00F5787E" w:rsidRPr="00A214E7">
        <w:rPr>
          <w:shd w:val="clear" w:color="auto" w:fill="FFFFFF"/>
        </w:rPr>
        <w:t>, Edinburgh : Baillière Tindall</w:t>
      </w:r>
    </w:p>
    <w:p w:rsidR="00F343CA" w:rsidRPr="00A214E7" w:rsidRDefault="00F343CA" w:rsidP="00570F56">
      <w:pPr>
        <w:spacing w:line="480" w:lineRule="auto"/>
        <w:jc w:val="both"/>
        <w:outlineLvl w:val="0"/>
        <w:rPr>
          <w:rFonts w:eastAsia="Times New Roman"/>
          <w:bCs/>
          <w:color w:val="000000"/>
          <w:kern w:val="36"/>
          <w:lang w:eastAsia="en-GB"/>
        </w:rPr>
      </w:pPr>
    </w:p>
    <w:p w:rsidR="00DA5CBE" w:rsidRPr="00A214E7" w:rsidRDefault="00DA5CBE" w:rsidP="00570F56">
      <w:pPr>
        <w:spacing w:line="480" w:lineRule="auto"/>
        <w:jc w:val="both"/>
        <w:outlineLvl w:val="0"/>
        <w:rPr>
          <w:rFonts w:eastAsia="Times New Roman"/>
          <w:lang w:eastAsia="en-GB"/>
        </w:rPr>
      </w:pPr>
      <w:r w:rsidRPr="00A214E7">
        <w:rPr>
          <w:rFonts w:eastAsia="Times New Roman"/>
          <w:bCs/>
          <w:color w:val="000000"/>
          <w:kern w:val="36"/>
          <w:lang w:eastAsia="en-GB"/>
        </w:rPr>
        <w:t xml:space="preserve">Kane, R., Shamliyan, T., Mueller, C., Duval, S., Wilt, T. (2007), ‘The Association of Registered Nurse Staffing Levels and Patient Outcomes: Systematic Review and Meta-Analysis’, </w:t>
      </w:r>
      <w:r w:rsidRPr="00A214E7">
        <w:rPr>
          <w:rFonts w:eastAsia="Times New Roman"/>
          <w:i/>
          <w:lang w:eastAsia="en-GB"/>
        </w:rPr>
        <w:t xml:space="preserve">Medical Care, </w:t>
      </w:r>
      <w:r w:rsidRPr="00A214E7">
        <w:rPr>
          <w:rFonts w:eastAsia="Times New Roman"/>
          <w:lang w:eastAsia="en-GB"/>
        </w:rPr>
        <w:t>45 (12): 1195-204.</w:t>
      </w:r>
    </w:p>
    <w:p w:rsidR="00A40551" w:rsidRPr="00A214E7" w:rsidRDefault="00A40551" w:rsidP="00570F56">
      <w:pPr>
        <w:spacing w:line="480" w:lineRule="auto"/>
        <w:jc w:val="both"/>
        <w:outlineLvl w:val="0"/>
        <w:rPr>
          <w:rFonts w:eastAsia="Times New Roman"/>
          <w:lang w:eastAsia="en-GB"/>
        </w:rPr>
      </w:pPr>
    </w:p>
    <w:p w:rsidR="00A40551" w:rsidRDefault="00A40551" w:rsidP="00A40551">
      <w:pPr>
        <w:spacing w:line="480" w:lineRule="auto"/>
        <w:rPr>
          <w:rFonts w:eastAsia="Times New Roman"/>
        </w:rPr>
      </w:pPr>
      <w:r w:rsidRPr="00A214E7">
        <w:rPr>
          <w:rFonts w:eastAsia="Times New Roman"/>
          <w:color w:val="333333"/>
          <w:shd w:val="clear" w:color="auto" w:fill="FFFFFF"/>
        </w:rPr>
        <w:t>Kingdon, J. W. (1995).</w:t>
      </w:r>
      <w:r w:rsidRPr="00A214E7">
        <w:rPr>
          <w:rStyle w:val="apple-converted-space"/>
          <w:rFonts w:eastAsia="Times New Roman"/>
          <w:color w:val="333333"/>
          <w:shd w:val="clear" w:color="auto" w:fill="FFFFFF"/>
        </w:rPr>
        <w:t> </w:t>
      </w:r>
      <w:r w:rsidRPr="00A214E7">
        <w:rPr>
          <w:rStyle w:val="Emphasis"/>
          <w:rFonts w:eastAsia="Times New Roman"/>
          <w:color w:val="333333"/>
        </w:rPr>
        <w:t>Agendas, alternatives, and public policies</w:t>
      </w:r>
      <w:r w:rsidRPr="00A214E7">
        <w:rPr>
          <w:rStyle w:val="apple-converted-space"/>
          <w:rFonts w:eastAsia="Times New Roman"/>
          <w:color w:val="333333"/>
          <w:shd w:val="clear" w:color="auto" w:fill="FFFFFF"/>
        </w:rPr>
        <w:t>,</w:t>
      </w:r>
      <w:r w:rsidRPr="00A214E7">
        <w:rPr>
          <w:rFonts w:eastAsia="Times New Roman"/>
          <w:color w:val="333333"/>
          <w:shd w:val="clear" w:color="auto" w:fill="FFFFFF"/>
        </w:rPr>
        <w:t xml:space="preserve"> New York: Longman.</w:t>
      </w:r>
    </w:p>
    <w:p w:rsidR="00EB08AF" w:rsidRPr="00A214E7" w:rsidRDefault="00EB08AF" w:rsidP="00A40551">
      <w:pPr>
        <w:spacing w:line="480" w:lineRule="auto"/>
        <w:rPr>
          <w:rFonts w:eastAsia="Times New Roman"/>
        </w:rPr>
      </w:pPr>
    </w:p>
    <w:p w:rsidR="00A40551" w:rsidRPr="00A214E7" w:rsidRDefault="00A40551" w:rsidP="00A40551">
      <w:pPr>
        <w:pStyle w:val="Heading1"/>
        <w:spacing w:before="120" w:after="120" w:line="480" w:lineRule="auto"/>
        <w:rPr>
          <w:rFonts w:ascii="Times New Roman" w:eastAsia="Times New Roman" w:hAnsi="Times New Roman" w:cs="Times New Roman"/>
          <w:bCs/>
          <w:color w:val="000000" w:themeColor="text1"/>
          <w:kern w:val="36"/>
          <w:sz w:val="24"/>
          <w:szCs w:val="24"/>
        </w:rPr>
      </w:pPr>
      <w:r w:rsidRPr="00A214E7">
        <w:rPr>
          <w:rFonts w:ascii="Times New Roman" w:hAnsi="Times New Roman" w:cs="Times New Roman"/>
          <w:color w:val="000000" w:themeColor="text1"/>
          <w:sz w:val="24"/>
          <w:szCs w:val="24"/>
        </w:rPr>
        <w:lastRenderedPageBreak/>
        <w:t xml:space="preserve">Krozen, M., Dassault, G., Craveiro, I., Dieleman, M., Jansen, C., Buchan, J., Barriball, L., Rafferty, A.M, Bremner, J., Sermeus, W. (2015), </w:t>
      </w:r>
      <w:r w:rsidRPr="00A214E7">
        <w:rPr>
          <w:rFonts w:ascii="Times New Roman" w:eastAsia="Times New Roman" w:hAnsi="Times New Roman" w:cs="Times New Roman"/>
          <w:bCs/>
          <w:color w:val="000000" w:themeColor="text1"/>
          <w:kern w:val="36"/>
          <w:sz w:val="24"/>
          <w:szCs w:val="24"/>
        </w:rPr>
        <w:t xml:space="preserve">Recruitment and retention of health professionals across Europe: A literature review and multiple case study research, </w:t>
      </w:r>
      <w:r w:rsidRPr="00A214E7">
        <w:rPr>
          <w:rFonts w:ascii="Times New Roman" w:eastAsia="Times New Roman" w:hAnsi="Times New Roman" w:cs="Times New Roman"/>
          <w:bCs/>
          <w:i/>
          <w:color w:val="000000" w:themeColor="text1"/>
          <w:kern w:val="36"/>
          <w:sz w:val="24"/>
          <w:szCs w:val="24"/>
        </w:rPr>
        <w:t xml:space="preserve">Health Policy </w:t>
      </w:r>
      <w:r w:rsidRPr="00A214E7">
        <w:rPr>
          <w:rFonts w:ascii="Times New Roman" w:eastAsia="Times New Roman" w:hAnsi="Times New Roman" w:cs="Times New Roman"/>
          <w:bCs/>
          <w:color w:val="000000" w:themeColor="text1"/>
          <w:kern w:val="36"/>
          <w:sz w:val="24"/>
          <w:szCs w:val="24"/>
        </w:rPr>
        <w:t>119(12): 1517-28</w:t>
      </w:r>
    </w:p>
    <w:p w:rsidR="007A7153" w:rsidRPr="00A214E7" w:rsidRDefault="007A7153" w:rsidP="00570F56">
      <w:pPr>
        <w:shd w:val="clear" w:color="auto" w:fill="FFFFFF"/>
        <w:spacing w:line="480" w:lineRule="auto"/>
        <w:jc w:val="both"/>
        <w:outlineLvl w:val="0"/>
        <w:rPr>
          <w:rFonts w:eastAsia="Times New Roman"/>
          <w:bCs/>
          <w:kern w:val="36"/>
          <w:lang w:eastAsia="en-GB"/>
        </w:rPr>
      </w:pPr>
    </w:p>
    <w:p w:rsidR="0066089A" w:rsidRDefault="00343D7A" w:rsidP="00570F56">
      <w:pPr>
        <w:spacing w:line="480" w:lineRule="auto"/>
        <w:jc w:val="both"/>
      </w:pPr>
      <w:r w:rsidRPr="00A214E7">
        <w:t>Klein R. (201</w:t>
      </w:r>
      <w:r w:rsidR="00562BED" w:rsidRPr="00A214E7">
        <w:t>3</w:t>
      </w:r>
      <w:r w:rsidR="00934A17" w:rsidRPr="00A214E7">
        <w:t>)</w:t>
      </w:r>
      <w:r w:rsidRPr="00A214E7">
        <w:t>,</w:t>
      </w:r>
      <w:r w:rsidR="00934A17" w:rsidRPr="00A214E7">
        <w:t xml:space="preserve"> </w:t>
      </w:r>
      <w:r w:rsidR="00934A17" w:rsidRPr="00A214E7">
        <w:rPr>
          <w:i/>
        </w:rPr>
        <w:t>The new politics of the NHS: from creation to reinvention</w:t>
      </w:r>
      <w:r w:rsidR="00562BED" w:rsidRPr="00A214E7">
        <w:t>. London</w:t>
      </w:r>
      <w:r w:rsidRPr="00A214E7">
        <w:t>:</w:t>
      </w:r>
      <w:r w:rsidR="00934A17" w:rsidRPr="00A214E7">
        <w:t xml:space="preserve"> Radcliffe Publishing.</w:t>
      </w:r>
    </w:p>
    <w:p w:rsidR="007E1812" w:rsidRDefault="007E1812" w:rsidP="00570F56">
      <w:pPr>
        <w:spacing w:line="480" w:lineRule="auto"/>
        <w:jc w:val="both"/>
      </w:pPr>
    </w:p>
    <w:p w:rsidR="00EB08AF" w:rsidRDefault="00B37BB9" w:rsidP="00570F56">
      <w:pPr>
        <w:spacing w:line="480" w:lineRule="auto"/>
        <w:jc w:val="both"/>
      </w:pPr>
      <w:r>
        <w:t>Lapeyre J.</w:t>
      </w:r>
      <w:r w:rsidR="00AA7EC9">
        <w:t xml:space="preserve"> </w:t>
      </w:r>
      <w:r w:rsidR="00982ADF">
        <w:t>(2015),</w:t>
      </w:r>
      <w:r w:rsidR="007211B1">
        <w:t xml:space="preserve"> ‘ “</w:t>
      </w:r>
      <w:r>
        <w:t xml:space="preserve">Some kindred form of medical social </w:t>
      </w:r>
      <w:r w:rsidR="007211B1">
        <w:t>work”</w:t>
      </w:r>
      <w:r>
        <w:t>, defining the boundaries of social work, health visiting and public health nursing in Europe, 1918-25</w:t>
      </w:r>
      <w:r w:rsidR="007211B1">
        <w:t>’,</w:t>
      </w:r>
      <w:r>
        <w:t xml:space="preserve"> in </w:t>
      </w:r>
      <w:r w:rsidR="007211B1">
        <w:t xml:space="preserve">C. </w:t>
      </w:r>
      <w:r>
        <w:t xml:space="preserve">Hallett and </w:t>
      </w:r>
      <w:r w:rsidR="007211B1">
        <w:t xml:space="preserve">G. Frealey (Eds), </w:t>
      </w:r>
      <w:r w:rsidRPr="007211B1">
        <w:rPr>
          <w:i/>
        </w:rPr>
        <w:t>Histories of Nursing Practice</w:t>
      </w:r>
      <w:r>
        <w:t xml:space="preserve">, </w:t>
      </w:r>
      <w:r w:rsidR="00AA7EC9">
        <w:t xml:space="preserve">Manchester: </w:t>
      </w:r>
      <w:r>
        <w:t>Manche</w:t>
      </w:r>
      <w:r w:rsidR="003B4893">
        <w:t>s</w:t>
      </w:r>
      <w:r>
        <w:t>ter University Press</w:t>
      </w:r>
      <w:r w:rsidR="00F1609B">
        <w:t>.</w:t>
      </w:r>
    </w:p>
    <w:p w:rsidR="008808F6" w:rsidRDefault="008808F6" w:rsidP="00570F56">
      <w:pPr>
        <w:spacing w:line="480" w:lineRule="auto"/>
        <w:jc w:val="both"/>
      </w:pPr>
    </w:p>
    <w:p w:rsidR="008808F6" w:rsidRDefault="009D5BC5" w:rsidP="00F767A4">
      <w:pPr>
        <w:pStyle w:val="NormalWeb"/>
        <w:spacing w:line="480" w:lineRule="auto"/>
        <w:rPr>
          <w:rFonts w:eastAsiaTheme="minorHAnsi"/>
          <w:shd w:val="clear" w:color="auto" w:fill="FFFFFF"/>
          <w:lang w:eastAsia="en-US"/>
        </w:rPr>
      </w:pPr>
      <w:r w:rsidRPr="00F767A4">
        <w:rPr>
          <w:rFonts w:eastAsiaTheme="minorHAnsi"/>
          <w:shd w:val="clear" w:color="auto" w:fill="FFFFFF"/>
          <w:lang w:eastAsia="en-US"/>
        </w:rPr>
        <w:t>Leone C., B</w:t>
      </w:r>
      <w:r w:rsidR="00F767A4">
        <w:rPr>
          <w:rFonts w:eastAsiaTheme="minorHAnsi"/>
          <w:shd w:val="clear" w:color="auto" w:fill="FFFFFF"/>
          <w:lang w:eastAsia="en-US"/>
        </w:rPr>
        <w:t xml:space="preserve">ruyneel L., Anderson J.E., Murrells, T., Dussault, G., Henriques de Jesus, E, Seremus, W., Aiken, L. and Rafferty, A.M. </w:t>
      </w:r>
      <w:r w:rsidRPr="00F767A4">
        <w:rPr>
          <w:rFonts w:eastAsiaTheme="minorHAnsi"/>
          <w:shd w:val="clear" w:color="auto" w:fill="FFFFFF"/>
          <w:lang w:eastAsia="en-US"/>
        </w:rPr>
        <w:t>(2015)</w:t>
      </w:r>
      <w:r w:rsidR="00840BAC">
        <w:rPr>
          <w:rFonts w:eastAsiaTheme="minorHAnsi"/>
          <w:shd w:val="clear" w:color="auto" w:fill="FFFFFF"/>
          <w:lang w:eastAsia="en-US"/>
        </w:rPr>
        <w:t>,</w:t>
      </w:r>
      <w:r w:rsidRPr="00F767A4">
        <w:rPr>
          <w:rFonts w:eastAsiaTheme="minorHAnsi"/>
          <w:shd w:val="clear" w:color="auto" w:fill="FFFFFF"/>
          <w:lang w:eastAsia="en-US"/>
        </w:rPr>
        <w:t xml:space="preserve"> </w:t>
      </w:r>
      <w:r w:rsidR="00840BAC">
        <w:rPr>
          <w:rFonts w:eastAsiaTheme="minorHAnsi"/>
          <w:shd w:val="clear" w:color="auto" w:fill="FFFFFF"/>
          <w:lang w:eastAsia="en-US"/>
        </w:rPr>
        <w:t>‘</w:t>
      </w:r>
      <w:r w:rsidRPr="00F767A4">
        <w:rPr>
          <w:rFonts w:eastAsiaTheme="minorHAnsi"/>
          <w:shd w:val="clear" w:color="auto" w:fill="FFFFFF"/>
          <w:lang w:eastAsia="en-US"/>
        </w:rPr>
        <w:t>Work environment issues and intention-to-leave in Portuguese nurses: a cross-sectional study</w:t>
      </w:r>
      <w:r w:rsidR="00681105">
        <w:rPr>
          <w:rFonts w:eastAsiaTheme="minorHAnsi"/>
          <w:shd w:val="clear" w:color="auto" w:fill="FFFFFF"/>
          <w:lang w:eastAsia="en-US"/>
        </w:rPr>
        <w:t xml:space="preserve">’, </w:t>
      </w:r>
      <w:r w:rsidR="00840BAC">
        <w:rPr>
          <w:rFonts w:eastAsiaTheme="minorHAnsi"/>
          <w:shd w:val="clear" w:color="auto" w:fill="FFFFFF"/>
          <w:lang w:eastAsia="en-US"/>
        </w:rPr>
        <w:t xml:space="preserve"> </w:t>
      </w:r>
      <w:r w:rsidRPr="00840BAC">
        <w:rPr>
          <w:rFonts w:eastAsiaTheme="minorHAnsi"/>
          <w:i/>
          <w:shd w:val="clear" w:color="auto" w:fill="FFFFFF"/>
          <w:lang w:eastAsia="en-US"/>
        </w:rPr>
        <w:t>Health Policy</w:t>
      </w:r>
      <w:r w:rsidR="00840BAC">
        <w:rPr>
          <w:rFonts w:eastAsiaTheme="minorHAnsi"/>
          <w:shd w:val="clear" w:color="auto" w:fill="FFFFFF"/>
          <w:lang w:eastAsia="en-US"/>
        </w:rPr>
        <w:t>,</w:t>
      </w:r>
      <w:r w:rsidR="000D3E32">
        <w:rPr>
          <w:rFonts w:eastAsiaTheme="minorHAnsi"/>
          <w:shd w:val="clear" w:color="auto" w:fill="FFFFFF"/>
          <w:lang w:eastAsia="en-US"/>
        </w:rPr>
        <w:t xml:space="preserve"> 119(12): 1584-92</w:t>
      </w:r>
    </w:p>
    <w:p w:rsidR="000D3E32" w:rsidRDefault="000D3E32" w:rsidP="003C5BF1">
      <w:pPr>
        <w:pStyle w:val="NormalWeb"/>
        <w:spacing w:line="480" w:lineRule="auto"/>
        <w:rPr>
          <w:shd w:val="clear" w:color="auto" w:fill="FFFFFF"/>
        </w:rPr>
      </w:pPr>
    </w:p>
    <w:p w:rsidR="0066089A" w:rsidRPr="00A214E7" w:rsidRDefault="0066089A" w:rsidP="00570F56">
      <w:pPr>
        <w:shd w:val="clear" w:color="auto" w:fill="FFFFFF"/>
        <w:spacing w:line="480" w:lineRule="auto"/>
        <w:jc w:val="both"/>
        <w:rPr>
          <w:color w:val="333333"/>
          <w:shd w:val="clear" w:color="auto" w:fill="FFFFFF"/>
        </w:rPr>
      </w:pPr>
      <w:r w:rsidRPr="00A214E7">
        <w:rPr>
          <w:shd w:val="clear" w:color="auto" w:fill="FFFFFF"/>
        </w:rPr>
        <w:t xml:space="preserve">Limoges-Gonzalez, M., Mann, N. S., Al-Juburi, A., Tseng, D., Inadomi, J., Rossaro, L. (2011), ‘Comparisons of screening colonoscopy performed by a nurse practitioner and gastroenterologists: A single-center randomized controlled trial’, </w:t>
      </w:r>
      <w:r w:rsidRPr="00A214E7">
        <w:rPr>
          <w:i/>
          <w:shd w:val="clear" w:color="auto" w:fill="FFFFFF"/>
        </w:rPr>
        <w:t>Gastroenterology Nursing</w:t>
      </w:r>
      <w:r w:rsidRPr="00A214E7">
        <w:rPr>
          <w:shd w:val="clear" w:color="auto" w:fill="FFFFFF"/>
        </w:rPr>
        <w:t>,  34(3): 210–216</w:t>
      </w:r>
      <w:r w:rsidRPr="00A214E7">
        <w:rPr>
          <w:color w:val="333333"/>
          <w:shd w:val="clear" w:color="auto" w:fill="FFFFFF"/>
        </w:rPr>
        <w:t>.</w:t>
      </w:r>
    </w:p>
    <w:p w:rsidR="0066089A" w:rsidRPr="00A214E7" w:rsidRDefault="0066089A" w:rsidP="00570F56">
      <w:pPr>
        <w:spacing w:line="480" w:lineRule="auto"/>
        <w:jc w:val="both"/>
      </w:pPr>
    </w:p>
    <w:p w:rsidR="00EC1302" w:rsidRDefault="00EC1302"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r w:rsidRPr="00A214E7">
        <w:rPr>
          <w:rFonts w:eastAsia="Times New Roman"/>
          <w:bdr w:val="none" w:sz="0" w:space="0" w:color="auto" w:frame="1"/>
          <w:shd w:val="clear" w:color="auto" w:fill="FFFFFF"/>
          <w:lang w:eastAsia="en-GB"/>
        </w:rPr>
        <w:t>Lintern S. (2017)</w:t>
      </w:r>
      <w:r w:rsidR="00DE55A1">
        <w:rPr>
          <w:rFonts w:eastAsia="Times New Roman"/>
          <w:bdr w:val="none" w:sz="0" w:space="0" w:color="auto" w:frame="1"/>
          <w:shd w:val="clear" w:color="auto" w:fill="FFFFFF"/>
          <w:lang w:eastAsia="en-GB"/>
        </w:rPr>
        <w:t>,</w:t>
      </w:r>
      <w:r w:rsidRPr="00A214E7">
        <w:rPr>
          <w:rFonts w:eastAsia="Times New Roman"/>
          <w:bdr w:val="none" w:sz="0" w:space="0" w:color="auto" w:frame="1"/>
          <w:shd w:val="clear" w:color="auto" w:fill="FFFFFF"/>
          <w:lang w:eastAsia="en-GB"/>
        </w:rPr>
        <w:t xml:space="preserve"> Revealed: the hospitals with the worst nurse staffing. Health Services Journal. 19 January 2017. </w:t>
      </w:r>
      <w:hyperlink r:id="rId13" w:history="1">
        <w:r w:rsidRPr="00A214E7">
          <w:rPr>
            <w:rStyle w:val="Hyperlink"/>
            <w:rFonts w:eastAsia="Times New Roman"/>
            <w:bdr w:val="none" w:sz="0" w:space="0" w:color="auto" w:frame="1"/>
            <w:shd w:val="clear" w:color="auto" w:fill="FFFFFF"/>
            <w:lang w:eastAsia="en-GB"/>
          </w:rPr>
          <w:t>https://www.hsj.co.uk/topics/workforce/revealed-the-hospitals-with-the-worst-nurse-staffing/7014906.article</w:t>
        </w:r>
      </w:hyperlink>
      <w:r w:rsidRPr="00A214E7">
        <w:rPr>
          <w:rFonts w:eastAsia="Times New Roman"/>
          <w:bdr w:val="none" w:sz="0" w:space="0" w:color="auto" w:frame="1"/>
          <w:shd w:val="clear" w:color="auto" w:fill="FFFFFF"/>
          <w:lang w:eastAsia="en-GB"/>
        </w:rPr>
        <w:t>.</w:t>
      </w:r>
    </w:p>
    <w:p w:rsidR="0011220C" w:rsidRDefault="0011220C"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p>
    <w:p w:rsidR="00FE1559" w:rsidRDefault="0011220C"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r>
        <w:rPr>
          <w:rFonts w:eastAsia="Times New Roman"/>
          <w:bdr w:val="none" w:sz="0" w:space="0" w:color="auto" w:frame="1"/>
          <w:shd w:val="clear" w:color="auto" w:fill="FFFFFF"/>
          <w:lang w:eastAsia="en-GB"/>
        </w:rPr>
        <w:t>MacPhee, M</w:t>
      </w:r>
      <w:r w:rsidR="009F2513">
        <w:rPr>
          <w:rFonts w:eastAsia="Times New Roman"/>
          <w:bdr w:val="none" w:sz="0" w:space="0" w:color="auto" w:frame="1"/>
          <w:shd w:val="clear" w:color="auto" w:fill="FFFFFF"/>
          <w:lang w:eastAsia="en-GB"/>
        </w:rPr>
        <w:t xml:space="preserve">; Kramer, M; Brewer, B; Halfer, D; Hnatiuk, C.N; Duchscher, J.B; Maguire, P; Coe, T; Schamlenberg, C. (2017). ‘Impact of professional nursing practices on patient/nurse outcomes: testing the essential professional nursing practices instrument’, Journal of Nursing Administration, May 2017 </w:t>
      </w:r>
    </w:p>
    <w:p w:rsidR="0011220C" w:rsidRDefault="004B4C03"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hyperlink r:id="rId14" w:history="1">
        <w:r w:rsidR="009F2513" w:rsidRPr="009F2513">
          <w:rPr>
            <w:rStyle w:val="Hyperlink"/>
            <w:rFonts w:eastAsia="Times New Roman"/>
            <w:bdr w:val="none" w:sz="0" w:space="0" w:color="auto" w:frame="1"/>
            <w:shd w:val="clear" w:color="auto" w:fill="FFFFFF"/>
            <w:lang w:eastAsia="en-GB"/>
          </w:rPr>
          <w:t>http://journals.lww.com/jonajournal/Abstract/2017/05000/Impact_of_Professional_Nursing_Practices_on.8.aspx</w:t>
        </w:r>
      </w:hyperlink>
    </w:p>
    <w:p w:rsidR="00606AA6" w:rsidRPr="00A214E7" w:rsidRDefault="00606AA6"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p>
    <w:p w:rsidR="00EC1302" w:rsidRDefault="00DE55A1" w:rsidP="00570F56">
      <w:pPr>
        <w:shd w:val="clear" w:color="auto" w:fill="FFFFFF"/>
        <w:spacing w:line="480" w:lineRule="auto"/>
        <w:jc w:val="both"/>
        <w:textAlignment w:val="baseline"/>
        <w:rPr>
          <w:rStyle w:val="Hyperlink"/>
          <w:rFonts w:eastAsia="Times New Roman"/>
          <w:bdr w:val="none" w:sz="0" w:space="0" w:color="auto" w:frame="1"/>
          <w:shd w:val="clear" w:color="auto" w:fill="FFFFFF"/>
          <w:lang w:eastAsia="en-GB"/>
        </w:rPr>
      </w:pPr>
      <w:r>
        <w:rPr>
          <w:rFonts w:eastAsia="Times New Roman"/>
          <w:bdr w:val="none" w:sz="0" w:space="0" w:color="auto" w:frame="1"/>
          <w:shd w:val="clear" w:color="auto" w:fill="FFFFFF"/>
          <w:lang w:eastAsia="en-GB"/>
        </w:rPr>
        <w:t xml:space="preserve">Maier, C and Aiken L. (2016), </w:t>
      </w:r>
      <w:r w:rsidR="00285BDA">
        <w:rPr>
          <w:rFonts w:eastAsia="Times New Roman"/>
          <w:bdr w:val="none" w:sz="0" w:space="0" w:color="auto" w:frame="1"/>
          <w:shd w:val="clear" w:color="auto" w:fill="FFFFFF"/>
          <w:lang w:eastAsia="en-GB"/>
        </w:rPr>
        <w:t>‘</w:t>
      </w:r>
      <w:r w:rsidR="001252BC">
        <w:rPr>
          <w:rFonts w:eastAsia="Times New Roman"/>
          <w:bdr w:val="none" w:sz="0" w:space="0" w:color="auto" w:frame="1"/>
          <w:shd w:val="clear" w:color="auto" w:fill="FFFFFF"/>
          <w:lang w:eastAsia="en-GB"/>
        </w:rPr>
        <w:t>Task shifting from physicians to nurses in primary care in 39 countries: a cross country comparative study</w:t>
      </w:r>
      <w:r w:rsidR="00285BDA">
        <w:rPr>
          <w:rFonts w:eastAsia="Times New Roman"/>
          <w:bdr w:val="none" w:sz="0" w:space="0" w:color="auto" w:frame="1"/>
          <w:shd w:val="clear" w:color="auto" w:fill="FFFFFF"/>
          <w:lang w:eastAsia="en-GB"/>
        </w:rPr>
        <w:t xml:space="preserve">’, </w:t>
      </w:r>
      <w:r w:rsidR="001252BC" w:rsidRPr="00285BDA">
        <w:rPr>
          <w:rFonts w:eastAsia="Times New Roman"/>
          <w:i/>
          <w:bdr w:val="none" w:sz="0" w:space="0" w:color="auto" w:frame="1"/>
          <w:shd w:val="clear" w:color="auto" w:fill="FFFFFF"/>
          <w:lang w:eastAsia="en-GB"/>
        </w:rPr>
        <w:t>European J</w:t>
      </w:r>
      <w:r w:rsidR="00285BDA" w:rsidRPr="00285BDA">
        <w:rPr>
          <w:rFonts w:eastAsia="Times New Roman"/>
          <w:i/>
          <w:bdr w:val="none" w:sz="0" w:space="0" w:color="auto" w:frame="1"/>
          <w:shd w:val="clear" w:color="auto" w:fill="FFFFFF"/>
          <w:lang w:eastAsia="en-GB"/>
        </w:rPr>
        <w:t>ournal of</w:t>
      </w:r>
      <w:r w:rsidR="001252BC" w:rsidRPr="00285BDA">
        <w:rPr>
          <w:rFonts w:eastAsia="Times New Roman"/>
          <w:i/>
          <w:bdr w:val="none" w:sz="0" w:space="0" w:color="auto" w:frame="1"/>
          <w:shd w:val="clear" w:color="auto" w:fill="FFFFFF"/>
          <w:lang w:eastAsia="en-GB"/>
        </w:rPr>
        <w:t xml:space="preserve"> Public Health</w:t>
      </w:r>
      <w:r w:rsidR="00285BDA">
        <w:rPr>
          <w:rFonts w:eastAsia="Times New Roman"/>
          <w:bdr w:val="none" w:sz="0" w:space="0" w:color="auto" w:frame="1"/>
          <w:shd w:val="clear" w:color="auto" w:fill="FFFFFF"/>
          <w:lang w:eastAsia="en-GB"/>
        </w:rPr>
        <w:t xml:space="preserve">, </w:t>
      </w:r>
      <w:r w:rsidR="00A75349">
        <w:rPr>
          <w:rFonts w:eastAsia="Times New Roman"/>
          <w:bdr w:val="none" w:sz="0" w:space="0" w:color="auto" w:frame="1"/>
          <w:shd w:val="clear" w:color="auto" w:fill="FFFFFF"/>
          <w:lang w:eastAsia="en-GB"/>
        </w:rPr>
        <w:t>26</w:t>
      </w:r>
      <w:r w:rsidR="000E1F99">
        <w:rPr>
          <w:rFonts w:eastAsia="Times New Roman"/>
          <w:bdr w:val="none" w:sz="0" w:space="0" w:color="auto" w:frame="1"/>
          <w:shd w:val="clear" w:color="auto" w:fill="FFFFFF"/>
          <w:lang w:eastAsia="en-GB"/>
        </w:rPr>
        <w:t xml:space="preserve">(6) 927-34 </w:t>
      </w:r>
      <w:hyperlink r:id="rId15" w:history="1">
        <w:r w:rsidR="000E1F99" w:rsidRPr="00F13F59">
          <w:rPr>
            <w:rStyle w:val="Hyperlink"/>
            <w:rFonts w:eastAsia="Times New Roman"/>
            <w:bdr w:val="none" w:sz="0" w:space="0" w:color="auto" w:frame="1"/>
            <w:shd w:val="clear" w:color="auto" w:fill="FFFFFF"/>
            <w:lang w:eastAsia="en-GB"/>
          </w:rPr>
          <w:t>https://academic.oup.com/eurpub/article-abstract/26/6/927/2616280/Task-shifting-from-physicians-to-nurses-in-primary</w:t>
        </w:r>
      </w:hyperlink>
    </w:p>
    <w:p w:rsidR="00DE111D" w:rsidRDefault="00DE111D"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p>
    <w:p w:rsidR="00FC6639" w:rsidRPr="00A214E7" w:rsidRDefault="00FC6639"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r w:rsidRPr="00A214E7">
        <w:rPr>
          <w:rFonts w:eastAsia="Times New Roman"/>
          <w:bdr w:val="none" w:sz="0" w:space="0" w:color="auto" w:frame="1"/>
          <w:shd w:val="clear" w:color="auto" w:fill="FFFFFF"/>
          <w:lang w:eastAsia="en-GB"/>
        </w:rPr>
        <w:t>Maybin J, Klein R. (2012)</w:t>
      </w:r>
      <w:r w:rsidR="000E5B09">
        <w:rPr>
          <w:rFonts w:eastAsia="Times New Roman"/>
          <w:bdr w:val="none" w:sz="0" w:space="0" w:color="auto" w:frame="1"/>
          <w:shd w:val="clear" w:color="auto" w:fill="FFFFFF"/>
          <w:lang w:eastAsia="en-GB"/>
        </w:rPr>
        <w:t>,</w:t>
      </w:r>
      <w:r w:rsidRPr="00A214E7">
        <w:rPr>
          <w:rFonts w:eastAsia="Times New Roman"/>
          <w:bdr w:val="none" w:sz="0" w:space="0" w:color="auto" w:frame="1"/>
          <w:shd w:val="clear" w:color="auto" w:fill="FFFFFF"/>
          <w:lang w:eastAsia="en-GB"/>
        </w:rPr>
        <w:t xml:space="preserve"> Thinking about rationing. The King’s Fund report. </w:t>
      </w:r>
      <w:hyperlink r:id="rId16" w:history="1">
        <w:r w:rsidRPr="00A214E7">
          <w:rPr>
            <w:rStyle w:val="Hyperlink"/>
            <w:rFonts w:eastAsia="Times New Roman"/>
            <w:bdr w:val="none" w:sz="0" w:space="0" w:color="auto" w:frame="1"/>
            <w:shd w:val="clear" w:color="auto" w:fill="FFFFFF"/>
            <w:lang w:eastAsia="en-GB"/>
          </w:rPr>
          <w:t>https://www.kingsfund.org.uk/publications/thinking-about-rationing</w:t>
        </w:r>
      </w:hyperlink>
    </w:p>
    <w:p w:rsidR="00FC6639" w:rsidRPr="00A214E7" w:rsidRDefault="00FC6639" w:rsidP="00570F56">
      <w:pPr>
        <w:shd w:val="clear" w:color="auto" w:fill="FFFFFF"/>
        <w:spacing w:line="480" w:lineRule="auto"/>
        <w:jc w:val="both"/>
        <w:textAlignment w:val="baseline"/>
        <w:rPr>
          <w:rFonts w:eastAsia="Times New Roman"/>
          <w:bdr w:val="none" w:sz="0" w:space="0" w:color="auto" w:frame="1"/>
          <w:shd w:val="clear" w:color="auto" w:fill="FFFFFF"/>
          <w:lang w:eastAsia="en-GB"/>
        </w:rPr>
      </w:pPr>
    </w:p>
    <w:p w:rsidR="00EC1302" w:rsidRPr="00A214E7" w:rsidRDefault="00EC1302" w:rsidP="00570F56">
      <w:pPr>
        <w:shd w:val="clear" w:color="auto" w:fill="FFFFFF"/>
        <w:spacing w:line="480" w:lineRule="auto"/>
        <w:jc w:val="both"/>
        <w:textAlignment w:val="baseline"/>
      </w:pPr>
      <w:r w:rsidRPr="00A214E7">
        <w:rPr>
          <w:rFonts w:eastAsia="Times New Roman"/>
          <w:bdr w:val="none" w:sz="0" w:space="0" w:color="auto" w:frame="1"/>
          <w:shd w:val="clear" w:color="auto" w:fill="FFFFFF"/>
          <w:lang w:eastAsia="en-GB"/>
        </w:rPr>
        <w:t xml:space="preserve">Maybin J, Charles A, Honeyman M. (2016) Understanding quality in district nursing services. The King’s Fund. </w:t>
      </w:r>
      <w:hyperlink r:id="rId17" w:history="1">
        <w:r w:rsidRPr="00A214E7">
          <w:rPr>
            <w:rStyle w:val="Hyperlink"/>
          </w:rPr>
          <w:t>https://www.kingsfund.org.uk/publications/quality-district-nursing</w:t>
        </w:r>
      </w:hyperlink>
      <w:r w:rsidRPr="00A214E7">
        <w:t>.</w:t>
      </w:r>
    </w:p>
    <w:p w:rsidR="00EC1302" w:rsidRPr="00A214E7" w:rsidRDefault="00EC1302" w:rsidP="00570F56">
      <w:pPr>
        <w:spacing w:line="480" w:lineRule="auto"/>
        <w:jc w:val="both"/>
      </w:pPr>
    </w:p>
    <w:p w:rsidR="000E1F99" w:rsidRDefault="007A7153" w:rsidP="00570F56">
      <w:pPr>
        <w:shd w:val="clear" w:color="auto" w:fill="FFFFFF"/>
        <w:spacing w:line="480" w:lineRule="auto"/>
        <w:jc w:val="both"/>
        <w:outlineLvl w:val="0"/>
        <w:rPr>
          <w:rFonts w:eastAsia="Times New Roman"/>
          <w:lang w:eastAsia="en-GB"/>
        </w:rPr>
      </w:pPr>
      <w:r w:rsidRPr="00A214E7">
        <w:rPr>
          <w:rFonts w:eastAsia="Times New Roman"/>
          <w:lang w:eastAsia="en-GB"/>
        </w:rPr>
        <w:t xml:space="preserve">McHugh, M.D., Rochman, M.F., Sloane, D.M., Berg, R.A., Mancini, M.E., Nadkarni, V.M., </w:t>
      </w:r>
    </w:p>
    <w:p w:rsidR="007A7153" w:rsidRPr="00A214E7" w:rsidRDefault="007A7153" w:rsidP="00570F56">
      <w:pPr>
        <w:shd w:val="clear" w:color="auto" w:fill="FFFFFF"/>
        <w:spacing w:line="480" w:lineRule="auto"/>
        <w:jc w:val="both"/>
        <w:outlineLvl w:val="0"/>
        <w:rPr>
          <w:rFonts w:eastAsia="Times New Roman"/>
          <w:lang w:eastAsia="en-GB"/>
        </w:rPr>
      </w:pPr>
      <w:r w:rsidRPr="00A214E7">
        <w:rPr>
          <w:rFonts w:eastAsia="Times New Roman"/>
          <w:lang w:eastAsia="en-GB"/>
        </w:rPr>
        <w:t xml:space="preserve">Merchant, R.M., and Aiken, L.H. (2016), ‘Better nurse staffing and work environments associated with increased survival of in-hospital cardiac arrest patients’, </w:t>
      </w:r>
      <w:r w:rsidRPr="00A214E7">
        <w:rPr>
          <w:rFonts w:eastAsia="Times New Roman"/>
          <w:i/>
          <w:iCs/>
          <w:lang w:eastAsia="en-GB"/>
        </w:rPr>
        <w:t>Medical Care</w:t>
      </w:r>
      <w:r w:rsidRPr="00A214E7">
        <w:rPr>
          <w:rFonts w:eastAsia="Times New Roman"/>
          <w:lang w:eastAsia="en-GB"/>
        </w:rPr>
        <w:t>, 54(1): 74-80.</w:t>
      </w:r>
    </w:p>
    <w:p w:rsidR="00A214E7" w:rsidRPr="00A214E7" w:rsidRDefault="00A214E7" w:rsidP="00570F56">
      <w:pPr>
        <w:shd w:val="clear" w:color="auto" w:fill="FFFFFF"/>
        <w:spacing w:line="480" w:lineRule="auto"/>
        <w:jc w:val="both"/>
        <w:outlineLvl w:val="0"/>
        <w:rPr>
          <w:rFonts w:eastAsia="Times New Roman"/>
          <w:lang w:eastAsia="en-GB"/>
        </w:rPr>
      </w:pPr>
    </w:p>
    <w:p w:rsidR="000A48EB" w:rsidRPr="00A214E7" w:rsidRDefault="007A7153" w:rsidP="00570F56">
      <w:pPr>
        <w:shd w:val="clear" w:color="auto" w:fill="FFFFFF"/>
        <w:spacing w:line="480" w:lineRule="auto"/>
        <w:jc w:val="both"/>
        <w:outlineLvl w:val="0"/>
        <w:rPr>
          <w:rFonts w:eastAsia="Times New Roman"/>
          <w:bCs/>
          <w:kern w:val="36"/>
          <w:lang w:eastAsia="en-GB"/>
        </w:rPr>
      </w:pPr>
      <w:r w:rsidRPr="00A214E7">
        <w:rPr>
          <w:rFonts w:eastAsia="Times New Roman"/>
          <w:bCs/>
          <w:kern w:val="36"/>
          <w:lang w:eastAsia="en-GB"/>
        </w:rPr>
        <w:lastRenderedPageBreak/>
        <w:t>McPherson K. (2003)</w:t>
      </w:r>
      <w:r w:rsidR="00880BDB">
        <w:rPr>
          <w:rFonts w:eastAsia="Times New Roman"/>
          <w:bCs/>
          <w:kern w:val="36"/>
          <w:lang w:eastAsia="en-GB"/>
        </w:rPr>
        <w:t>,</w:t>
      </w:r>
      <w:r w:rsidRPr="00A214E7">
        <w:rPr>
          <w:rFonts w:eastAsia="Times New Roman"/>
          <w:bCs/>
          <w:kern w:val="36"/>
          <w:lang w:eastAsia="en-GB"/>
        </w:rPr>
        <w:t xml:space="preserve"> </w:t>
      </w:r>
      <w:r w:rsidRPr="00A214E7">
        <w:rPr>
          <w:rFonts w:eastAsia="Times New Roman"/>
          <w:bCs/>
          <w:i/>
          <w:kern w:val="36"/>
          <w:lang w:eastAsia="en-GB"/>
        </w:rPr>
        <w:t>Bedside matters: the transformation of Canadian nursing, 1900-1990</w:t>
      </w:r>
      <w:r w:rsidRPr="00A214E7">
        <w:rPr>
          <w:rFonts w:eastAsia="Times New Roman"/>
          <w:bCs/>
          <w:kern w:val="36"/>
          <w:lang w:eastAsia="en-GB"/>
        </w:rPr>
        <w:t>. Toronto: University of Toronto Press.</w:t>
      </w:r>
    </w:p>
    <w:p w:rsidR="007E1812" w:rsidRDefault="007E1812" w:rsidP="008178EC">
      <w:pPr>
        <w:shd w:val="clear" w:color="auto" w:fill="FFFFFF"/>
        <w:spacing w:after="100" w:afterAutospacing="1" w:line="480" w:lineRule="auto"/>
        <w:jc w:val="both"/>
        <w:rPr>
          <w:rFonts w:eastAsia="Times New Roman"/>
          <w:lang w:eastAsia="en-GB"/>
        </w:rPr>
      </w:pPr>
    </w:p>
    <w:p w:rsidR="008178EC" w:rsidRDefault="000A48EB" w:rsidP="008178EC">
      <w:pPr>
        <w:shd w:val="clear" w:color="auto" w:fill="FFFFFF"/>
        <w:spacing w:after="100" w:afterAutospacing="1" w:line="480" w:lineRule="auto"/>
        <w:jc w:val="both"/>
        <w:rPr>
          <w:rStyle w:val="Hyperlink"/>
        </w:rPr>
      </w:pPr>
      <w:r w:rsidRPr="00A214E7">
        <w:rPr>
          <w:rFonts w:eastAsia="Times New Roman"/>
          <w:lang w:eastAsia="en-GB"/>
        </w:rPr>
        <w:t xml:space="preserve">Merrifield, N. (2016), ‘Nursing workforce experts question new staffing measure’, </w:t>
      </w:r>
      <w:r w:rsidRPr="00A214E7">
        <w:rPr>
          <w:rFonts w:eastAsia="Times New Roman"/>
          <w:i/>
          <w:lang w:eastAsia="en-GB"/>
        </w:rPr>
        <w:t xml:space="preserve">Nursing Times, </w:t>
      </w:r>
      <w:hyperlink r:id="rId18" w:history="1">
        <w:r w:rsidR="005642CB" w:rsidRPr="00A214E7">
          <w:rPr>
            <w:rStyle w:val="Hyperlink"/>
          </w:rPr>
          <w:t>https://www.nursingtimes.net/news/workforce/nursing-workforce-experts-question-new-staffing-metric/7002226.article</w:t>
        </w:r>
      </w:hyperlink>
    </w:p>
    <w:p w:rsidR="00E70564" w:rsidRDefault="001930C7" w:rsidP="00396F27">
      <w:pPr>
        <w:shd w:val="clear" w:color="auto" w:fill="FFFFFF"/>
        <w:spacing w:after="100" w:afterAutospacing="1" w:line="480" w:lineRule="auto"/>
        <w:jc w:val="both"/>
      </w:pPr>
      <w:r>
        <w:t xml:space="preserve">Ministry of Health, Department of Health for Scotland, Ministry of Labour and National Service, </w:t>
      </w:r>
      <w:r>
        <w:rPr>
          <w:i/>
        </w:rPr>
        <w:t>Working Party on the Recruitment and Training of Nurses</w:t>
      </w:r>
      <w:r>
        <w:t xml:space="preserve">, London, HMSO, 1947. </w:t>
      </w:r>
    </w:p>
    <w:p w:rsidR="005642CB" w:rsidRPr="00A214E7" w:rsidRDefault="005642CB" w:rsidP="005642CB">
      <w:pPr>
        <w:shd w:val="clear" w:color="auto" w:fill="FFFFFF"/>
        <w:spacing w:line="480" w:lineRule="auto"/>
        <w:jc w:val="both"/>
        <w:textAlignment w:val="baseline"/>
      </w:pPr>
      <w:r w:rsidRPr="00A214E7">
        <w:t xml:space="preserve">National Healthcare Retention &amp; RN Staffing Report (2016) Published by: NSI Nursing Solutions, Inc., </w:t>
      </w:r>
    </w:p>
    <w:p w:rsidR="001D49F4" w:rsidRPr="00A214E7" w:rsidRDefault="004B4C03" w:rsidP="001D49F4">
      <w:pPr>
        <w:shd w:val="clear" w:color="auto" w:fill="FFFFFF"/>
        <w:spacing w:line="480" w:lineRule="auto"/>
        <w:jc w:val="both"/>
        <w:textAlignment w:val="baseline"/>
        <w:rPr>
          <w:rFonts w:eastAsia="Times New Roman"/>
          <w:bdr w:val="none" w:sz="0" w:space="0" w:color="auto" w:frame="1"/>
          <w:shd w:val="clear" w:color="auto" w:fill="FFFFFF"/>
          <w:lang w:eastAsia="en-GB"/>
        </w:rPr>
      </w:pPr>
      <w:hyperlink r:id="rId19" w:history="1">
        <w:r w:rsidR="001D49F4" w:rsidRPr="00A214E7">
          <w:rPr>
            <w:rStyle w:val="Hyperlink"/>
            <w:rFonts w:eastAsia="Times New Roman"/>
            <w:bdr w:val="none" w:sz="0" w:space="0" w:color="auto" w:frame="1"/>
            <w:shd w:val="clear" w:color="auto" w:fill="FFFFFF"/>
            <w:lang w:eastAsia="en-GB"/>
          </w:rPr>
          <w:t>http://www.nsinursingsolutions.com/Files/assets/library/retention-institute/NationalHealthcareRNRetentionReport2016.pdf</w:t>
        </w:r>
      </w:hyperlink>
    </w:p>
    <w:p w:rsidR="00D76241" w:rsidRDefault="008178EC" w:rsidP="00A36D22">
      <w:pPr>
        <w:spacing w:before="100" w:beforeAutospacing="1" w:after="100" w:afterAutospacing="1" w:line="480" w:lineRule="auto"/>
        <w:rPr>
          <w:rStyle w:val="cit-lpage"/>
          <w:rFonts w:eastAsia="Times New Roman"/>
          <w:color w:val="333333"/>
        </w:rPr>
      </w:pPr>
      <w:r w:rsidRPr="00A214E7">
        <w:rPr>
          <w:rStyle w:val="cit-name-surname"/>
          <w:rFonts w:eastAsia="Times New Roman"/>
          <w:color w:val="333333"/>
        </w:rPr>
        <w:t>Needleman,</w:t>
      </w:r>
      <w:r w:rsidRPr="00A214E7">
        <w:rPr>
          <w:rStyle w:val="apple-converted-space"/>
          <w:rFonts w:eastAsia="Times New Roman"/>
          <w:color w:val="333333"/>
        </w:rPr>
        <w:t> </w:t>
      </w:r>
      <w:r w:rsidRPr="00A214E7">
        <w:rPr>
          <w:rStyle w:val="cit-auth"/>
          <w:rFonts w:eastAsia="Times New Roman"/>
          <w:color w:val="333333"/>
        </w:rPr>
        <w:t xml:space="preserve"> </w:t>
      </w:r>
      <w:r w:rsidRPr="00A214E7">
        <w:rPr>
          <w:rStyle w:val="cit-name-given-names"/>
          <w:rFonts w:eastAsia="Times New Roman"/>
          <w:color w:val="333333"/>
        </w:rPr>
        <w:t>J.</w:t>
      </w:r>
      <w:r w:rsidRPr="00A214E7">
        <w:rPr>
          <w:rFonts w:eastAsia="Times New Roman"/>
          <w:color w:val="333333"/>
        </w:rPr>
        <w:t>,</w:t>
      </w:r>
      <w:r w:rsidRPr="00A214E7">
        <w:rPr>
          <w:rStyle w:val="apple-converted-space"/>
          <w:rFonts w:eastAsia="Times New Roman"/>
          <w:color w:val="333333"/>
        </w:rPr>
        <w:t> </w:t>
      </w:r>
      <w:r w:rsidRPr="00A214E7">
        <w:rPr>
          <w:rStyle w:val="cit-name-surname"/>
          <w:rFonts w:eastAsia="Times New Roman"/>
          <w:color w:val="333333"/>
        </w:rPr>
        <w:t>Buerhaus,</w:t>
      </w:r>
      <w:r w:rsidRPr="00A214E7">
        <w:rPr>
          <w:rStyle w:val="apple-converted-space"/>
          <w:rFonts w:eastAsia="Times New Roman"/>
          <w:color w:val="333333"/>
        </w:rPr>
        <w:t> </w:t>
      </w:r>
      <w:r w:rsidRPr="00A214E7">
        <w:rPr>
          <w:rStyle w:val="cit-auth"/>
          <w:rFonts w:eastAsia="Times New Roman"/>
          <w:color w:val="333333"/>
        </w:rPr>
        <w:t xml:space="preserve"> </w:t>
      </w:r>
      <w:r w:rsidRPr="00A214E7">
        <w:rPr>
          <w:rStyle w:val="cit-name-given-names"/>
          <w:rFonts w:eastAsia="Times New Roman"/>
          <w:color w:val="333333"/>
        </w:rPr>
        <w:t>P.</w:t>
      </w:r>
      <w:r w:rsidRPr="00A214E7">
        <w:rPr>
          <w:rFonts w:eastAsia="Times New Roman"/>
          <w:color w:val="333333"/>
        </w:rPr>
        <w:t>,</w:t>
      </w:r>
      <w:r w:rsidRPr="00A214E7">
        <w:rPr>
          <w:rStyle w:val="apple-converted-space"/>
          <w:rFonts w:eastAsia="Times New Roman"/>
          <w:color w:val="333333"/>
        </w:rPr>
        <w:t> </w:t>
      </w:r>
      <w:r w:rsidRPr="00A214E7">
        <w:rPr>
          <w:rStyle w:val="cit-name-surname"/>
          <w:rFonts w:eastAsia="Times New Roman"/>
          <w:color w:val="333333"/>
        </w:rPr>
        <w:t>Pankratz,</w:t>
      </w:r>
      <w:r w:rsidRPr="00A214E7">
        <w:rPr>
          <w:rStyle w:val="apple-converted-space"/>
          <w:rFonts w:eastAsia="Times New Roman"/>
          <w:color w:val="333333"/>
        </w:rPr>
        <w:t> </w:t>
      </w:r>
      <w:r w:rsidRPr="00A214E7">
        <w:rPr>
          <w:rStyle w:val="cit-auth"/>
          <w:rFonts w:eastAsia="Times New Roman"/>
          <w:color w:val="333333"/>
        </w:rPr>
        <w:t xml:space="preserve"> </w:t>
      </w:r>
      <w:r w:rsidRPr="00A214E7">
        <w:rPr>
          <w:rStyle w:val="cit-name-given-names"/>
          <w:rFonts w:eastAsia="Times New Roman"/>
          <w:color w:val="333333"/>
        </w:rPr>
        <w:t>S.</w:t>
      </w:r>
      <w:r w:rsidRPr="00A214E7">
        <w:rPr>
          <w:rFonts w:eastAsia="Times New Roman"/>
          <w:color w:val="333333"/>
        </w:rPr>
        <w:t>,</w:t>
      </w:r>
      <w:r w:rsidRPr="00A214E7">
        <w:rPr>
          <w:rStyle w:val="apple-converted-space"/>
          <w:rFonts w:eastAsia="Times New Roman"/>
          <w:color w:val="333333"/>
        </w:rPr>
        <w:t> </w:t>
      </w:r>
      <w:r w:rsidRPr="00A214E7">
        <w:rPr>
          <w:rStyle w:val="cit-etal"/>
          <w:rFonts w:eastAsia="Times New Roman"/>
          <w:i/>
          <w:iCs/>
          <w:color w:val="333333"/>
        </w:rPr>
        <w:t>et al</w:t>
      </w:r>
      <w:r w:rsidRPr="00A214E7">
        <w:rPr>
          <w:rFonts w:eastAsia="Times New Roman"/>
          <w:color w:val="333333"/>
        </w:rPr>
        <w:t>. (2011), ‘</w:t>
      </w:r>
      <w:r w:rsidRPr="00A214E7">
        <w:rPr>
          <w:rStyle w:val="cit-article-title"/>
          <w:rFonts w:eastAsia="Times New Roman"/>
          <w:color w:val="333333"/>
        </w:rPr>
        <w:t xml:space="preserve">Nurse staffing and inpatient hospital mortality’, </w:t>
      </w:r>
      <w:r w:rsidRPr="00A214E7">
        <w:rPr>
          <w:rStyle w:val="cit-article-title"/>
          <w:rFonts w:eastAsia="Times New Roman"/>
          <w:i/>
          <w:color w:val="333333"/>
        </w:rPr>
        <w:t xml:space="preserve">New England Journal of Medicine, </w:t>
      </w:r>
      <w:r w:rsidRPr="00A214E7">
        <w:rPr>
          <w:rStyle w:val="cit-vol"/>
          <w:rFonts w:eastAsia="Times New Roman"/>
          <w:bCs/>
          <w:color w:val="333333"/>
        </w:rPr>
        <w:t>364</w:t>
      </w:r>
      <w:r w:rsidRPr="00A214E7">
        <w:rPr>
          <w:rStyle w:val="HTMLCite"/>
          <w:rFonts w:eastAsia="Times New Roman"/>
          <w:i w:val="0"/>
          <w:iCs w:val="0"/>
          <w:color w:val="333333"/>
        </w:rPr>
        <w:t>:</w:t>
      </w:r>
      <w:r w:rsidRPr="00A214E7">
        <w:rPr>
          <w:rStyle w:val="cit-fpage"/>
          <w:rFonts w:eastAsia="Times New Roman"/>
          <w:color w:val="333333"/>
        </w:rPr>
        <w:t>1037</w:t>
      </w:r>
      <w:r w:rsidRPr="00A214E7">
        <w:rPr>
          <w:rStyle w:val="HTMLCite"/>
          <w:rFonts w:eastAsia="Times New Roman"/>
          <w:i w:val="0"/>
          <w:iCs w:val="0"/>
          <w:color w:val="333333"/>
        </w:rPr>
        <w:t>–</w:t>
      </w:r>
      <w:r w:rsidRPr="00A214E7">
        <w:rPr>
          <w:rStyle w:val="cit-lpage"/>
          <w:rFonts w:eastAsia="Times New Roman"/>
          <w:color w:val="333333"/>
        </w:rPr>
        <w:t>45</w:t>
      </w:r>
      <w:r w:rsidR="003E3043" w:rsidRPr="003E3043">
        <w:t xml:space="preserve"> </w:t>
      </w:r>
      <w:hyperlink r:id="rId20" w:anchor="t=article" w:history="1">
        <w:r w:rsidR="003E3043" w:rsidRPr="00F13F59">
          <w:rPr>
            <w:rStyle w:val="Hyperlink"/>
            <w:rFonts w:eastAsia="Times New Roman"/>
          </w:rPr>
          <w:t>http://www.nejm.org/doi/full/10.1056/NEJMsa1001025#t=article</w:t>
        </w:r>
      </w:hyperlink>
    </w:p>
    <w:p w:rsidR="00DA5CBE" w:rsidRDefault="00DA5CBE" w:rsidP="00570F56">
      <w:pPr>
        <w:spacing w:line="480" w:lineRule="auto"/>
        <w:jc w:val="both"/>
        <w:outlineLvl w:val="0"/>
        <w:rPr>
          <w:rFonts w:eastAsia="Times New Roman"/>
          <w:bCs/>
          <w:color w:val="000000"/>
          <w:kern w:val="36"/>
          <w:lang w:eastAsia="en-GB"/>
        </w:rPr>
      </w:pPr>
      <w:r w:rsidRPr="00A214E7">
        <w:rPr>
          <w:rFonts w:eastAsia="Times New Roman"/>
          <w:bCs/>
          <w:color w:val="000000"/>
          <w:kern w:val="36"/>
          <w:lang w:eastAsia="en-GB"/>
        </w:rPr>
        <w:t>Neuraz A., Guerin C., Payet C., Polazzi S., Aubrun F., Dailler F., Lehot J.J., Piriou V., Neidecker J., Rimmele T., Schott, A.M., Duclos A. (2015)</w:t>
      </w:r>
      <w:r w:rsidR="00880BDB">
        <w:rPr>
          <w:rFonts w:eastAsia="Times New Roman"/>
          <w:bCs/>
          <w:color w:val="000000"/>
          <w:kern w:val="36"/>
          <w:lang w:eastAsia="en-GB"/>
        </w:rPr>
        <w:t>,</w:t>
      </w:r>
      <w:r w:rsidRPr="00A214E7">
        <w:rPr>
          <w:rFonts w:eastAsia="Times New Roman"/>
          <w:bCs/>
          <w:color w:val="000000"/>
          <w:kern w:val="36"/>
          <w:lang w:eastAsia="en-GB"/>
        </w:rPr>
        <w:t xml:space="preserve"> ‘Patient Mortality Is Associated With Staff Resources and Workload in the ICU: A Multicenter Observational Study’, </w:t>
      </w:r>
      <w:r w:rsidRPr="00A214E7">
        <w:rPr>
          <w:rFonts w:eastAsia="Times New Roman"/>
          <w:bCs/>
          <w:i/>
          <w:color w:val="000000"/>
          <w:kern w:val="36"/>
          <w:lang w:eastAsia="en-GB"/>
        </w:rPr>
        <w:t>Critical Care Medicine</w:t>
      </w:r>
      <w:r w:rsidRPr="00A214E7">
        <w:rPr>
          <w:rFonts w:eastAsia="Times New Roman"/>
          <w:bCs/>
          <w:color w:val="000000"/>
          <w:kern w:val="36"/>
          <w:lang w:eastAsia="en-GB"/>
        </w:rPr>
        <w:t>, 43(8): 1587-1594.</w:t>
      </w:r>
    </w:p>
    <w:p w:rsidR="00D467A9" w:rsidRDefault="00D467A9" w:rsidP="00570F56">
      <w:pPr>
        <w:spacing w:line="480" w:lineRule="auto"/>
        <w:jc w:val="both"/>
        <w:outlineLvl w:val="0"/>
        <w:rPr>
          <w:rFonts w:eastAsia="Times New Roman"/>
          <w:bCs/>
          <w:color w:val="000000"/>
          <w:kern w:val="36"/>
          <w:lang w:eastAsia="en-GB"/>
        </w:rPr>
      </w:pPr>
    </w:p>
    <w:p w:rsidR="00986181" w:rsidRDefault="002A4A3E" w:rsidP="00570F56">
      <w:pPr>
        <w:spacing w:line="480" w:lineRule="auto"/>
        <w:jc w:val="both"/>
        <w:outlineLvl w:val="0"/>
        <w:rPr>
          <w:rFonts w:eastAsia="Times New Roman"/>
          <w:bCs/>
          <w:color w:val="000000"/>
          <w:kern w:val="36"/>
          <w:lang w:eastAsia="en-GB"/>
        </w:rPr>
      </w:pPr>
      <w:r>
        <w:rPr>
          <w:rFonts w:eastAsia="Times New Roman"/>
          <w:bCs/>
          <w:color w:val="000000"/>
          <w:kern w:val="36"/>
          <w:lang w:eastAsia="en-GB"/>
        </w:rPr>
        <w:t>OECD (2010),</w:t>
      </w:r>
      <w:r w:rsidR="00986181">
        <w:rPr>
          <w:rFonts w:eastAsia="Times New Roman"/>
          <w:bCs/>
          <w:color w:val="000000"/>
          <w:kern w:val="36"/>
          <w:lang w:eastAsia="en-GB"/>
        </w:rPr>
        <w:t xml:space="preserve"> </w:t>
      </w:r>
      <w:r w:rsidR="00391E55">
        <w:rPr>
          <w:rFonts w:eastAsia="Times New Roman"/>
          <w:bCs/>
          <w:color w:val="000000"/>
          <w:kern w:val="36"/>
          <w:lang w:eastAsia="en-GB"/>
        </w:rPr>
        <w:t>‘</w:t>
      </w:r>
      <w:r w:rsidR="00986181">
        <w:rPr>
          <w:rFonts w:eastAsia="Times New Roman"/>
          <w:bCs/>
          <w:color w:val="000000"/>
          <w:kern w:val="36"/>
          <w:lang w:eastAsia="en-GB"/>
        </w:rPr>
        <w:t xml:space="preserve">Nurses in Advanced Roles: A description and evaluation of experiences in 12 developed </w:t>
      </w:r>
      <w:r w:rsidR="006B678D">
        <w:rPr>
          <w:rFonts w:eastAsia="Times New Roman"/>
          <w:bCs/>
          <w:color w:val="000000"/>
          <w:kern w:val="36"/>
          <w:lang w:eastAsia="en-GB"/>
        </w:rPr>
        <w:t>countries</w:t>
      </w:r>
      <w:r w:rsidR="00391E55">
        <w:rPr>
          <w:rFonts w:eastAsia="Times New Roman"/>
          <w:bCs/>
          <w:color w:val="000000"/>
          <w:kern w:val="36"/>
          <w:lang w:eastAsia="en-GB"/>
        </w:rPr>
        <w:t>’</w:t>
      </w:r>
      <w:r w:rsidR="006B678D">
        <w:rPr>
          <w:rFonts w:eastAsia="Times New Roman"/>
          <w:bCs/>
          <w:color w:val="000000"/>
          <w:kern w:val="36"/>
          <w:lang w:eastAsia="en-GB"/>
        </w:rPr>
        <w:t>, Paris: OECD</w:t>
      </w:r>
      <w:r w:rsidR="00606AA6">
        <w:rPr>
          <w:rFonts w:eastAsia="Times New Roman"/>
          <w:bCs/>
          <w:color w:val="000000"/>
          <w:kern w:val="36"/>
          <w:lang w:eastAsia="en-GB"/>
        </w:rPr>
        <w:t xml:space="preserve"> (Health Working Paper No. 54) </w:t>
      </w:r>
      <w:hyperlink r:id="rId21" w:history="1">
        <w:r w:rsidR="001477CA" w:rsidRPr="00EA0B82">
          <w:rPr>
            <w:rStyle w:val="Hyperlink"/>
            <w:rFonts w:eastAsia="Times New Roman"/>
            <w:bCs/>
            <w:kern w:val="36"/>
            <w:lang w:eastAsia="en-GB"/>
          </w:rPr>
          <w:t>http://www.oecd.org/officialdocuments/publicdisplaydocumentpdf/?cote=DELSA/HEA/WD/HWP(2010)5&amp;doclanguage=en</w:t>
        </w:r>
      </w:hyperlink>
    </w:p>
    <w:p w:rsidR="001477CA" w:rsidRDefault="001477CA" w:rsidP="00570F56">
      <w:pPr>
        <w:spacing w:line="480" w:lineRule="auto"/>
        <w:jc w:val="both"/>
        <w:outlineLvl w:val="0"/>
        <w:rPr>
          <w:rFonts w:eastAsia="Times New Roman"/>
          <w:bCs/>
          <w:color w:val="000000"/>
          <w:kern w:val="36"/>
          <w:lang w:eastAsia="en-GB"/>
        </w:rPr>
      </w:pPr>
    </w:p>
    <w:p w:rsidR="001A62CE" w:rsidRDefault="001A62CE" w:rsidP="00D467A9"/>
    <w:p w:rsidR="00026CB3" w:rsidRPr="00D467A9" w:rsidRDefault="00026CB3" w:rsidP="00D467A9">
      <w:pPr>
        <w:rPr>
          <w:sz w:val="22"/>
          <w:szCs w:val="22"/>
          <w:lang w:val="en-GB"/>
        </w:rPr>
      </w:pPr>
    </w:p>
    <w:p w:rsidR="00D467A9" w:rsidRDefault="00026CB3" w:rsidP="00570F56">
      <w:pPr>
        <w:spacing w:line="480" w:lineRule="auto"/>
        <w:jc w:val="both"/>
        <w:outlineLvl w:val="0"/>
        <w:rPr>
          <w:rFonts w:eastAsia="Times New Roman"/>
          <w:bCs/>
          <w:color w:val="000000"/>
          <w:kern w:val="36"/>
          <w:lang w:eastAsia="en-GB"/>
        </w:rPr>
      </w:pPr>
      <w:r>
        <w:rPr>
          <w:rFonts w:eastAsia="Times New Roman"/>
          <w:bCs/>
          <w:color w:val="000000"/>
          <w:kern w:val="36"/>
          <w:lang w:eastAsia="en-GB"/>
        </w:rPr>
        <w:t>OECD</w:t>
      </w:r>
      <w:r w:rsidR="002A4A3E">
        <w:rPr>
          <w:rFonts w:eastAsia="Times New Roman"/>
          <w:bCs/>
          <w:color w:val="000000"/>
          <w:kern w:val="36"/>
          <w:lang w:eastAsia="en-GB"/>
        </w:rPr>
        <w:t xml:space="preserve"> (2016),</w:t>
      </w:r>
      <w:r>
        <w:rPr>
          <w:rFonts w:eastAsia="Times New Roman"/>
          <w:bCs/>
          <w:color w:val="000000"/>
          <w:kern w:val="36"/>
          <w:lang w:eastAsia="en-GB"/>
        </w:rPr>
        <w:t xml:space="preserve"> Health Workforce Pol</w:t>
      </w:r>
      <w:r w:rsidR="006B678D">
        <w:rPr>
          <w:rFonts w:eastAsia="Times New Roman"/>
          <w:bCs/>
          <w:color w:val="000000"/>
          <w:kern w:val="36"/>
          <w:lang w:eastAsia="en-GB"/>
        </w:rPr>
        <w:t>icies: Right Jobs, Right Skills, Right Place Paris: OECD</w:t>
      </w:r>
      <w:r>
        <w:rPr>
          <w:rFonts w:eastAsia="Times New Roman"/>
          <w:bCs/>
          <w:color w:val="000000"/>
          <w:kern w:val="36"/>
          <w:lang w:eastAsia="en-GB"/>
        </w:rPr>
        <w:t xml:space="preserve">: </w:t>
      </w:r>
      <w:hyperlink r:id="rId22" w:history="1">
        <w:r w:rsidR="001A62CE" w:rsidRPr="005B070A">
          <w:rPr>
            <w:rStyle w:val="Hyperlink"/>
            <w:rFonts w:eastAsia="Times New Roman"/>
            <w:bCs/>
            <w:kern w:val="36"/>
            <w:lang w:eastAsia="en-GB"/>
          </w:rPr>
          <w:t>http://www.oecd.org/publications/health-workforce-policies-in-oecd-countries-9789264239517-en.htm</w:t>
        </w:r>
      </w:hyperlink>
    </w:p>
    <w:p w:rsidR="00606AA6" w:rsidRPr="00A214E7" w:rsidRDefault="00606AA6" w:rsidP="00606AA6">
      <w:pPr>
        <w:shd w:val="clear" w:color="auto" w:fill="FFFFFF"/>
        <w:spacing w:line="480" w:lineRule="auto"/>
        <w:textAlignment w:val="baseline"/>
      </w:pPr>
    </w:p>
    <w:p w:rsidR="00606AA6" w:rsidRDefault="00606AA6" w:rsidP="00606AA6">
      <w:pPr>
        <w:shd w:val="clear" w:color="auto" w:fill="FFFFFF"/>
        <w:spacing w:line="480" w:lineRule="auto"/>
        <w:jc w:val="both"/>
        <w:outlineLvl w:val="0"/>
        <w:rPr>
          <w:rFonts w:eastAsia="Times New Roman"/>
          <w:bCs/>
          <w:kern w:val="36"/>
          <w:lang w:eastAsia="en-GB"/>
        </w:rPr>
      </w:pPr>
      <w:r>
        <w:rPr>
          <w:rFonts w:eastAsia="Times New Roman"/>
          <w:bCs/>
          <w:kern w:val="36"/>
          <w:lang w:eastAsia="en-GB"/>
        </w:rPr>
        <w:t>OECD</w:t>
      </w:r>
      <w:r w:rsidR="000A55BE">
        <w:rPr>
          <w:rFonts w:eastAsia="Times New Roman"/>
          <w:bCs/>
          <w:kern w:val="36"/>
          <w:lang w:eastAsia="en-GB"/>
        </w:rPr>
        <w:t xml:space="preserve"> (2016),</w:t>
      </w:r>
      <w:r>
        <w:rPr>
          <w:rFonts w:eastAsia="Times New Roman"/>
          <w:bCs/>
          <w:kern w:val="36"/>
          <w:lang w:eastAsia="en-GB"/>
        </w:rPr>
        <w:t xml:space="preserve"> ‘Health at a Glance: Europe 2016’ </w:t>
      </w:r>
      <w:r w:rsidR="00391E55">
        <w:rPr>
          <w:rFonts w:eastAsia="Times New Roman"/>
          <w:bCs/>
          <w:kern w:val="36"/>
          <w:lang w:eastAsia="en-GB"/>
        </w:rPr>
        <w:t>Paris: OECD</w:t>
      </w:r>
      <w:r>
        <w:rPr>
          <w:rFonts w:eastAsia="Times New Roman"/>
          <w:bCs/>
          <w:kern w:val="36"/>
          <w:lang w:eastAsia="en-GB"/>
        </w:rPr>
        <w:t xml:space="preserve"> </w:t>
      </w:r>
      <w:hyperlink r:id="rId23" w:history="1">
        <w:r w:rsidRPr="008808F6">
          <w:rPr>
            <w:rStyle w:val="Hyperlink"/>
            <w:rFonts w:eastAsia="Times New Roman"/>
            <w:bCs/>
            <w:kern w:val="36"/>
            <w:lang w:eastAsia="en-GB"/>
          </w:rPr>
          <w:t>http://www.oecd.org/health/health-at-a-glance-europe-23056088.htm</w:t>
        </w:r>
      </w:hyperlink>
    </w:p>
    <w:p w:rsidR="00606AA6" w:rsidRPr="00A214E7" w:rsidRDefault="00606AA6" w:rsidP="00570F56">
      <w:pPr>
        <w:spacing w:line="480" w:lineRule="auto"/>
        <w:jc w:val="both"/>
        <w:outlineLvl w:val="0"/>
        <w:rPr>
          <w:rFonts w:eastAsia="Times New Roman"/>
          <w:bCs/>
          <w:color w:val="000000"/>
          <w:kern w:val="36"/>
          <w:lang w:eastAsia="en-GB"/>
        </w:rPr>
      </w:pPr>
    </w:p>
    <w:p w:rsidR="00D76241" w:rsidRDefault="00D76241" w:rsidP="00D76241">
      <w:pPr>
        <w:shd w:val="clear" w:color="auto" w:fill="FFFFFF"/>
        <w:spacing w:line="480" w:lineRule="auto"/>
        <w:textAlignment w:val="baseline"/>
      </w:pPr>
      <w:r w:rsidRPr="00A214E7">
        <w:t xml:space="preserve">Office for National Statistics (ONS). Dataset VACS02: Vacancies by industry. London: ONS; 2016. Available from: </w:t>
      </w:r>
      <w:hyperlink r:id="rId24" w:history="1">
        <w:r w:rsidRPr="008808F6">
          <w:rPr>
            <w:rStyle w:val="Hyperlink"/>
          </w:rPr>
          <w:t>www.ons.gov.uk/employmentandlabourmarket/peoplenotinwork/unemployment/datasets/ vacanciesbyindustryvacs02]</w:t>
        </w:r>
      </w:hyperlink>
    </w:p>
    <w:p w:rsidR="00D467A9" w:rsidRDefault="00D467A9" w:rsidP="00570F56">
      <w:pPr>
        <w:shd w:val="clear" w:color="auto" w:fill="FFFFFF"/>
        <w:spacing w:line="480" w:lineRule="auto"/>
        <w:jc w:val="both"/>
        <w:outlineLvl w:val="0"/>
        <w:rPr>
          <w:rFonts w:eastAsia="Times New Roman"/>
          <w:bCs/>
          <w:kern w:val="36"/>
          <w:lang w:eastAsia="en-GB"/>
        </w:rPr>
      </w:pPr>
    </w:p>
    <w:p w:rsidR="00C40EDE" w:rsidRDefault="00C40EDE" w:rsidP="00570F56">
      <w:pPr>
        <w:shd w:val="clear" w:color="auto" w:fill="FFFFFF"/>
        <w:spacing w:line="480" w:lineRule="auto"/>
        <w:jc w:val="both"/>
        <w:outlineLvl w:val="0"/>
        <w:rPr>
          <w:rFonts w:eastAsia="Times New Roman"/>
          <w:bCs/>
          <w:kern w:val="36"/>
          <w:lang w:eastAsia="en-GB"/>
        </w:rPr>
      </w:pPr>
      <w:r>
        <w:rPr>
          <w:rFonts w:eastAsia="Times New Roman"/>
          <w:bCs/>
          <w:kern w:val="36"/>
          <w:lang w:eastAsia="en-GB"/>
        </w:rPr>
        <w:t xml:space="preserve">Palmer, S. (2013), ‘Windsor’s Metropolitan Demonstration School and the reform of nursing education in Canada, 1944-1970’ in P. Antonio, J. A. Fairman and J.C. Whelan, </w:t>
      </w:r>
      <w:r>
        <w:rPr>
          <w:rFonts w:eastAsia="Times New Roman"/>
          <w:bCs/>
          <w:i/>
          <w:kern w:val="36"/>
          <w:lang w:eastAsia="en-GB"/>
        </w:rPr>
        <w:t>Routledge Handbook on the Global History of Nursing</w:t>
      </w:r>
      <w:r>
        <w:rPr>
          <w:rFonts w:eastAsia="Times New Roman"/>
          <w:bCs/>
          <w:kern w:val="36"/>
          <w:lang w:eastAsia="en-GB"/>
        </w:rPr>
        <w:t xml:space="preserve">, London: Routledge </w:t>
      </w:r>
    </w:p>
    <w:p w:rsidR="00C40EDE" w:rsidRPr="00C40EDE" w:rsidRDefault="00C40EDE" w:rsidP="00570F56">
      <w:pPr>
        <w:shd w:val="clear" w:color="auto" w:fill="FFFFFF"/>
        <w:spacing w:line="480" w:lineRule="auto"/>
        <w:jc w:val="both"/>
        <w:outlineLvl w:val="0"/>
        <w:rPr>
          <w:rFonts w:eastAsia="Times New Roman"/>
          <w:bCs/>
          <w:kern w:val="36"/>
          <w:lang w:eastAsia="en-GB"/>
        </w:rPr>
      </w:pPr>
    </w:p>
    <w:p w:rsidR="00DA5CBE" w:rsidRPr="00A214E7" w:rsidRDefault="00DA5CBE" w:rsidP="00570F56">
      <w:pPr>
        <w:shd w:val="clear" w:color="auto" w:fill="FFFFFF"/>
        <w:spacing w:line="480" w:lineRule="auto"/>
        <w:jc w:val="both"/>
        <w:outlineLvl w:val="0"/>
      </w:pPr>
      <w:r w:rsidRPr="00A214E7">
        <w:t xml:space="preserve">Rafferty A.M. (1996) </w:t>
      </w:r>
      <w:r w:rsidRPr="00A214E7">
        <w:rPr>
          <w:i/>
        </w:rPr>
        <w:t>The politics of nursing knowledge</w:t>
      </w:r>
      <w:r w:rsidRPr="00A214E7">
        <w:t xml:space="preserve"> London: Routledge.</w:t>
      </w:r>
    </w:p>
    <w:p w:rsidR="00372CAC" w:rsidRDefault="00372CAC" w:rsidP="00570F56">
      <w:pPr>
        <w:shd w:val="clear" w:color="auto" w:fill="FFFFFF"/>
        <w:spacing w:line="480" w:lineRule="auto"/>
        <w:ind w:right="300"/>
        <w:jc w:val="both"/>
        <w:textAlignment w:val="baseline"/>
        <w:rPr>
          <w:rFonts w:eastAsia="Times New Roman"/>
          <w:bCs/>
          <w:kern w:val="36"/>
          <w:lang w:eastAsia="en-GB"/>
        </w:rPr>
      </w:pPr>
    </w:p>
    <w:p w:rsidR="00A36D22" w:rsidRDefault="00DA5CBE" w:rsidP="00570F56">
      <w:pPr>
        <w:shd w:val="clear" w:color="auto" w:fill="FFFFFF"/>
        <w:spacing w:line="480" w:lineRule="auto"/>
        <w:ind w:right="300"/>
        <w:jc w:val="both"/>
        <w:textAlignment w:val="baseline"/>
        <w:rPr>
          <w:rFonts w:eastAsia="Times New Roman"/>
          <w:lang w:eastAsia="en-GB"/>
        </w:rPr>
      </w:pPr>
      <w:r w:rsidRPr="00A214E7">
        <w:rPr>
          <w:rFonts w:eastAsia="Times New Roman"/>
          <w:lang w:eastAsia="en-GB"/>
        </w:rPr>
        <w:t xml:space="preserve">Rafferty A.M., Weindling, P. (1995), </w:t>
      </w:r>
      <w:r w:rsidR="00B57995">
        <w:rPr>
          <w:rFonts w:eastAsia="Times New Roman"/>
          <w:lang w:eastAsia="en-GB"/>
        </w:rPr>
        <w:t>‘</w:t>
      </w:r>
      <w:r w:rsidRPr="00A214E7">
        <w:rPr>
          <w:rFonts w:eastAsia="Times New Roman"/>
          <w:lang w:eastAsia="en-GB"/>
        </w:rPr>
        <w:t>Internationalising nursing education during the interwar period</w:t>
      </w:r>
      <w:r w:rsidR="00B57995">
        <w:rPr>
          <w:rFonts w:eastAsia="Times New Roman"/>
          <w:lang w:eastAsia="en-GB"/>
        </w:rPr>
        <w:t xml:space="preserve">’, in P. Weindling (Ed), </w:t>
      </w:r>
      <w:r w:rsidR="00B57995">
        <w:rPr>
          <w:rFonts w:eastAsia="Times New Roman"/>
          <w:i/>
          <w:lang w:eastAsia="en-GB"/>
        </w:rPr>
        <w:t>International Health Organisations and Movements 1918 - 39</w:t>
      </w:r>
      <w:r w:rsidRPr="00A214E7">
        <w:rPr>
          <w:rFonts w:eastAsia="Times New Roman"/>
          <w:lang w:eastAsia="en-GB"/>
        </w:rPr>
        <w:t xml:space="preserve">. </w:t>
      </w:r>
      <w:r w:rsidR="00B57995">
        <w:rPr>
          <w:rFonts w:eastAsia="Times New Roman"/>
          <w:lang w:eastAsia="en-GB"/>
        </w:rPr>
        <w:t xml:space="preserve">Cambridge: </w:t>
      </w:r>
      <w:r w:rsidRPr="00A214E7">
        <w:rPr>
          <w:rFonts w:eastAsia="Times New Roman"/>
          <w:lang w:eastAsia="en-GB"/>
        </w:rPr>
        <w:t>Cambridge University Press.</w:t>
      </w:r>
    </w:p>
    <w:p w:rsidR="00D467A9" w:rsidRPr="00A214E7" w:rsidRDefault="00D467A9" w:rsidP="00570F56">
      <w:pPr>
        <w:shd w:val="clear" w:color="auto" w:fill="FFFFFF"/>
        <w:spacing w:line="480" w:lineRule="auto"/>
        <w:ind w:right="300"/>
        <w:jc w:val="both"/>
        <w:textAlignment w:val="baseline"/>
        <w:rPr>
          <w:rFonts w:eastAsia="Times New Roman"/>
          <w:lang w:eastAsia="en-GB"/>
        </w:rPr>
      </w:pPr>
    </w:p>
    <w:p w:rsidR="00F522CD" w:rsidRPr="00A214E7" w:rsidRDefault="00F522CD" w:rsidP="00570F56">
      <w:pPr>
        <w:shd w:val="clear" w:color="auto" w:fill="FFFFFF"/>
        <w:spacing w:line="480" w:lineRule="auto"/>
        <w:jc w:val="both"/>
        <w:rPr>
          <w:rFonts w:eastAsia="Times New Roman"/>
          <w:color w:val="000000"/>
          <w:lang w:eastAsia="en-GB"/>
        </w:rPr>
      </w:pPr>
      <w:r w:rsidRPr="00A214E7">
        <w:rPr>
          <w:rFonts w:eastAsia="Times New Roman"/>
          <w:color w:val="000000"/>
          <w:lang w:eastAsia="en-GB"/>
        </w:rPr>
        <w:t xml:space="preserve">Rafferty, A.M. (2016), ‘Whose responsibility is the workforce anyway?’, </w:t>
      </w:r>
      <w:r w:rsidRPr="00A214E7">
        <w:rPr>
          <w:rFonts w:eastAsia="Times New Roman"/>
          <w:i/>
          <w:color w:val="000000"/>
          <w:lang w:eastAsia="en-GB"/>
        </w:rPr>
        <w:t>The BMJ Opinion</w:t>
      </w:r>
      <w:r w:rsidRPr="00A214E7">
        <w:rPr>
          <w:rFonts w:eastAsia="Times New Roman"/>
          <w:color w:val="000000"/>
          <w:lang w:eastAsia="en-GB"/>
        </w:rPr>
        <w:t xml:space="preserve">,  </w:t>
      </w:r>
    </w:p>
    <w:p w:rsidR="00F522CD" w:rsidRPr="00A214E7" w:rsidRDefault="004B4C03" w:rsidP="00570F56">
      <w:pPr>
        <w:shd w:val="clear" w:color="auto" w:fill="FFFFFF"/>
        <w:spacing w:after="45" w:line="480" w:lineRule="auto"/>
        <w:jc w:val="both"/>
        <w:outlineLvl w:val="1"/>
        <w:rPr>
          <w:rStyle w:val="Hyperlink"/>
          <w:rFonts w:eastAsia="Times New Roman"/>
          <w:lang w:eastAsia="en-GB"/>
        </w:rPr>
      </w:pPr>
      <w:hyperlink r:id="rId25" w:history="1">
        <w:r w:rsidR="00F522CD" w:rsidRPr="00A214E7">
          <w:rPr>
            <w:rStyle w:val="Hyperlink"/>
            <w:rFonts w:eastAsia="Times New Roman"/>
            <w:lang w:eastAsia="en-GB"/>
          </w:rPr>
          <w:t>http://blogs.bmj.com/bmj/2016/05/24/anne-marie-rafferty-whose-responsibility-is-the-workforce-anyway</w:t>
        </w:r>
      </w:hyperlink>
    </w:p>
    <w:p w:rsidR="00A214E7" w:rsidRPr="00A214E7" w:rsidRDefault="00A214E7" w:rsidP="00570F56">
      <w:pPr>
        <w:shd w:val="clear" w:color="auto" w:fill="FFFFFF"/>
        <w:spacing w:after="45" w:line="480" w:lineRule="auto"/>
        <w:jc w:val="both"/>
        <w:outlineLvl w:val="1"/>
        <w:rPr>
          <w:rFonts w:eastAsia="Times New Roman"/>
          <w:bCs/>
          <w:lang w:eastAsia="en-GB"/>
        </w:rPr>
      </w:pPr>
    </w:p>
    <w:p w:rsidR="0099099A" w:rsidRPr="00A214E7" w:rsidRDefault="0099099A" w:rsidP="00570F56">
      <w:pPr>
        <w:shd w:val="clear" w:color="auto" w:fill="FFFFFF"/>
        <w:spacing w:after="45" w:line="480" w:lineRule="auto"/>
        <w:jc w:val="both"/>
        <w:outlineLvl w:val="1"/>
      </w:pPr>
      <w:r w:rsidRPr="00A214E7">
        <w:t xml:space="preserve">Rafferty, A.M. (1992), ‘Nursing policy and the nationalization of nursing: the representation of “crisis” and the “crisis” of representation’, in </w:t>
      </w:r>
      <w:r w:rsidR="00F106C0" w:rsidRPr="00A214E7">
        <w:t>J. Robinson, A. Gray and R.</w:t>
      </w:r>
      <w:r w:rsidRPr="00A214E7">
        <w:t xml:space="preserve"> </w:t>
      </w:r>
      <w:r w:rsidR="00F106C0" w:rsidRPr="00A214E7">
        <w:t>Elkan</w:t>
      </w:r>
      <w:r w:rsidR="00CE1539" w:rsidRPr="00A214E7">
        <w:t xml:space="preserve"> (Eds),</w:t>
      </w:r>
      <w:r w:rsidRPr="00A214E7">
        <w:t xml:space="preserve"> </w:t>
      </w:r>
      <w:r w:rsidRPr="00A214E7">
        <w:rPr>
          <w:i/>
        </w:rPr>
        <w:t xml:space="preserve">Policy Issues in Nursing, </w:t>
      </w:r>
      <w:r w:rsidRPr="00A214E7">
        <w:t xml:space="preserve">Buckingham: Open University Press. </w:t>
      </w:r>
    </w:p>
    <w:p w:rsidR="00F522CD" w:rsidRPr="00A214E7" w:rsidRDefault="00F522CD" w:rsidP="00570F56">
      <w:pPr>
        <w:shd w:val="clear" w:color="auto" w:fill="FFFFFF"/>
        <w:spacing w:line="480" w:lineRule="auto"/>
        <w:ind w:right="300"/>
        <w:jc w:val="both"/>
        <w:textAlignment w:val="baseline"/>
        <w:rPr>
          <w:rFonts w:eastAsia="Times New Roman"/>
          <w:lang w:eastAsia="en-GB"/>
        </w:rPr>
      </w:pPr>
    </w:p>
    <w:p w:rsidR="00024AC4" w:rsidRPr="00A214E7" w:rsidRDefault="007B5B0A" w:rsidP="00570F56">
      <w:pPr>
        <w:shd w:val="clear" w:color="auto" w:fill="FFFFFF"/>
        <w:spacing w:line="480" w:lineRule="auto"/>
        <w:jc w:val="both"/>
        <w:rPr>
          <w:rFonts w:eastAsia="Times New Roman"/>
          <w:bCs/>
          <w:lang w:eastAsia="en-GB"/>
        </w:rPr>
      </w:pPr>
      <w:r w:rsidRPr="00A214E7">
        <w:rPr>
          <w:rFonts w:eastAsia="Times New Roman"/>
          <w:lang w:eastAsia="en-GB"/>
        </w:rPr>
        <w:t>Reverby, S. (1981), ‘</w:t>
      </w:r>
      <w:r w:rsidR="00DE310A" w:rsidRPr="00A214E7">
        <w:rPr>
          <w:rFonts w:eastAsia="Times New Roman"/>
          <w:lang w:eastAsia="en-GB"/>
        </w:rPr>
        <w:t>Stealing the Golden Eggs: Ernest Amory Codman and the science and management of medicine</w:t>
      </w:r>
      <w:r w:rsidRPr="00A214E7">
        <w:rPr>
          <w:rFonts w:eastAsia="Times New Roman"/>
          <w:lang w:eastAsia="en-GB"/>
        </w:rPr>
        <w:t>’</w:t>
      </w:r>
      <w:r w:rsidR="00024AC4" w:rsidRPr="00A214E7">
        <w:rPr>
          <w:rFonts w:eastAsia="Times New Roman"/>
          <w:lang w:eastAsia="en-GB"/>
        </w:rPr>
        <w:t>,</w:t>
      </w:r>
      <w:r w:rsidR="00F05097" w:rsidRPr="00A214E7">
        <w:rPr>
          <w:rFonts w:eastAsia="Times New Roman"/>
          <w:lang w:eastAsia="en-GB"/>
        </w:rPr>
        <w:t> </w:t>
      </w:r>
      <w:r w:rsidR="00F05097" w:rsidRPr="00A214E7">
        <w:rPr>
          <w:rFonts w:eastAsia="Times New Roman"/>
          <w:bCs/>
          <w:i/>
          <w:lang w:eastAsia="en-GB"/>
        </w:rPr>
        <w:t>Bulletin of the History of Medicine</w:t>
      </w:r>
      <w:r w:rsidR="00F05097" w:rsidRPr="00A214E7">
        <w:rPr>
          <w:rFonts w:eastAsia="Times New Roman"/>
          <w:bCs/>
          <w:lang w:eastAsia="en-GB"/>
        </w:rPr>
        <w:t xml:space="preserve">; </w:t>
      </w:r>
      <w:r w:rsidR="009335DC" w:rsidRPr="00A214E7">
        <w:rPr>
          <w:rFonts w:eastAsia="Times New Roman"/>
          <w:bCs/>
          <w:lang w:eastAsia="en-GB"/>
        </w:rPr>
        <w:t>55 (2): 156-71.</w:t>
      </w:r>
    </w:p>
    <w:p w:rsidR="00F85B4E" w:rsidRPr="00A214E7" w:rsidRDefault="00F85B4E" w:rsidP="00570F56">
      <w:pPr>
        <w:shd w:val="clear" w:color="auto" w:fill="FFFFFF"/>
        <w:spacing w:line="480" w:lineRule="auto"/>
        <w:jc w:val="both"/>
        <w:rPr>
          <w:rFonts w:eastAsia="Times New Roman"/>
          <w:bCs/>
          <w:lang w:eastAsia="en-GB"/>
        </w:rPr>
      </w:pPr>
    </w:p>
    <w:p w:rsidR="00F85B4E" w:rsidRPr="00A214E7" w:rsidRDefault="00F85B4E" w:rsidP="00F85B4E">
      <w:pPr>
        <w:shd w:val="clear" w:color="auto" w:fill="FFFFFF"/>
        <w:spacing w:line="480" w:lineRule="auto"/>
        <w:jc w:val="both"/>
        <w:textAlignment w:val="baseline"/>
        <w:rPr>
          <w:rFonts w:eastAsia="Times New Roman"/>
          <w:bdr w:val="none" w:sz="0" w:space="0" w:color="auto" w:frame="1"/>
          <w:shd w:val="clear" w:color="auto" w:fill="FFFFFF"/>
          <w:lang w:eastAsia="en-GB"/>
        </w:rPr>
      </w:pPr>
      <w:r w:rsidRPr="00A214E7">
        <w:t xml:space="preserve">Royal College of Nursing (2016), ‘Unheeded warnings: health care in crisis The UK nursing labour market review. </w:t>
      </w:r>
      <w:hyperlink r:id="rId26" w:history="1">
        <w:r w:rsidRPr="00FE1559">
          <w:rPr>
            <w:rStyle w:val="Hyperlink"/>
          </w:rPr>
          <w:t>https://www.rcn.org.uk/professional-development/publications/pub-005779</w:t>
        </w:r>
      </w:hyperlink>
      <w:r w:rsidRPr="00A214E7">
        <w:t xml:space="preserve"> </w:t>
      </w:r>
    </w:p>
    <w:p w:rsidR="00F85B4E" w:rsidRPr="00A214E7" w:rsidRDefault="00F85B4E" w:rsidP="00F85B4E">
      <w:pPr>
        <w:shd w:val="clear" w:color="auto" w:fill="FFFFFF"/>
        <w:spacing w:line="480" w:lineRule="auto"/>
        <w:jc w:val="both"/>
        <w:textAlignment w:val="baseline"/>
        <w:rPr>
          <w:rFonts w:eastAsia="Times New Roman"/>
          <w:bdr w:val="none" w:sz="0" w:space="0" w:color="auto" w:frame="1"/>
          <w:shd w:val="clear" w:color="auto" w:fill="FFFFFF"/>
          <w:lang w:eastAsia="en-GB"/>
        </w:rPr>
      </w:pPr>
    </w:p>
    <w:p w:rsidR="00F85B4E" w:rsidRPr="00A214E7" w:rsidRDefault="00F85B4E" w:rsidP="00F85B4E">
      <w:pPr>
        <w:shd w:val="clear" w:color="auto" w:fill="FFFFFF"/>
        <w:spacing w:line="480" w:lineRule="auto"/>
        <w:jc w:val="both"/>
        <w:outlineLvl w:val="0"/>
        <w:rPr>
          <w:rFonts w:eastAsia="Times New Roman"/>
          <w:bCs/>
          <w:kern w:val="36"/>
          <w:lang w:eastAsia="en-GB"/>
        </w:rPr>
      </w:pPr>
      <w:r w:rsidRPr="00A214E7">
        <w:rPr>
          <w:rFonts w:eastAsia="Times New Roman"/>
          <w:bCs/>
          <w:kern w:val="36"/>
          <w:lang w:eastAsia="en-GB"/>
        </w:rPr>
        <w:t xml:space="preserve">Royal College of Physicians (2016), ‘Underfunded, underdoctored, overstretched: the NHS in 2016’, </w:t>
      </w:r>
      <w:hyperlink r:id="rId27" w:history="1">
        <w:r w:rsidRPr="00A214E7">
          <w:rPr>
            <w:rStyle w:val="Hyperlink"/>
            <w:rFonts w:eastAsia="Times New Roman"/>
            <w:color w:val="auto"/>
            <w:kern w:val="36"/>
            <w:lang w:eastAsia="en-GB"/>
          </w:rPr>
          <w:t>https://www.rcplondon.ac.uk/guidelines-policy/underfunded-underdoctored-overstretched-nhs-2016</w:t>
        </w:r>
      </w:hyperlink>
      <w:r w:rsidRPr="00A214E7">
        <w:rPr>
          <w:rFonts w:eastAsia="Times New Roman"/>
          <w:bCs/>
          <w:kern w:val="36"/>
          <w:lang w:eastAsia="en-GB"/>
        </w:rPr>
        <w:t xml:space="preserve">. </w:t>
      </w:r>
    </w:p>
    <w:p w:rsidR="0028025F" w:rsidRPr="00A214E7" w:rsidRDefault="0028025F" w:rsidP="00570F56">
      <w:pPr>
        <w:shd w:val="clear" w:color="auto" w:fill="FFFFFF"/>
        <w:spacing w:line="480" w:lineRule="auto"/>
        <w:jc w:val="both"/>
        <w:rPr>
          <w:rFonts w:eastAsia="Times New Roman"/>
          <w:bCs/>
          <w:lang w:eastAsia="en-GB"/>
        </w:rPr>
      </w:pPr>
    </w:p>
    <w:p w:rsidR="00DA5CBE" w:rsidRPr="00A214E7" w:rsidRDefault="00DA5CBE" w:rsidP="00570F56">
      <w:pPr>
        <w:pStyle w:val="Heading1"/>
        <w:spacing w:before="0" w:line="480" w:lineRule="auto"/>
        <w:jc w:val="both"/>
        <w:textAlignment w:val="baseline"/>
        <w:rPr>
          <w:rFonts w:ascii="Times New Roman" w:eastAsia="Times New Roman" w:hAnsi="Times New Roman" w:cs="Times New Roman"/>
          <w:bCs/>
          <w:color w:val="000000"/>
          <w:kern w:val="36"/>
          <w:sz w:val="24"/>
          <w:szCs w:val="24"/>
          <w:lang w:eastAsia="en-GB"/>
        </w:rPr>
      </w:pPr>
      <w:r w:rsidRPr="00A214E7">
        <w:rPr>
          <w:rFonts w:ascii="Times New Roman" w:eastAsia="Times New Roman" w:hAnsi="Times New Roman" w:cs="Times New Roman"/>
          <w:bCs/>
          <w:color w:val="000000"/>
          <w:kern w:val="36"/>
          <w:sz w:val="24"/>
          <w:szCs w:val="24"/>
          <w:lang w:eastAsia="en-GB"/>
        </w:rPr>
        <w:t xml:space="preserve">Shekelle, P.G. (2013) ‘Nurse–Patient Ratios as a Patient Safety Strategy: A systematic review’, </w:t>
      </w:r>
      <w:r w:rsidRPr="00A214E7">
        <w:rPr>
          <w:rFonts w:ascii="Times New Roman" w:eastAsia="Times New Roman" w:hAnsi="Times New Roman" w:cs="Times New Roman"/>
          <w:bCs/>
          <w:i/>
          <w:color w:val="000000"/>
          <w:kern w:val="36"/>
          <w:sz w:val="24"/>
          <w:szCs w:val="24"/>
          <w:lang w:eastAsia="en-GB"/>
        </w:rPr>
        <w:t>Annals of Internal Medicine</w:t>
      </w:r>
      <w:r w:rsidRPr="00A214E7">
        <w:rPr>
          <w:rFonts w:ascii="Times New Roman" w:eastAsia="Times New Roman" w:hAnsi="Times New Roman" w:cs="Times New Roman"/>
          <w:bCs/>
          <w:color w:val="000000"/>
          <w:kern w:val="36"/>
          <w:sz w:val="24"/>
          <w:szCs w:val="24"/>
          <w:lang w:eastAsia="en-GB"/>
        </w:rPr>
        <w:t>, 158(5): 404-409</w:t>
      </w:r>
    </w:p>
    <w:p w:rsidR="00A40551" w:rsidRPr="00A214E7" w:rsidRDefault="00A40551" w:rsidP="00A40551">
      <w:pPr>
        <w:spacing w:before="100" w:beforeAutospacing="1" w:after="100" w:afterAutospacing="1" w:line="480" w:lineRule="auto"/>
      </w:pPr>
      <w:r w:rsidRPr="00AD693E">
        <w:t>Shepherd, E. Rafferty, A.M. James, V. (1999)</w:t>
      </w:r>
      <w:r w:rsidRPr="00A214E7">
        <w:t>, ‘</w:t>
      </w:r>
      <w:r w:rsidRPr="00AD693E">
        <w:t>Nurse prescribing. Essent</w:t>
      </w:r>
      <w:r w:rsidRPr="00A214E7">
        <w:t xml:space="preserve">ial practice or political point’ in  M. Jones </w:t>
      </w:r>
      <w:r w:rsidRPr="00AD693E">
        <w:t xml:space="preserve">(Ed) </w:t>
      </w:r>
      <w:r w:rsidRPr="00AD693E">
        <w:rPr>
          <w:i/>
        </w:rPr>
        <w:t>Nurse Prescribing: Politics to practice</w:t>
      </w:r>
      <w:r w:rsidRPr="00AD693E">
        <w:t xml:space="preserve">. London: Balliere Tindall. </w:t>
      </w:r>
    </w:p>
    <w:p w:rsidR="00570F56" w:rsidRPr="00A214E7" w:rsidRDefault="007A7153" w:rsidP="00570F56">
      <w:pPr>
        <w:shd w:val="clear" w:color="auto" w:fill="FFFFFF"/>
        <w:spacing w:after="100" w:afterAutospacing="1" w:line="480" w:lineRule="auto"/>
        <w:jc w:val="both"/>
        <w:rPr>
          <w:rFonts w:eastAsia="Times New Roman"/>
          <w:lang w:eastAsia="en-GB"/>
        </w:rPr>
      </w:pPr>
      <w:r w:rsidRPr="00A214E7">
        <w:rPr>
          <w:rFonts w:eastAsia="Times New Roman"/>
          <w:lang w:eastAsia="en-GB"/>
        </w:rPr>
        <w:lastRenderedPageBreak/>
        <w:t xml:space="preserve">Silber, J.H., Rosenbaum, P.R., McHugh, M.D., Ludwig, J.M., Smith, H.L., Niknam, B.A., Even-Shoshan, O., Fleisher, L.A., Kelz, R.R., and Aiken, L.H. (2016), ‘Comparison of the value of nursing work environments in hospitals across different levels of patient risk’, </w:t>
      </w:r>
      <w:r w:rsidRPr="00A214E7">
        <w:rPr>
          <w:rFonts w:eastAsia="Times New Roman"/>
          <w:i/>
          <w:iCs/>
          <w:lang w:eastAsia="en-GB"/>
        </w:rPr>
        <w:t>JAMA Surgery</w:t>
      </w:r>
      <w:r w:rsidRPr="00A214E7">
        <w:rPr>
          <w:rFonts w:eastAsia="Times New Roman"/>
          <w:lang w:eastAsia="en-GB"/>
        </w:rPr>
        <w:t>, 151(6): 527-36.</w:t>
      </w:r>
    </w:p>
    <w:p w:rsidR="00A40551" w:rsidRPr="00A214E7" w:rsidRDefault="00570F56" w:rsidP="00570F56">
      <w:pPr>
        <w:spacing w:line="480" w:lineRule="auto"/>
      </w:pPr>
      <w:r w:rsidRPr="00A214E7">
        <w:t>Tourangeau, A.E, Doran, D.M.</w:t>
      </w:r>
      <w:r w:rsidRPr="00AA7025">
        <w:t>,</w:t>
      </w:r>
      <w:r w:rsidRPr="00A214E7">
        <w:t> McGillis Hall, L.</w:t>
      </w:r>
      <w:r w:rsidRPr="00AA7025">
        <w:t>,</w:t>
      </w:r>
      <w:r w:rsidRPr="00A214E7">
        <w:t> O'Brien Pallas. L.</w:t>
      </w:r>
      <w:r w:rsidRPr="00AA7025">
        <w:t>,</w:t>
      </w:r>
      <w:r w:rsidRPr="00A214E7">
        <w:t> Pringle. D.</w:t>
      </w:r>
      <w:r w:rsidRPr="00AA7025">
        <w:t>,</w:t>
      </w:r>
      <w:r w:rsidRPr="00A214E7">
        <w:t> Tu, J.V</w:t>
      </w:r>
      <w:r w:rsidRPr="00AA7025">
        <w:t>,</w:t>
      </w:r>
      <w:r w:rsidRPr="00A214E7">
        <w:t> Cranley LA</w:t>
      </w:r>
      <w:r w:rsidRPr="00AA7025">
        <w:t>.</w:t>
      </w:r>
      <w:r w:rsidRPr="00A214E7">
        <w:t xml:space="preserve"> (2007), ‘Impact of hospital nursing care on 30-day mortality for acute medical patients’, </w:t>
      </w:r>
      <w:r w:rsidRPr="00A214E7">
        <w:rPr>
          <w:i/>
        </w:rPr>
        <w:t>Journal of Advance Nursing</w:t>
      </w:r>
      <w:r w:rsidRPr="00A214E7">
        <w:t>, 57(1):32-44.</w:t>
      </w:r>
    </w:p>
    <w:p w:rsidR="00A40551" w:rsidRPr="00A214E7" w:rsidRDefault="00A40551" w:rsidP="00A40551">
      <w:pPr>
        <w:spacing w:before="100" w:beforeAutospacing="1" w:after="100" w:afterAutospacing="1" w:line="480" w:lineRule="auto"/>
      </w:pPr>
      <w:r w:rsidRPr="00A214E7">
        <w:t xml:space="preserve">Toynbee, P. (2017), ‘Labour’s failure on the NHS is prolonging this health crisis, </w:t>
      </w:r>
      <w:r w:rsidRPr="00A214E7">
        <w:rPr>
          <w:i/>
        </w:rPr>
        <w:t xml:space="preserve">The Guardian </w:t>
      </w:r>
      <w:r w:rsidRPr="00A214E7">
        <w:t>(28 February 2017)</w:t>
      </w:r>
    </w:p>
    <w:p w:rsidR="006B40CF" w:rsidRPr="00A214E7" w:rsidRDefault="00A40551" w:rsidP="00A40551">
      <w:pPr>
        <w:shd w:val="clear" w:color="auto" w:fill="FFFFFF"/>
        <w:spacing w:after="100" w:afterAutospacing="1" w:line="480" w:lineRule="auto"/>
        <w:jc w:val="both"/>
      </w:pPr>
      <w:r w:rsidRPr="00A214E7">
        <w:t xml:space="preserve">Traynor, M. and Rafferty, A.M. (1998), ‘Context, convergence and contingency’, </w:t>
      </w:r>
      <w:r w:rsidRPr="00A214E7">
        <w:rPr>
          <w:i/>
        </w:rPr>
        <w:t>Journal of Health Services and Policy Research</w:t>
      </w:r>
      <w:r w:rsidRPr="00A214E7">
        <w:t>, 3(4): 195-6.</w:t>
      </w:r>
    </w:p>
    <w:p w:rsidR="00570F56" w:rsidRPr="00A214E7" w:rsidRDefault="006B40CF" w:rsidP="00DB7FC6">
      <w:pPr>
        <w:pStyle w:val="Heading1"/>
        <w:spacing w:before="0" w:line="480" w:lineRule="auto"/>
        <w:rPr>
          <w:rFonts w:ascii="Times New Roman" w:eastAsiaTheme="minorHAnsi" w:hAnsi="Times New Roman" w:cs="Times New Roman"/>
          <w:color w:val="auto"/>
          <w:sz w:val="24"/>
          <w:szCs w:val="24"/>
        </w:rPr>
      </w:pPr>
      <w:r w:rsidRPr="00A214E7">
        <w:rPr>
          <w:rFonts w:ascii="Times New Roman" w:eastAsiaTheme="minorHAnsi" w:hAnsi="Times New Roman" w:cs="Times New Roman"/>
          <w:color w:val="auto"/>
          <w:sz w:val="24"/>
          <w:szCs w:val="24"/>
        </w:rPr>
        <w:t xml:space="preserve">Weir, R. (1996), </w:t>
      </w:r>
      <w:r w:rsidRPr="00A214E7">
        <w:rPr>
          <w:rFonts w:ascii="Times New Roman" w:eastAsiaTheme="minorHAnsi" w:hAnsi="Times New Roman" w:cs="Times New Roman"/>
          <w:i/>
          <w:color w:val="auto"/>
          <w:sz w:val="24"/>
          <w:szCs w:val="24"/>
        </w:rPr>
        <w:t xml:space="preserve">A Leap in the Dark: Origins and Development of the Department of Nursing Studies, the University of Edinburgh. </w:t>
      </w:r>
      <w:r w:rsidRPr="00A214E7">
        <w:rPr>
          <w:rFonts w:ascii="Times New Roman" w:eastAsiaTheme="minorHAnsi" w:hAnsi="Times New Roman" w:cs="Times New Roman"/>
          <w:color w:val="auto"/>
          <w:sz w:val="24"/>
          <w:szCs w:val="24"/>
        </w:rPr>
        <w:t>Penzanze: Patten Press</w:t>
      </w:r>
    </w:p>
    <w:p w:rsidR="00DB7FC6" w:rsidRPr="00A214E7" w:rsidRDefault="00DB7FC6" w:rsidP="00DB7FC6"/>
    <w:p w:rsidR="008178EC" w:rsidRPr="00A214E7" w:rsidRDefault="00DA5CBE" w:rsidP="00570F56">
      <w:pPr>
        <w:spacing w:line="480" w:lineRule="auto"/>
        <w:jc w:val="both"/>
        <w:outlineLvl w:val="0"/>
        <w:rPr>
          <w:rFonts w:eastAsia="Times New Roman"/>
          <w:bCs/>
          <w:color w:val="000000"/>
          <w:kern w:val="36"/>
          <w:lang w:eastAsia="en-GB"/>
        </w:rPr>
      </w:pPr>
      <w:r w:rsidRPr="00A214E7">
        <w:rPr>
          <w:rFonts w:eastAsia="Times New Roman"/>
          <w:bCs/>
          <w:color w:val="000000"/>
          <w:kern w:val="36"/>
          <w:lang w:eastAsia="en-GB"/>
        </w:rPr>
        <w:t xml:space="preserve">West, E., Barron, D., Harrison, D., Rafferty, A.M., Rowan, K., Sanderson, C. (2014), ‘Nurse staffing, medical staffing and mortality in Intensive Care: an observational study’, </w:t>
      </w:r>
      <w:r w:rsidRPr="00A214E7">
        <w:rPr>
          <w:rFonts w:eastAsia="Times New Roman"/>
          <w:bCs/>
          <w:i/>
          <w:color w:val="000000"/>
          <w:kern w:val="36"/>
          <w:lang w:eastAsia="en-GB"/>
        </w:rPr>
        <w:t xml:space="preserve">International Journal of Nursing Studies, </w:t>
      </w:r>
      <w:r w:rsidRPr="00A214E7">
        <w:rPr>
          <w:rFonts w:eastAsia="Times New Roman"/>
          <w:bCs/>
          <w:color w:val="000000"/>
          <w:kern w:val="36"/>
          <w:lang w:eastAsia="en-GB"/>
        </w:rPr>
        <w:t>51(5): 781-794.</w:t>
      </w:r>
    </w:p>
    <w:p w:rsidR="00DB7FC6" w:rsidRPr="00A214E7" w:rsidRDefault="00DB7FC6" w:rsidP="00570F56">
      <w:pPr>
        <w:spacing w:line="480" w:lineRule="auto"/>
        <w:jc w:val="both"/>
        <w:outlineLvl w:val="0"/>
        <w:rPr>
          <w:rFonts w:eastAsia="Times New Roman"/>
          <w:bCs/>
          <w:color w:val="000000"/>
          <w:kern w:val="36"/>
          <w:lang w:eastAsia="en-GB"/>
        </w:rPr>
      </w:pPr>
    </w:p>
    <w:p w:rsidR="00E739E8" w:rsidRPr="00A214E7" w:rsidRDefault="00E739E8" w:rsidP="00570F56">
      <w:pPr>
        <w:shd w:val="clear" w:color="auto" w:fill="FFFFFF"/>
        <w:spacing w:after="100" w:afterAutospacing="1" w:line="480" w:lineRule="auto"/>
        <w:jc w:val="both"/>
        <w:rPr>
          <w:rFonts w:eastAsia="Times New Roman"/>
          <w:kern w:val="36"/>
          <w:lang w:eastAsia="en-GB"/>
        </w:rPr>
      </w:pPr>
      <w:r w:rsidRPr="00A214E7">
        <w:t>West, E., Maben, J., Rafferty, A.M. (2006), ‘Nursing and patient outcomes: How can employers provide the right environment for nurses to deliver high quality care’</w:t>
      </w:r>
      <w:r w:rsidR="00733A4A" w:rsidRPr="00A214E7">
        <w:t xml:space="preserve">, </w:t>
      </w:r>
      <w:hyperlink r:id="rId28" w:history="1">
        <w:r w:rsidRPr="00A214E7">
          <w:rPr>
            <w:rStyle w:val="Hyperlink"/>
            <w:rFonts w:eastAsia="Times New Roman"/>
            <w:kern w:val="36"/>
            <w:lang w:eastAsia="en-GB"/>
          </w:rPr>
          <w:t>https://www.mysciencework.com/publication/show/39dd8232a6a1457aed3ecb31afb856e8</w:t>
        </w:r>
      </w:hyperlink>
    </w:p>
    <w:p w:rsidR="008E2400" w:rsidRDefault="007770B5" w:rsidP="00570F56">
      <w:pPr>
        <w:shd w:val="clear" w:color="auto" w:fill="FFFFFF"/>
        <w:spacing w:line="480" w:lineRule="auto"/>
        <w:jc w:val="both"/>
        <w:textAlignment w:val="baseline"/>
      </w:pPr>
      <w:r w:rsidRPr="007770B5">
        <w:t xml:space="preserve">WHO 2015 </w:t>
      </w:r>
      <w:hyperlink r:id="rId29" w:history="1">
        <w:r w:rsidR="006E2618" w:rsidRPr="00EA0B82">
          <w:rPr>
            <w:rStyle w:val="Hyperlink"/>
          </w:rPr>
          <w:t>http://www.euro.who.int/__data/assets/pdf_file/0004/287356/Nurses-midwives-Vital-Resource-Health-Compendium.pdf?ua=1</w:t>
        </w:r>
      </w:hyperlink>
    </w:p>
    <w:p w:rsidR="00EF1408" w:rsidRPr="00570F56" w:rsidRDefault="00EF1408" w:rsidP="003C5BF1">
      <w:pPr>
        <w:shd w:val="clear" w:color="auto" w:fill="FFFFFF"/>
        <w:spacing w:line="480" w:lineRule="auto"/>
        <w:jc w:val="both"/>
        <w:textAlignment w:val="baseline"/>
      </w:pPr>
    </w:p>
    <w:p w:rsidR="00FE1559" w:rsidRDefault="00CB497D" w:rsidP="00570F56">
      <w:pPr>
        <w:spacing w:line="480" w:lineRule="auto"/>
        <w:jc w:val="both"/>
      </w:pPr>
      <w:r>
        <w:t>Figure</w:t>
      </w:r>
      <w:r w:rsidR="008E2400">
        <w:t xml:space="preserve"> </w:t>
      </w:r>
      <w:r>
        <w:t>1</w:t>
      </w:r>
      <w:r w:rsidR="00F754D1">
        <w:t>.</w:t>
      </w:r>
      <w:r>
        <w:t>1</w:t>
      </w:r>
    </w:p>
    <w:p w:rsidR="00A13334" w:rsidRPr="00570F56" w:rsidRDefault="00FE1559" w:rsidP="00570F56">
      <w:pPr>
        <w:spacing w:line="480" w:lineRule="auto"/>
        <w:jc w:val="both"/>
      </w:pPr>
      <w:r>
        <w:rPr>
          <w:noProof/>
        </w:rPr>
        <w:drawing>
          <wp:inline distT="0" distB="0" distL="0" distR="0" wp14:anchorId="7A289195" wp14:editId="0166047B">
            <wp:extent cx="5626100" cy="2932351"/>
            <wp:effectExtent l="0" t="0" r="0" b="1905"/>
            <wp:docPr id="2" name="Picture 2" descr="cid:image001.png@01D2E5EF.A1F41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5EF.A1F41C80"/>
                    <pic:cNvPicPr>
                      <a:picLocks noChangeAspect="1" noChangeArrowheads="1"/>
                    </pic:cNvPicPr>
                  </pic:nvPicPr>
                  <pic:blipFill rotWithShape="1">
                    <a:blip r:embed="rId30" r:link="rId31">
                      <a:extLst>
                        <a:ext uri="{28A0092B-C50C-407E-A947-70E740481C1C}">
                          <a14:useLocalDpi xmlns:a14="http://schemas.microsoft.com/office/drawing/2010/main" val="0"/>
                        </a:ext>
                      </a:extLst>
                    </a:blip>
                    <a:srcRect l="1828" t="10729"/>
                    <a:stretch/>
                  </pic:blipFill>
                  <pic:spPr bwMode="auto">
                    <a:xfrm>
                      <a:off x="0" y="0"/>
                      <a:ext cx="5626100" cy="2932351"/>
                    </a:xfrm>
                    <a:prstGeom prst="rect">
                      <a:avLst/>
                    </a:prstGeom>
                    <a:noFill/>
                    <a:ln>
                      <a:noFill/>
                    </a:ln>
                    <a:extLst>
                      <a:ext uri="{53640926-AAD7-44D8-BBD7-CCE9431645EC}">
                        <a14:shadowObscured xmlns:a14="http://schemas.microsoft.com/office/drawing/2010/main"/>
                      </a:ext>
                    </a:extLst>
                  </pic:spPr>
                </pic:pic>
              </a:graphicData>
            </a:graphic>
          </wp:inline>
        </w:drawing>
      </w:r>
    </w:p>
    <w:sectPr w:rsidR="00A13334" w:rsidRPr="00570F56" w:rsidSect="00A3706E">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03" w:rsidRDefault="004B4C03" w:rsidP="00D80F85">
      <w:r>
        <w:separator/>
      </w:r>
    </w:p>
  </w:endnote>
  <w:endnote w:type="continuationSeparator" w:id="0">
    <w:p w:rsidR="004B4C03" w:rsidRDefault="004B4C03" w:rsidP="00D8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28253"/>
      <w:docPartObj>
        <w:docPartGallery w:val="Page Numbers (Bottom of Page)"/>
        <w:docPartUnique/>
      </w:docPartObj>
    </w:sdtPr>
    <w:sdtEndPr>
      <w:rPr>
        <w:noProof/>
      </w:rPr>
    </w:sdtEndPr>
    <w:sdtContent>
      <w:p w:rsidR="00D30389" w:rsidRDefault="00D30389">
        <w:pPr>
          <w:pStyle w:val="Footer"/>
          <w:jc w:val="right"/>
        </w:pPr>
        <w:r>
          <w:fldChar w:fldCharType="begin"/>
        </w:r>
        <w:r>
          <w:instrText xml:space="preserve"> PAGE   \* MERGEFORMAT </w:instrText>
        </w:r>
        <w:r>
          <w:fldChar w:fldCharType="separate"/>
        </w:r>
        <w:r w:rsidR="004931E2">
          <w:rPr>
            <w:noProof/>
          </w:rPr>
          <w:t>4</w:t>
        </w:r>
        <w:r>
          <w:rPr>
            <w:noProof/>
          </w:rPr>
          <w:fldChar w:fldCharType="end"/>
        </w:r>
      </w:p>
    </w:sdtContent>
  </w:sdt>
  <w:p w:rsidR="00D30389" w:rsidRDefault="00D30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03" w:rsidRDefault="004B4C03" w:rsidP="00D80F85">
      <w:r>
        <w:separator/>
      </w:r>
    </w:p>
  </w:footnote>
  <w:footnote w:type="continuationSeparator" w:id="0">
    <w:p w:rsidR="004B4C03" w:rsidRDefault="004B4C03" w:rsidP="00D80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B67"/>
    <w:multiLevelType w:val="multilevel"/>
    <w:tmpl w:val="1794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42F01"/>
    <w:multiLevelType w:val="multilevel"/>
    <w:tmpl w:val="105C0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628EA"/>
    <w:multiLevelType w:val="hybridMultilevel"/>
    <w:tmpl w:val="BB08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82FFA"/>
    <w:multiLevelType w:val="hybridMultilevel"/>
    <w:tmpl w:val="965A92AC"/>
    <w:lvl w:ilvl="0" w:tplc="4DA04F3C">
      <w:start w:val="1"/>
      <w:numFmt w:val="bullet"/>
      <w:lvlText w:val="•"/>
      <w:lvlJc w:val="left"/>
      <w:pPr>
        <w:tabs>
          <w:tab w:val="num" w:pos="720"/>
        </w:tabs>
        <w:ind w:left="720" w:hanging="360"/>
      </w:pPr>
      <w:rPr>
        <w:rFonts w:ascii="Arial" w:hAnsi="Arial" w:hint="default"/>
      </w:rPr>
    </w:lvl>
    <w:lvl w:ilvl="1" w:tplc="19542F30" w:tentative="1">
      <w:start w:val="1"/>
      <w:numFmt w:val="bullet"/>
      <w:lvlText w:val="•"/>
      <w:lvlJc w:val="left"/>
      <w:pPr>
        <w:tabs>
          <w:tab w:val="num" w:pos="1440"/>
        </w:tabs>
        <w:ind w:left="1440" w:hanging="360"/>
      </w:pPr>
      <w:rPr>
        <w:rFonts w:ascii="Arial" w:hAnsi="Arial" w:hint="default"/>
      </w:rPr>
    </w:lvl>
    <w:lvl w:ilvl="2" w:tplc="AFB4231A" w:tentative="1">
      <w:start w:val="1"/>
      <w:numFmt w:val="bullet"/>
      <w:lvlText w:val="•"/>
      <w:lvlJc w:val="left"/>
      <w:pPr>
        <w:tabs>
          <w:tab w:val="num" w:pos="2160"/>
        </w:tabs>
        <w:ind w:left="2160" w:hanging="360"/>
      </w:pPr>
      <w:rPr>
        <w:rFonts w:ascii="Arial" w:hAnsi="Arial" w:hint="default"/>
      </w:rPr>
    </w:lvl>
    <w:lvl w:ilvl="3" w:tplc="18DAB5EC" w:tentative="1">
      <w:start w:val="1"/>
      <w:numFmt w:val="bullet"/>
      <w:lvlText w:val="•"/>
      <w:lvlJc w:val="left"/>
      <w:pPr>
        <w:tabs>
          <w:tab w:val="num" w:pos="2880"/>
        </w:tabs>
        <w:ind w:left="2880" w:hanging="360"/>
      </w:pPr>
      <w:rPr>
        <w:rFonts w:ascii="Arial" w:hAnsi="Arial" w:hint="default"/>
      </w:rPr>
    </w:lvl>
    <w:lvl w:ilvl="4" w:tplc="BD5272F6" w:tentative="1">
      <w:start w:val="1"/>
      <w:numFmt w:val="bullet"/>
      <w:lvlText w:val="•"/>
      <w:lvlJc w:val="left"/>
      <w:pPr>
        <w:tabs>
          <w:tab w:val="num" w:pos="3600"/>
        </w:tabs>
        <w:ind w:left="3600" w:hanging="360"/>
      </w:pPr>
      <w:rPr>
        <w:rFonts w:ascii="Arial" w:hAnsi="Arial" w:hint="default"/>
      </w:rPr>
    </w:lvl>
    <w:lvl w:ilvl="5" w:tplc="BF746BC6" w:tentative="1">
      <w:start w:val="1"/>
      <w:numFmt w:val="bullet"/>
      <w:lvlText w:val="•"/>
      <w:lvlJc w:val="left"/>
      <w:pPr>
        <w:tabs>
          <w:tab w:val="num" w:pos="4320"/>
        </w:tabs>
        <w:ind w:left="4320" w:hanging="360"/>
      </w:pPr>
      <w:rPr>
        <w:rFonts w:ascii="Arial" w:hAnsi="Arial" w:hint="default"/>
      </w:rPr>
    </w:lvl>
    <w:lvl w:ilvl="6" w:tplc="E38AE926" w:tentative="1">
      <w:start w:val="1"/>
      <w:numFmt w:val="bullet"/>
      <w:lvlText w:val="•"/>
      <w:lvlJc w:val="left"/>
      <w:pPr>
        <w:tabs>
          <w:tab w:val="num" w:pos="5040"/>
        </w:tabs>
        <w:ind w:left="5040" w:hanging="360"/>
      </w:pPr>
      <w:rPr>
        <w:rFonts w:ascii="Arial" w:hAnsi="Arial" w:hint="default"/>
      </w:rPr>
    </w:lvl>
    <w:lvl w:ilvl="7" w:tplc="05AA8F90" w:tentative="1">
      <w:start w:val="1"/>
      <w:numFmt w:val="bullet"/>
      <w:lvlText w:val="•"/>
      <w:lvlJc w:val="left"/>
      <w:pPr>
        <w:tabs>
          <w:tab w:val="num" w:pos="5760"/>
        </w:tabs>
        <w:ind w:left="5760" w:hanging="360"/>
      </w:pPr>
      <w:rPr>
        <w:rFonts w:ascii="Arial" w:hAnsi="Arial" w:hint="default"/>
      </w:rPr>
    </w:lvl>
    <w:lvl w:ilvl="8" w:tplc="0FB610D8" w:tentative="1">
      <w:start w:val="1"/>
      <w:numFmt w:val="bullet"/>
      <w:lvlText w:val="•"/>
      <w:lvlJc w:val="left"/>
      <w:pPr>
        <w:tabs>
          <w:tab w:val="num" w:pos="6480"/>
        </w:tabs>
        <w:ind w:left="6480" w:hanging="360"/>
      </w:pPr>
      <w:rPr>
        <w:rFonts w:ascii="Arial" w:hAnsi="Arial" w:hint="default"/>
      </w:rPr>
    </w:lvl>
  </w:abstractNum>
  <w:abstractNum w:abstractNumId="4">
    <w:nsid w:val="17803285"/>
    <w:multiLevelType w:val="multilevel"/>
    <w:tmpl w:val="C21E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66057"/>
    <w:multiLevelType w:val="multilevel"/>
    <w:tmpl w:val="64A8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776D1"/>
    <w:multiLevelType w:val="multilevel"/>
    <w:tmpl w:val="032C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77692"/>
    <w:multiLevelType w:val="multilevel"/>
    <w:tmpl w:val="3066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43EE0"/>
    <w:multiLevelType w:val="multilevel"/>
    <w:tmpl w:val="C07AB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05B34"/>
    <w:multiLevelType w:val="multilevel"/>
    <w:tmpl w:val="36B6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E92504"/>
    <w:multiLevelType w:val="hybridMultilevel"/>
    <w:tmpl w:val="90DE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37850"/>
    <w:multiLevelType w:val="multilevel"/>
    <w:tmpl w:val="B624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721DA7"/>
    <w:multiLevelType w:val="multilevel"/>
    <w:tmpl w:val="917E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CF1997"/>
    <w:multiLevelType w:val="hybridMultilevel"/>
    <w:tmpl w:val="B64CF9BC"/>
    <w:lvl w:ilvl="0" w:tplc="4FAC077C">
      <w:start w:val="1"/>
      <w:numFmt w:val="bullet"/>
      <w:lvlText w:val=""/>
      <w:lvlJc w:val="left"/>
      <w:pPr>
        <w:tabs>
          <w:tab w:val="num" w:pos="720"/>
        </w:tabs>
        <w:ind w:left="720" w:hanging="360"/>
      </w:pPr>
      <w:rPr>
        <w:rFonts w:ascii="Wingdings" w:hAnsi="Wingdings" w:hint="default"/>
      </w:rPr>
    </w:lvl>
    <w:lvl w:ilvl="1" w:tplc="8AEADC5E" w:tentative="1">
      <w:start w:val="1"/>
      <w:numFmt w:val="bullet"/>
      <w:lvlText w:val=""/>
      <w:lvlJc w:val="left"/>
      <w:pPr>
        <w:tabs>
          <w:tab w:val="num" w:pos="1440"/>
        </w:tabs>
        <w:ind w:left="1440" w:hanging="360"/>
      </w:pPr>
      <w:rPr>
        <w:rFonts w:ascii="Wingdings" w:hAnsi="Wingdings" w:hint="default"/>
      </w:rPr>
    </w:lvl>
    <w:lvl w:ilvl="2" w:tplc="AD0E91C4" w:tentative="1">
      <w:start w:val="1"/>
      <w:numFmt w:val="bullet"/>
      <w:lvlText w:val=""/>
      <w:lvlJc w:val="left"/>
      <w:pPr>
        <w:tabs>
          <w:tab w:val="num" w:pos="2160"/>
        </w:tabs>
        <w:ind w:left="2160" w:hanging="360"/>
      </w:pPr>
      <w:rPr>
        <w:rFonts w:ascii="Wingdings" w:hAnsi="Wingdings" w:hint="default"/>
      </w:rPr>
    </w:lvl>
    <w:lvl w:ilvl="3" w:tplc="B5F05A86" w:tentative="1">
      <w:start w:val="1"/>
      <w:numFmt w:val="bullet"/>
      <w:lvlText w:val=""/>
      <w:lvlJc w:val="left"/>
      <w:pPr>
        <w:tabs>
          <w:tab w:val="num" w:pos="2880"/>
        </w:tabs>
        <w:ind w:left="2880" w:hanging="360"/>
      </w:pPr>
      <w:rPr>
        <w:rFonts w:ascii="Wingdings" w:hAnsi="Wingdings" w:hint="default"/>
      </w:rPr>
    </w:lvl>
    <w:lvl w:ilvl="4" w:tplc="3DB6C8BE" w:tentative="1">
      <w:start w:val="1"/>
      <w:numFmt w:val="bullet"/>
      <w:lvlText w:val=""/>
      <w:lvlJc w:val="left"/>
      <w:pPr>
        <w:tabs>
          <w:tab w:val="num" w:pos="3600"/>
        </w:tabs>
        <w:ind w:left="3600" w:hanging="360"/>
      </w:pPr>
      <w:rPr>
        <w:rFonts w:ascii="Wingdings" w:hAnsi="Wingdings" w:hint="default"/>
      </w:rPr>
    </w:lvl>
    <w:lvl w:ilvl="5" w:tplc="9F5C0696" w:tentative="1">
      <w:start w:val="1"/>
      <w:numFmt w:val="bullet"/>
      <w:lvlText w:val=""/>
      <w:lvlJc w:val="left"/>
      <w:pPr>
        <w:tabs>
          <w:tab w:val="num" w:pos="4320"/>
        </w:tabs>
        <w:ind w:left="4320" w:hanging="360"/>
      </w:pPr>
      <w:rPr>
        <w:rFonts w:ascii="Wingdings" w:hAnsi="Wingdings" w:hint="default"/>
      </w:rPr>
    </w:lvl>
    <w:lvl w:ilvl="6" w:tplc="EA682BEC" w:tentative="1">
      <w:start w:val="1"/>
      <w:numFmt w:val="bullet"/>
      <w:lvlText w:val=""/>
      <w:lvlJc w:val="left"/>
      <w:pPr>
        <w:tabs>
          <w:tab w:val="num" w:pos="5040"/>
        </w:tabs>
        <w:ind w:left="5040" w:hanging="360"/>
      </w:pPr>
      <w:rPr>
        <w:rFonts w:ascii="Wingdings" w:hAnsi="Wingdings" w:hint="default"/>
      </w:rPr>
    </w:lvl>
    <w:lvl w:ilvl="7" w:tplc="8C64787C" w:tentative="1">
      <w:start w:val="1"/>
      <w:numFmt w:val="bullet"/>
      <w:lvlText w:val=""/>
      <w:lvlJc w:val="left"/>
      <w:pPr>
        <w:tabs>
          <w:tab w:val="num" w:pos="5760"/>
        </w:tabs>
        <w:ind w:left="5760" w:hanging="360"/>
      </w:pPr>
      <w:rPr>
        <w:rFonts w:ascii="Wingdings" w:hAnsi="Wingdings" w:hint="default"/>
      </w:rPr>
    </w:lvl>
    <w:lvl w:ilvl="8" w:tplc="A7A279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
  </w:num>
  <w:num w:numId="4">
    <w:abstractNumId w:val="6"/>
  </w:num>
  <w:num w:numId="5">
    <w:abstractNumId w:val="5"/>
  </w:num>
  <w:num w:numId="6">
    <w:abstractNumId w:val="4"/>
  </w:num>
  <w:num w:numId="7">
    <w:abstractNumId w:val="1"/>
  </w:num>
  <w:num w:numId="8">
    <w:abstractNumId w:val="12"/>
  </w:num>
  <w:num w:numId="9">
    <w:abstractNumId w:val="9"/>
  </w:num>
  <w:num w:numId="10">
    <w:abstractNumId w:val="11"/>
  </w:num>
  <w:num w:numId="11">
    <w:abstractNumId w:val="8"/>
  </w:num>
  <w:num w:numId="12">
    <w:abstractNumId w:val="10"/>
  </w:num>
  <w:num w:numId="13">
    <w:abstractNumId w:val="7"/>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Marchildon">
    <w15:presenceInfo w15:providerId="None" w15:userId="Greg Marchildon"/>
  </w15:person>
  <w15:person w15:author="Rafferty, Anne Marie">
    <w15:presenceInfo w15:providerId="AD" w15:userId="S-1-5-21-1101985487-4055868668-2532615317-26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BB"/>
    <w:rsid w:val="0000116E"/>
    <w:rsid w:val="000011D9"/>
    <w:rsid w:val="00003B8B"/>
    <w:rsid w:val="00004221"/>
    <w:rsid w:val="00005A80"/>
    <w:rsid w:val="00006FCF"/>
    <w:rsid w:val="000074A8"/>
    <w:rsid w:val="00011B26"/>
    <w:rsid w:val="00012112"/>
    <w:rsid w:val="00013713"/>
    <w:rsid w:val="000170D6"/>
    <w:rsid w:val="00022C02"/>
    <w:rsid w:val="00023355"/>
    <w:rsid w:val="00023409"/>
    <w:rsid w:val="0002404B"/>
    <w:rsid w:val="000242E1"/>
    <w:rsid w:val="00024510"/>
    <w:rsid w:val="00024AC4"/>
    <w:rsid w:val="00026CB3"/>
    <w:rsid w:val="00027DC0"/>
    <w:rsid w:val="00027F91"/>
    <w:rsid w:val="00030413"/>
    <w:rsid w:val="0003043F"/>
    <w:rsid w:val="00030728"/>
    <w:rsid w:val="00030BBE"/>
    <w:rsid w:val="00031FB0"/>
    <w:rsid w:val="00032028"/>
    <w:rsid w:val="000323E0"/>
    <w:rsid w:val="00032775"/>
    <w:rsid w:val="00032EA1"/>
    <w:rsid w:val="000338D1"/>
    <w:rsid w:val="00035E33"/>
    <w:rsid w:val="000362FD"/>
    <w:rsid w:val="000401DD"/>
    <w:rsid w:val="00041400"/>
    <w:rsid w:val="00041EA9"/>
    <w:rsid w:val="00042926"/>
    <w:rsid w:val="000432DF"/>
    <w:rsid w:val="000433DC"/>
    <w:rsid w:val="000437C0"/>
    <w:rsid w:val="000438CD"/>
    <w:rsid w:val="00043D2A"/>
    <w:rsid w:val="00046DAF"/>
    <w:rsid w:val="00046EF9"/>
    <w:rsid w:val="00047388"/>
    <w:rsid w:val="00047ADA"/>
    <w:rsid w:val="00047E1A"/>
    <w:rsid w:val="0005186C"/>
    <w:rsid w:val="00051A59"/>
    <w:rsid w:val="0005326F"/>
    <w:rsid w:val="00053755"/>
    <w:rsid w:val="00053781"/>
    <w:rsid w:val="000540F1"/>
    <w:rsid w:val="00055318"/>
    <w:rsid w:val="00055D97"/>
    <w:rsid w:val="000560FC"/>
    <w:rsid w:val="00056663"/>
    <w:rsid w:val="00056837"/>
    <w:rsid w:val="00056D9F"/>
    <w:rsid w:val="000574CC"/>
    <w:rsid w:val="00063E1D"/>
    <w:rsid w:val="0006579F"/>
    <w:rsid w:val="0006599C"/>
    <w:rsid w:val="00065AE3"/>
    <w:rsid w:val="000675F1"/>
    <w:rsid w:val="00067A22"/>
    <w:rsid w:val="000706E9"/>
    <w:rsid w:val="00071652"/>
    <w:rsid w:val="00071978"/>
    <w:rsid w:val="00071B96"/>
    <w:rsid w:val="00071BC2"/>
    <w:rsid w:val="000729B0"/>
    <w:rsid w:val="00073CA9"/>
    <w:rsid w:val="0007487A"/>
    <w:rsid w:val="0007631F"/>
    <w:rsid w:val="0007762C"/>
    <w:rsid w:val="00082625"/>
    <w:rsid w:val="00082940"/>
    <w:rsid w:val="00082D38"/>
    <w:rsid w:val="000830A5"/>
    <w:rsid w:val="000850D8"/>
    <w:rsid w:val="00085321"/>
    <w:rsid w:val="00085395"/>
    <w:rsid w:val="000858D6"/>
    <w:rsid w:val="00085C73"/>
    <w:rsid w:val="00087858"/>
    <w:rsid w:val="00090FC9"/>
    <w:rsid w:val="00091141"/>
    <w:rsid w:val="00091606"/>
    <w:rsid w:val="00091DE8"/>
    <w:rsid w:val="000932AD"/>
    <w:rsid w:val="000939F1"/>
    <w:rsid w:val="000945B4"/>
    <w:rsid w:val="00094760"/>
    <w:rsid w:val="0009497E"/>
    <w:rsid w:val="00095429"/>
    <w:rsid w:val="000961BE"/>
    <w:rsid w:val="0009626D"/>
    <w:rsid w:val="00097297"/>
    <w:rsid w:val="0009755D"/>
    <w:rsid w:val="00097949"/>
    <w:rsid w:val="000A064C"/>
    <w:rsid w:val="000A1A69"/>
    <w:rsid w:val="000A1A7A"/>
    <w:rsid w:val="000A1EE4"/>
    <w:rsid w:val="000A21A5"/>
    <w:rsid w:val="000A3225"/>
    <w:rsid w:val="000A48EB"/>
    <w:rsid w:val="000A4D4B"/>
    <w:rsid w:val="000A55BE"/>
    <w:rsid w:val="000A5C62"/>
    <w:rsid w:val="000A6325"/>
    <w:rsid w:val="000A77A9"/>
    <w:rsid w:val="000B0916"/>
    <w:rsid w:val="000B1B82"/>
    <w:rsid w:val="000B2512"/>
    <w:rsid w:val="000B39DE"/>
    <w:rsid w:val="000B3E5F"/>
    <w:rsid w:val="000B4084"/>
    <w:rsid w:val="000B44F7"/>
    <w:rsid w:val="000B4748"/>
    <w:rsid w:val="000B4F16"/>
    <w:rsid w:val="000B573D"/>
    <w:rsid w:val="000C1BA4"/>
    <w:rsid w:val="000C1EDF"/>
    <w:rsid w:val="000C35A6"/>
    <w:rsid w:val="000C3843"/>
    <w:rsid w:val="000C3DCE"/>
    <w:rsid w:val="000C3E11"/>
    <w:rsid w:val="000C4F35"/>
    <w:rsid w:val="000C662D"/>
    <w:rsid w:val="000D0D13"/>
    <w:rsid w:val="000D2660"/>
    <w:rsid w:val="000D350E"/>
    <w:rsid w:val="000D385C"/>
    <w:rsid w:val="000D38A0"/>
    <w:rsid w:val="000D3E32"/>
    <w:rsid w:val="000D7C47"/>
    <w:rsid w:val="000E058B"/>
    <w:rsid w:val="000E0801"/>
    <w:rsid w:val="000E0D84"/>
    <w:rsid w:val="000E1896"/>
    <w:rsid w:val="000E1F99"/>
    <w:rsid w:val="000E3066"/>
    <w:rsid w:val="000E347C"/>
    <w:rsid w:val="000E36D9"/>
    <w:rsid w:val="000E5B09"/>
    <w:rsid w:val="000E7236"/>
    <w:rsid w:val="000E7841"/>
    <w:rsid w:val="000F0074"/>
    <w:rsid w:val="000F0E1E"/>
    <w:rsid w:val="000F2515"/>
    <w:rsid w:val="000F3D07"/>
    <w:rsid w:val="000F49EB"/>
    <w:rsid w:val="000F68E7"/>
    <w:rsid w:val="001005C6"/>
    <w:rsid w:val="00100879"/>
    <w:rsid w:val="00101A1C"/>
    <w:rsid w:val="001056E8"/>
    <w:rsid w:val="00105ACE"/>
    <w:rsid w:val="00105BED"/>
    <w:rsid w:val="0010619B"/>
    <w:rsid w:val="001061F2"/>
    <w:rsid w:val="001069C3"/>
    <w:rsid w:val="0010757B"/>
    <w:rsid w:val="00107CA3"/>
    <w:rsid w:val="00110DC8"/>
    <w:rsid w:val="00111008"/>
    <w:rsid w:val="00111D29"/>
    <w:rsid w:val="00111DD5"/>
    <w:rsid w:val="0011220C"/>
    <w:rsid w:val="00112345"/>
    <w:rsid w:val="00114000"/>
    <w:rsid w:val="0011437A"/>
    <w:rsid w:val="00116076"/>
    <w:rsid w:val="0011607C"/>
    <w:rsid w:val="00117303"/>
    <w:rsid w:val="0011730C"/>
    <w:rsid w:val="0012046C"/>
    <w:rsid w:val="001206B3"/>
    <w:rsid w:val="00122E99"/>
    <w:rsid w:val="001230F7"/>
    <w:rsid w:val="00124179"/>
    <w:rsid w:val="001243D0"/>
    <w:rsid w:val="00124C28"/>
    <w:rsid w:val="0012502E"/>
    <w:rsid w:val="00125274"/>
    <w:rsid w:val="001252BC"/>
    <w:rsid w:val="0012560E"/>
    <w:rsid w:val="0012776D"/>
    <w:rsid w:val="00127C4A"/>
    <w:rsid w:val="00130306"/>
    <w:rsid w:val="00133248"/>
    <w:rsid w:val="00133256"/>
    <w:rsid w:val="00133395"/>
    <w:rsid w:val="00135417"/>
    <w:rsid w:val="00136EAC"/>
    <w:rsid w:val="0013791B"/>
    <w:rsid w:val="001412B0"/>
    <w:rsid w:val="00141E49"/>
    <w:rsid w:val="001426A3"/>
    <w:rsid w:val="001428C6"/>
    <w:rsid w:val="00142EA5"/>
    <w:rsid w:val="001439FC"/>
    <w:rsid w:val="0014550F"/>
    <w:rsid w:val="001456E8"/>
    <w:rsid w:val="00146928"/>
    <w:rsid w:val="001471A1"/>
    <w:rsid w:val="001477CA"/>
    <w:rsid w:val="00147AF1"/>
    <w:rsid w:val="001507EB"/>
    <w:rsid w:val="001510C5"/>
    <w:rsid w:val="001510DF"/>
    <w:rsid w:val="00153930"/>
    <w:rsid w:val="00153E5E"/>
    <w:rsid w:val="001540CF"/>
    <w:rsid w:val="001543D7"/>
    <w:rsid w:val="0015603A"/>
    <w:rsid w:val="001566E0"/>
    <w:rsid w:val="00157EA6"/>
    <w:rsid w:val="001604E4"/>
    <w:rsid w:val="00160F00"/>
    <w:rsid w:val="001622D6"/>
    <w:rsid w:val="001628CA"/>
    <w:rsid w:val="001635E0"/>
    <w:rsid w:val="001648B3"/>
    <w:rsid w:val="001662A3"/>
    <w:rsid w:val="00166702"/>
    <w:rsid w:val="00166773"/>
    <w:rsid w:val="00167787"/>
    <w:rsid w:val="00171447"/>
    <w:rsid w:val="001725B8"/>
    <w:rsid w:val="001735BD"/>
    <w:rsid w:val="00174508"/>
    <w:rsid w:val="00175B29"/>
    <w:rsid w:val="00175DD4"/>
    <w:rsid w:val="00176683"/>
    <w:rsid w:val="00180102"/>
    <w:rsid w:val="00180546"/>
    <w:rsid w:val="00180EC8"/>
    <w:rsid w:val="00181A63"/>
    <w:rsid w:val="00181BA3"/>
    <w:rsid w:val="00182C8D"/>
    <w:rsid w:val="00182FDC"/>
    <w:rsid w:val="00183679"/>
    <w:rsid w:val="0018371E"/>
    <w:rsid w:val="00184182"/>
    <w:rsid w:val="00185B9C"/>
    <w:rsid w:val="001869BA"/>
    <w:rsid w:val="001930C7"/>
    <w:rsid w:val="001933A7"/>
    <w:rsid w:val="001933F2"/>
    <w:rsid w:val="001935AE"/>
    <w:rsid w:val="00193A84"/>
    <w:rsid w:val="00193D2F"/>
    <w:rsid w:val="00194DD3"/>
    <w:rsid w:val="001964CB"/>
    <w:rsid w:val="001975B2"/>
    <w:rsid w:val="00197CB1"/>
    <w:rsid w:val="001A22B1"/>
    <w:rsid w:val="001A2A37"/>
    <w:rsid w:val="001A2DF9"/>
    <w:rsid w:val="001A4E81"/>
    <w:rsid w:val="001A5AA3"/>
    <w:rsid w:val="001A5ECC"/>
    <w:rsid w:val="001A6290"/>
    <w:rsid w:val="001A62CE"/>
    <w:rsid w:val="001B0DE1"/>
    <w:rsid w:val="001B1DC2"/>
    <w:rsid w:val="001B2333"/>
    <w:rsid w:val="001B266D"/>
    <w:rsid w:val="001B44CD"/>
    <w:rsid w:val="001B4D82"/>
    <w:rsid w:val="001B6501"/>
    <w:rsid w:val="001B69C3"/>
    <w:rsid w:val="001B75EE"/>
    <w:rsid w:val="001B7608"/>
    <w:rsid w:val="001C3B4A"/>
    <w:rsid w:val="001C4183"/>
    <w:rsid w:val="001C41C6"/>
    <w:rsid w:val="001C5053"/>
    <w:rsid w:val="001C7537"/>
    <w:rsid w:val="001D013D"/>
    <w:rsid w:val="001D0487"/>
    <w:rsid w:val="001D048A"/>
    <w:rsid w:val="001D0C34"/>
    <w:rsid w:val="001D12BF"/>
    <w:rsid w:val="001D1B9F"/>
    <w:rsid w:val="001D2BB8"/>
    <w:rsid w:val="001D306A"/>
    <w:rsid w:val="001D389D"/>
    <w:rsid w:val="001D3D9D"/>
    <w:rsid w:val="001D4323"/>
    <w:rsid w:val="001D49AB"/>
    <w:rsid w:val="001D49F4"/>
    <w:rsid w:val="001D5E3A"/>
    <w:rsid w:val="001D6087"/>
    <w:rsid w:val="001D6C68"/>
    <w:rsid w:val="001D7B82"/>
    <w:rsid w:val="001D7D35"/>
    <w:rsid w:val="001D7F37"/>
    <w:rsid w:val="001E07A2"/>
    <w:rsid w:val="001E0EE6"/>
    <w:rsid w:val="001E1598"/>
    <w:rsid w:val="001E2101"/>
    <w:rsid w:val="001E2550"/>
    <w:rsid w:val="001E3650"/>
    <w:rsid w:val="001E5AC0"/>
    <w:rsid w:val="001E638C"/>
    <w:rsid w:val="001E6645"/>
    <w:rsid w:val="001E719A"/>
    <w:rsid w:val="001E7E30"/>
    <w:rsid w:val="001F01ED"/>
    <w:rsid w:val="001F0F1B"/>
    <w:rsid w:val="001F159B"/>
    <w:rsid w:val="001F3A82"/>
    <w:rsid w:val="001F3C67"/>
    <w:rsid w:val="001F402E"/>
    <w:rsid w:val="001F4475"/>
    <w:rsid w:val="001F4600"/>
    <w:rsid w:val="001F58C4"/>
    <w:rsid w:val="001F6F86"/>
    <w:rsid w:val="001F7439"/>
    <w:rsid w:val="002017C5"/>
    <w:rsid w:val="00202569"/>
    <w:rsid w:val="00203C0F"/>
    <w:rsid w:val="00205444"/>
    <w:rsid w:val="002064AA"/>
    <w:rsid w:val="00207B69"/>
    <w:rsid w:val="00210F63"/>
    <w:rsid w:val="00213CA3"/>
    <w:rsid w:val="00215372"/>
    <w:rsid w:val="002160E8"/>
    <w:rsid w:val="002169D2"/>
    <w:rsid w:val="002209BB"/>
    <w:rsid w:val="00220C4F"/>
    <w:rsid w:val="0022149F"/>
    <w:rsid w:val="00221B4E"/>
    <w:rsid w:val="00223543"/>
    <w:rsid w:val="0022513F"/>
    <w:rsid w:val="00225601"/>
    <w:rsid w:val="00226760"/>
    <w:rsid w:val="00226B8F"/>
    <w:rsid w:val="002277FF"/>
    <w:rsid w:val="00231453"/>
    <w:rsid w:val="002315A0"/>
    <w:rsid w:val="002316E0"/>
    <w:rsid w:val="00231DAF"/>
    <w:rsid w:val="0023419A"/>
    <w:rsid w:val="00235606"/>
    <w:rsid w:val="00236E9B"/>
    <w:rsid w:val="002373CE"/>
    <w:rsid w:val="00237C01"/>
    <w:rsid w:val="00237CA8"/>
    <w:rsid w:val="00241F63"/>
    <w:rsid w:val="00242EC3"/>
    <w:rsid w:val="00243AE9"/>
    <w:rsid w:val="00243B87"/>
    <w:rsid w:val="00243EC6"/>
    <w:rsid w:val="00246F64"/>
    <w:rsid w:val="00246F88"/>
    <w:rsid w:val="002503C1"/>
    <w:rsid w:val="00250A9E"/>
    <w:rsid w:val="00252A13"/>
    <w:rsid w:val="00253421"/>
    <w:rsid w:val="002536A8"/>
    <w:rsid w:val="00253D7C"/>
    <w:rsid w:val="002540F6"/>
    <w:rsid w:val="002548C3"/>
    <w:rsid w:val="0025529F"/>
    <w:rsid w:val="00255CDF"/>
    <w:rsid w:val="00255F7C"/>
    <w:rsid w:val="00257305"/>
    <w:rsid w:val="00257DAF"/>
    <w:rsid w:val="00260085"/>
    <w:rsid w:val="002605E9"/>
    <w:rsid w:val="0026121B"/>
    <w:rsid w:val="002628EE"/>
    <w:rsid w:val="0026346A"/>
    <w:rsid w:val="002649EE"/>
    <w:rsid w:val="00264F2D"/>
    <w:rsid w:val="0026621E"/>
    <w:rsid w:val="002673F4"/>
    <w:rsid w:val="00267A47"/>
    <w:rsid w:val="00271299"/>
    <w:rsid w:val="00271AC7"/>
    <w:rsid w:val="00272BEA"/>
    <w:rsid w:val="00273B1F"/>
    <w:rsid w:val="00273FCA"/>
    <w:rsid w:val="00274B0D"/>
    <w:rsid w:val="002758CC"/>
    <w:rsid w:val="00275F32"/>
    <w:rsid w:val="00276893"/>
    <w:rsid w:val="00276F5A"/>
    <w:rsid w:val="0028025F"/>
    <w:rsid w:val="00280B63"/>
    <w:rsid w:val="00281C13"/>
    <w:rsid w:val="00281DE6"/>
    <w:rsid w:val="00282A67"/>
    <w:rsid w:val="00282BAC"/>
    <w:rsid w:val="00283192"/>
    <w:rsid w:val="002831E2"/>
    <w:rsid w:val="00283A8A"/>
    <w:rsid w:val="00283BF7"/>
    <w:rsid w:val="00283FBA"/>
    <w:rsid w:val="002854A9"/>
    <w:rsid w:val="00285BDA"/>
    <w:rsid w:val="00285C3C"/>
    <w:rsid w:val="0028649D"/>
    <w:rsid w:val="0028673F"/>
    <w:rsid w:val="002928BD"/>
    <w:rsid w:val="00292E32"/>
    <w:rsid w:val="00295693"/>
    <w:rsid w:val="00296304"/>
    <w:rsid w:val="00296C1F"/>
    <w:rsid w:val="002A0129"/>
    <w:rsid w:val="002A0DF5"/>
    <w:rsid w:val="002A1E28"/>
    <w:rsid w:val="002A2FC0"/>
    <w:rsid w:val="002A37B7"/>
    <w:rsid w:val="002A3A7A"/>
    <w:rsid w:val="002A4661"/>
    <w:rsid w:val="002A4A3E"/>
    <w:rsid w:val="002A519D"/>
    <w:rsid w:val="002A5FDA"/>
    <w:rsid w:val="002A6E7E"/>
    <w:rsid w:val="002A78D7"/>
    <w:rsid w:val="002A7E2A"/>
    <w:rsid w:val="002B15B5"/>
    <w:rsid w:val="002B247D"/>
    <w:rsid w:val="002B38DE"/>
    <w:rsid w:val="002B3A8A"/>
    <w:rsid w:val="002B4A1C"/>
    <w:rsid w:val="002B4ED8"/>
    <w:rsid w:val="002B5831"/>
    <w:rsid w:val="002B58C6"/>
    <w:rsid w:val="002B59A9"/>
    <w:rsid w:val="002B73C7"/>
    <w:rsid w:val="002B7512"/>
    <w:rsid w:val="002B7A04"/>
    <w:rsid w:val="002B7A44"/>
    <w:rsid w:val="002B7C8D"/>
    <w:rsid w:val="002C0F58"/>
    <w:rsid w:val="002C2325"/>
    <w:rsid w:val="002C253C"/>
    <w:rsid w:val="002C3CB6"/>
    <w:rsid w:val="002C3EC4"/>
    <w:rsid w:val="002C40D7"/>
    <w:rsid w:val="002C4508"/>
    <w:rsid w:val="002C5B0F"/>
    <w:rsid w:val="002C5BAB"/>
    <w:rsid w:val="002C719A"/>
    <w:rsid w:val="002C762C"/>
    <w:rsid w:val="002D17D8"/>
    <w:rsid w:val="002D2121"/>
    <w:rsid w:val="002D21CF"/>
    <w:rsid w:val="002D2206"/>
    <w:rsid w:val="002D229E"/>
    <w:rsid w:val="002D323E"/>
    <w:rsid w:val="002D4720"/>
    <w:rsid w:val="002D51A0"/>
    <w:rsid w:val="002D5666"/>
    <w:rsid w:val="002D7F74"/>
    <w:rsid w:val="002E02D2"/>
    <w:rsid w:val="002E051C"/>
    <w:rsid w:val="002E0F92"/>
    <w:rsid w:val="002E1A68"/>
    <w:rsid w:val="002E1A8D"/>
    <w:rsid w:val="002E1ACB"/>
    <w:rsid w:val="002E3EB7"/>
    <w:rsid w:val="002E40CB"/>
    <w:rsid w:val="002E45B6"/>
    <w:rsid w:val="002E6C3E"/>
    <w:rsid w:val="002E76C2"/>
    <w:rsid w:val="002F06E9"/>
    <w:rsid w:val="002F0D62"/>
    <w:rsid w:val="002F1B94"/>
    <w:rsid w:val="002F21D6"/>
    <w:rsid w:val="002F4693"/>
    <w:rsid w:val="002F5050"/>
    <w:rsid w:val="002F652F"/>
    <w:rsid w:val="002F6E12"/>
    <w:rsid w:val="002F7AD1"/>
    <w:rsid w:val="003014C1"/>
    <w:rsid w:val="0030158F"/>
    <w:rsid w:val="0030239F"/>
    <w:rsid w:val="00302C4B"/>
    <w:rsid w:val="003033EA"/>
    <w:rsid w:val="00303748"/>
    <w:rsid w:val="00305B18"/>
    <w:rsid w:val="00306199"/>
    <w:rsid w:val="00307071"/>
    <w:rsid w:val="00307555"/>
    <w:rsid w:val="0030769B"/>
    <w:rsid w:val="00307894"/>
    <w:rsid w:val="003104D9"/>
    <w:rsid w:val="0031149B"/>
    <w:rsid w:val="0031193A"/>
    <w:rsid w:val="00311D0C"/>
    <w:rsid w:val="00312CE4"/>
    <w:rsid w:val="003145B0"/>
    <w:rsid w:val="003148F2"/>
    <w:rsid w:val="00315AD4"/>
    <w:rsid w:val="00316B9E"/>
    <w:rsid w:val="003211BD"/>
    <w:rsid w:val="0032129C"/>
    <w:rsid w:val="00321841"/>
    <w:rsid w:val="00322590"/>
    <w:rsid w:val="003233E8"/>
    <w:rsid w:val="00324060"/>
    <w:rsid w:val="003243F5"/>
    <w:rsid w:val="0032456B"/>
    <w:rsid w:val="00325861"/>
    <w:rsid w:val="00327889"/>
    <w:rsid w:val="00327DAD"/>
    <w:rsid w:val="00327E42"/>
    <w:rsid w:val="00330163"/>
    <w:rsid w:val="003309F9"/>
    <w:rsid w:val="00331016"/>
    <w:rsid w:val="003332BB"/>
    <w:rsid w:val="00333673"/>
    <w:rsid w:val="00335994"/>
    <w:rsid w:val="00335DF7"/>
    <w:rsid w:val="003369C3"/>
    <w:rsid w:val="00336D0D"/>
    <w:rsid w:val="00336E56"/>
    <w:rsid w:val="00336E5F"/>
    <w:rsid w:val="00336ECD"/>
    <w:rsid w:val="003379FA"/>
    <w:rsid w:val="003401CB"/>
    <w:rsid w:val="0034141B"/>
    <w:rsid w:val="003417C9"/>
    <w:rsid w:val="003428DD"/>
    <w:rsid w:val="00343ACA"/>
    <w:rsid w:val="00343BDC"/>
    <w:rsid w:val="00343D7A"/>
    <w:rsid w:val="00346505"/>
    <w:rsid w:val="00350B0B"/>
    <w:rsid w:val="00351356"/>
    <w:rsid w:val="00351AD2"/>
    <w:rsid w:val="00351C55"/>
    <w:rsid w:val="003523FF"/>
    <w:rsid w:val="00352D98"/>
    <w:rsid w:val="003545C3"/>
    <w:rsid w:val="003575A9"/>
    <w:rsid w:val="00357BA0"/>
    <w:rsid w:val="0036015F"/>
    <w:rsid w:val="00360332"/>
    <w:rsid w:val="00361F47"/>
    <w:rsid w:val="00362BFE"/>
    <w:rsid w:val="003632A4"/>
    <w:rsid w:val="003637BE"/>
    <w:rsid w:val="003638B9"/>
    <w:rsid w:val="0036422D"/>
    <w:rsid w:val="00364942"/>
    <w:rsid w:val="003650F7"/>
    <w:rsid w:val="00365CB4"/>
    <w:rsid w:val="003669A0"/>
    <w:rsid w:val="0036729F"/>
    <w:rsid w:val="00367673"/>
    <w:rsid w:val="003678E6"/>
    <w:rsid w:val="00367C8F"/>
    <w:rsid w:val="00370631"/>
    <w:rsid w:val="00371475"/>
    <w:rsid w:val="00372CAC"/>
    <w:rsid w:val="003730FD"/>
    <w:rsid w:val="00373CDE"/>
    <w:rsid w:val="003745AF"/>
    <w:rsid w:val="00374C6D"/>
    <w:rsid w:val="0038000D"/>
    <w:rsid w:val="003803EC"/>
    <w:rsid w:val="00381053"/>
    <w:rsid w:val="00381BF7"/>
    <w:rsid w:val="003833DE"/>
    <w:rsid w:val="00384EB3"/>
    <w:rsid w:val="0038608A"/>
    <w:rsid w:val="00386EA2"/>
    <w:rsid w:val="003906B4"/>
    <w:rsid w:val="00391E55"/>
    <w:rsid w:val="003922A9"/>
    <w:rsid w:val="00393948"/>
    <w:rsid w:val="0039523C"/>
    <w:rsid w:val="00396A8B"/>
    <w:rsid w:val="00396D21"/>
    <w:rsid w:val="00396F19"/>
    <w:rsid w:val="00396F27"/>
    <w:rsid w:val="00397A59"/>
    <w:rsid w:val="003A0EE8"/>
    <w:rsid w:val="003A1E3C"/>
    <w:rsid w:val="003A27E8"/>
    <w:rsid w:val="003A284B"/>
    <w:rsid w:val="003A3EEA"/>
    <w:rsid w:val="003A4023"/>
    <w:rsid w:val="003A4C58"/>
    <w:rsid w:val="003A4D97"/>
    <w:rsid w:val="003A57C9"/>
    <w:rsid w:val="003A5BB2"/>
    <w:rsid w:val="003A5BFA"/>
    <w:rsid w:val="003A6793"/>
    <w:rsid w:val="003A6910"/>
    <w:rsid w:val="003A7680"/>
    <w:rsid w:val="003A7FF9"/>
    <w:rsid w:val="003B193D"/>
    <w:rsid w:val="003B1C3F"/>
    <w:rsid w:val="003B25C5"/>
    <w:rsid w:val="003B28A6"/>
    <w:rsid w:val="003B4893"/>
    <w:rsid w:val="003B58BF"/>
    <w:rsid w:val="003B70B0"/>
    <w:rsid w:val="003B7ACB"/>
    <w:rsid w:val="003C0513"/>
    <w:rsid w:val="003C1F64"/>
    <w:rsid w:val="003C30FA"/>
    <w:rsid w:val="003C3D3E"/>
    <w:rsid w:val="003C4A32"/>
    <w:rsid w:val="003C4C30"/>
    <w:rsid w:val="003C5BF1"/>
    <w:rsid w:val="003C65D4"/>
    <w:rsid w:val="003C6C03"/>
    <w:rsid w:val="003C6CFF"/>
    <w:rsid w:val="003C7882"/>
    <w:rsid w:val="003D08FC"/>
    <w:rsid w:val="003D17E1"/>
    <w:rsid w:val="003D1CDA"/>
    <w:rsid w:val="003D1DCD"/>
    <w:rsid w:val="003D339E"/>
    <w:rsid w:val="003D3B15"/>
    <w:rsid w:val="003D5021"/>
    <w:rsid w:val="003D69E7"/>
    <w:rsid w:val="003D7279"/>
    <w:rsid w:val="003E0507"/>
    <w:rsid w:val="003E0D0E"/>
    <w:rsid w:val="003E3043"/>
    <w:rsid w:val="003E3934"/>
    <w:rsid w:val="003E3EF9"/>
    <w:rsid w:val="003E40F2"/>
    <w:rsid w:val="003E4850"/>
    <w:rsid w:val="003E4ADA"/>
    <w:rsid w:val="003E4CF8"/>
    <w:rsid w:val="003E62E2"/>
    <w:rsid w:val="003E68CB"/>
    <w:rsid w:val="003E6BBD"/>
    <w:rsid w:val="003E7C3A"/>
    <w:rsid w:val="003E7CF5"/>
    <w:rsid w:val="003F0589"/>
    <w:rsid w:val="003F1778"/>
    <w:rsid w:val="003F1874"/>
    <w:rsid w:val="003F2A00"/>
    <w:rsid w:val="003F3402"/>
    <w:rsid w:val="003F4F8B"/>
    <w:rsid w:val="003F6B8D"/>
    <w:rsid w:val="003F7696"/>
    <w:rsid w:val="0040032A"/>
    <w:rsid w:val="00400FF6"/>
    <w:rsid w:val="0040163F"/>
    <w:rsid w:val="00403307"/>
    <w:rsid w:val="00403C03"/>
    <w:rsid w:val="00403DC0"/>
    <w:rsid w:val="00404C76"/>
    <w:rsid w:val="004065EE"/>
    <w:rsid w:val="00406B2D"/>
    <w:rsid w:val="00406F1B"/>
    <w:rsid w:val="00410628"/>
    <w:rsid w:val="00411E53"/>
    <w:rsid w:val="004122BD"/>
    <w:rsid w:val="00412898"/>
    <w:rsid w:val="00414234"/>
    <w:rsid w:val="004142D5"/>
    <w:rsid w:val="004145D5"/>
    <w:rsid w:val="00415511"/>
    <w:rsid w:val="00417957"/>
    <w:rsid w:val="00417A5E"/>
    <w:rsid w:val="0042040D"/>
    <w:rsid w:val="00420580"/>
    <w:rsid w:val="00420617"/>
    <w:rsid w:val="00420B32"/>
    <w:rsid w:val="00422D50"/>
    <w:rsid w:val="0042373C"/>
    <w:rsid w:val="004264E1"/>
    <w:rsid w:val="004268D4"/>
    <w:rsid w:val="00427206"/>
    <w:rsid w:val="004301A8"/>
    <w:rsid w:val="004301BB"/>
    <w:rsid w:val="00430EAF"/>
    <w:rsid w:val="00430F19"/>
    <w:rsid w:val="0043114E"/>
    <w:rsid w:val="00432A06"/>
    <w:rsid w:val="00432B3E"/>
    <w:rsid w:val="00432C9D"/>
    <w:rsid w:val="00432E7F"/>
    <w:rsid w:val="00433BE3"/>
    <w:rsid w:val="00433FE8"/>
    <w:rsid w:val="0043578B"/>
    <w:rsid w:val="0043618A"/>
    <w:rsid w:val="004373DE"/>
    <w:rsid w:val="00441DDC"/>
    <w:rsid w:val="00442A8A"/>
    <w:rsid w:val="00442F68"/>
    <w:rsid w:val="0044344F"/>
    <w:rsid w:val="00444022"/>
    <w:rsid w:val="00445C96"/>
    <w:rsid w:val="004468CB"/>
    <w:rsid w:val="00447CC7"/>
    <w:rsid w:val="00452451"/>
    <w:rsid w:val="004529F8"/>
    <w:rsid w:val="00452E13"/>
    <w:rsid w:val="0045471B"/>
    <w:rsid w:val="00455C17"/>
    <w:rsid w:val="004563F1"/>
    <w:rsid w:val="0045660A"/>
    <w:rsid w:val="00456C8E"/>
    <w:rsid w:val="00457A90"/>
    <w:rsid w:val="00460847"/>
    <w:rsid w:val="0046239B"/>
    <w:rsid w:val="0046276B"/>
    <w:rsid w:val="00462985"/>
    <w:rsid w:val="0046383C"/>
    <w:rsid w:val="00463D53"/>
    <w:rsid w:val="00464514"/>
    <w:rsid w:val="00464611"/>
    <w:rsid w:val="00465BB4"/>
    <w:rsid w:val="00465FB8"/>
    <w:rsid w:val="00466030"/>
    <w:rsid w:val="004674E5"/>
    <w:rsid w:val="0047194B"/>
    <w:rsid w:val="00473D63"/>
    <w:rsid w:val="00473F79"/>
    <w:rsid w:val="004744E7"/>
    <w:rsid w:val="004751DD"/>
    <w:rsid w:val="00475AA0"/>
    <w:rsid w:val="00475BB3"/>
    <w:rsid w:val="0047701F"/>
    <w:rsid w:val="00477CA0"/>
    <w:rsid w:val="004807C1"/>
    <w:rsid w:val="004811E7"/>
    <w:rsid w:val="0048362E"/>
    <w:rsid w:val="00483BC9"/>
    <w:rsid w:val="00483D8B"/>
    <w:rsid w:val="004843DA"/>
    <w:rsid w:val="004852A0"/>
    <w:rsid w:val="00486B55"/>
    <w:rsid w:val="00486B5F"/>
    <w:rsid w:val="00487887"/>
    <w:rsid w:val="0049071A"/>
    <w:rsid w:val="00491566"/>
    <w:rsid w:val="004931E2"/>
    <w:rsid w:val="00493234"/>
    <w:rsid w:val="00493325"/>
    <w:rsid w:val="0049489A"/>
    <w:rsid w:val="00494C59"/>
    <w:rsid w:val="00494E18"/>
    <w:rsid w:val="00494F7B"/>
    <w:rsid w:val="00495151"/>
    <w:rsid w:val="00496B1B"/>
    <w:rsid w:val="004971FF"/>
    <w:rsid w:val="004A0243"/>
    <w:rsid w:val="004A26C5"/>
    <w:rsid w:val="004A2748"/>
    <w:rsid w:val="004A315F"/>
    <w:rsid w:val="004A379C"/>
    <w:rsid w:val="004A4146"/>
    <w:rsid w:val="004A45F8"/>
    <w:rsid w:val="004A4D6B"/>
    <w:rsid w:val="004A5571"/>
    <w:rsid w:val="004A5AA5"/>
    <w:rsid w:val="004A6AE6"/>
    <w:rsid w:val="004A745C"/>
    <w:rsid w:val="004A74EC"/>
    <w:rsid w:val="004B2015"/>
    <w:rsid w:val="004B23D1"/>
    <w:rsid w:val="004B2B65"/>
    <w:rsid w:val="004B3803"/>
    <w:rsid w:val="004B3C33"/>
    <w:rsid w:val="004B4308"/>
    <w:rsid w:val="004B4C03"/>
    <w:rsid w:val="004B5927"/>
    <w:rsid w:val="004B7DAD"/>
    <w:rsid w:val="004C2732"/>
    <w:rsid w:val="004C302E"/>
    <w:rsid w:val="004C3429"/>
    <w:rsid w:val="004C4DA7"/>
    <w:rsid w:val="004C5E3B"/>
    <w:rsid w:val="004C6AEE"/>
    <w:rsid w:val="004C7FA6"/>
    <w:rsid w:val="004D0CF9"/>
    <w:rsid w:val="004D24CA"/>
    <w:rsid w:val="004D36E4"/>
    <w:rsid w:val="004D3C46"/>
    <w:rsid w:val="004D48AF"/>
    <w:rsid w:val="004D4BD3"/>
    <w:rsid w:val="004D6DC0"/>
    <w:rsid w:val="004D71A9"/>
    <w:rsid w:val="004D7B58"/>
    <w:rsid w:val="004E0CA2"/>
    <w:rsid w:val="004E202D"/>
    <w:rsid w:val="004E2C70"/>
    <w:rsid w:val="004E30A8"/>
    <w:rsid w:val="004E63E9"/>
    <w:rsid w:val="004E646D"/>
    <w:rsid w:val="004E67F3"/>
    <w:rsid w:val="004F0087"/>
    <w:rsid w:val="004F0CBD"/>
    <w:rsid w:val="004F0D36"/>
    <w:rsid w:val="004F18CE"/>
    <w:rsid w:val="004F228E"/>
    <w:rsid w:val="004F2840"/>
    <w:rsid w:val="004F3D7D"/>
    <w:rsid w:val="004F5704"/>
    <w:rsid w:val="004F628F"/>
    <w:rsid w:val="00500493"/>
    <w:rsid w:val="00500C8F"/>
    <w:rsid w:val="00503036"/>
    <w:rsid w:val="00503043"/>
    <w:rsid w:val="00504638"/>
    <w:rsid w:val="0050604D"/>
    <w:rsid w:val="005070CE"/>
    <w:rsid w:val="0050715A"/>
    <w:rsid w:val="00507322"/>
    <w:rsid w:val="005074AA"/>
    <w:rsid w:val="00507A68"/>
    <w:rsid w:val="00507CA9"/>
    <w:rsid w:val="00510FF2"/>
    <w:rsid w:val="00511282"/>
    <w:rsid w:val="00511E79"/>
    <w:rsid w:val="00512366"/>
    <w:rsid w:val="005131BE"/>
    <w:rsid w:val="00513942"/>
    <w:rsid w:val="00513D22"/>
    <w:rsid w:val="005142BC"/>
    <w:rsid w:val="005168D0"/>
    <w:rsid w:val="0051735F"/>
    <w:rsid w:val="005177FE"/>
    <w:rsid w:val="005209B0"/>
    <w:rsid w:val="00520C85"/>
    <w:rsid w:val="00521109"/>
    <w:rsid w:val="00521765"/>
    <w:rsid w:val="0052260E"/>
    <w:rsid w:val="00523529"/>
    <w:rsid w:val="00523A3A"/>
    <w:rsid w:val="00523C7C"/>
    <w:rsid w:val="00524C55"/>
    <w:rsid w:val="0052699A"/>
    <w:rsid w:val="0052730F"/>
    <w:rsid w:val="00530116"/>
    <w:rsid w:val="005319C0"/>
    <w:rsid w:val="00531BD9"/>
    <w:rsid w:val="005334EE"/>
    <w:rsid w:val="00533B1C"/>
    <w:rsid w:val="00535498"/>
    <w:rsid w:val="00535688"/>
    <w:rsid w:val="005362BE"/>
    <w:rsid w:val="005364C4"/>
    <w:rsid w:val="00536921"/>
    <w:rsid w:val="005407C8"/>
    <w:rsid w:val="0054083D"/>
    <w:rsid w:val="0054280F"/>
    <w:rsid w:val="00543D7E"/>
    <w:rsid w:val="00544273"/>
    <w:rsid w:val="00545364"/>
    <w:rsid w:val="005461D6"/>
    <w:rsid w:val="0054661A"/>
    <w:rsid w:val="00547477"/>
    <w:rsid w:val="00547A53"/>
    <w:rsid w:val="005527C4"/>
    <w:rsid w:val="005529AA"/>
    <w:rsid w:val="00552A12"/>
    <w:rsid w:val="00556814"/>
    <w:rsid w:val="00560077"/>
    <w:rsid w:val="005600EB"/>
    <w:rsid w:val="00560CB7"/>
    <w:rsid w:val="00560F8F"/>
    <w:rsid w:val="00561B37"/>
    <w:rsid w:val="00562BED"/>
    <w:rsid w:val="0056360F"/>
    <w:rsid w:val="005642CB"/>
    <w:rsid w:val="0056500F"/>
    <w:rsid w:val="00565B9D"/>
    <w:rsid w:val="00566A6B"/>
    <w:rsid w:val="00566FEB"/>
    <w:rsid w:val="005673F3"/>
    <w:rsid w:val="00570853"/>
    <w:rsid w:val="005709A8"/>
    <w:rsid w:val="00570F56"/>
    <w:rsid w:val="00571585"/>
    <w:rsid w:val="00571A3E"/>
    <w:rsid w:val="005735DA"/>
    <w:rsid w:val="005746CF"/>
    <w:rsid w:val="00575B75"/>
    <w:rsid w:val="005775A6"/>
    <w:rsid w:val="00577B51"/>
    <w:rsid w:val="00577E44"/>
    <w:rsid w:val="0058006F"/>
    <w:rsid w:val="00583451"/>
    <w:rsid w:val="00583B97"/>
    <w:rsid w:val="00584770"/>
    <w:rsid w:val="00584DCA"/>
    <w:rsid w:val="00584F04"/>
    <w:rsid w:val="005877BD"/>
    <w:rsid w:val="005905F2"/>
    <w:rsid w:val="005906A3"/>
    <w:rsid w:val="00590BFC"/>
    <w:rsid w:val="00590F7D"/>
    <w:rsid w:val="0059157E"/>
    <w:rsid w:val="00593ACE"/>
    <w:rsid w:val="00594486"/>
    <w:rsid w:val="00594F4C"/>
    <w:rsid w:val="005950C4"/>
    <w:rsid w:val="0059580F"/>
    <w:rsid w:val="005A1080"/>
    <w:rsid w:val="005A1A52"/>
    <w:rsid w:val="005A246D"/>
    <w:rsid w:val="005A26AB"/>
    <w:rsid w:val="005A30E4"/>
    <w:rsid w:val="005A3B42"/>
    <w:rsid w:val="005A410E"/>
    <w:rsid w:val="005A42EE"/>
    <w:rsid w:val="005A4EE8"/>
    <w:rsid w:val="005A67B6"/>
    <w:rsid w:val="005A6FAF"/>
    <w:rsid w:val="005A6FB4"/>
    <w:rsid w:val="005A7567"/>
    <w:rsid w:val="005B08D1"/>
    <w:rsid w:val="005B0F94"/>
    <w:rsid w:val="005B17F2"/>
    <w:rsid w:val="005B25BE"/>
    <w:rsid w:val="005B3327"/>
    <w:rsid w:val="005B438C"/>
    <w:rsid w:val="005B4EC8"/>
    <w:rsid w:val="005B5947"/>
    <w:rsid w:val="005B5AA4"/>
    <w:rsid w:val="005B67E0"/>
    <w:rsid w:val="005B7596"/>
    <w:rsid w:val="005B77F0"/>
    <w:rsid w:val="005B7810"/>
    <w:rsid w:val="005B7DC0"/>
    <w:rsid w:val="005B7EA2"/>
    <w:rsid w:val="005C0BF6"/>
    <w:rsid w:val="005C2286"/>
    <w:rsid w:val="005C3006"/>
    <w:rsid w:val="005C3CDD"/>
    <w:rsid w:val="005C3FD1"/>
    <w:rsid w:val="005C6F0F"/>
    <w:rsid w:val="005C7146"/>
    <w:rsid w:val="005C73C4"/>
    <w:rsid w:val="005C753F"/>
    <w:rsid w:val="005C796B"/>
    <w:rsid w:val="005D107E"/>
    <w:rsid w:val="005D2CA0"/>
    <w:rsid w:val="005D30CE"/>
    <w:rsid w:val="005D3DC5"/>
    <w:rsid w:val="005D420B"/>
    <w:rsid w:val="005D489D"/>
    <w:rsid w:val="005D4F08"/>
    <w:rsid w:val="005D5039"/>
    <w:rsid w:val="005D5815"/>
    <w:rsid w:val="005D5906"/>
    <w:rsid w:val="005D68B4"/>
    <w:rsid w:val="005E1040"/>
    <w:rsid w:val="005E311E"/>
    <w:rsid w:val="005E36FD"/>
    <w:rsid w:val="005E59B4"/>
    <w:rsid w:val="005E76ED"/>
    <w:rsid w:val="005F317C"/>
    <w:rsid w:val="005F348D"/>
    <w:rsid w:val="005F3510"/>
    <w:rsid w:val="005F39EA"/>
    <w:rsid w:val="005F3A2A"/>
    <w:rsid w:val="005F3AB5"/>
    <w:rsid w:val="005F3F55"/>
    <w:rsid w:val="005F49BA"/>
    <w:rsid w:val="005F4C58"/>
    <w:rsid w:val="005F4EE5"/>
    <w:rsid w:val="005F5904"/>
    <w:rsid w:val="005F6E89"/>
    <w:rsid w:val="005F7C57"/>
    <w:rsid w:val="006012D6"/>
    <w:rsid w:val="00602745"/>
    <w:rsid w:val="006050D3"/>
    <w:rsid w:val="00605599"/>
    <w:rsid w:val="00605817"/>
    <w:rsid w:val="00605D1E"/>
    <w:rsid w:val="00606866"/>
    <w:rsid w:val="006068C5"/>
    <w:rsid w:val="006069EF"/>
    <w:rsid w:val="00606AA6"/>
    <w:rsid w:val="0060720A"/>
    <w:rsid w:val="006072C8"/>
    <w:rsid w:val="00610334"/>
    <w:rsid w:val="006107E4"/>
    <w:rsid w:val="0061268B"/>
    <w:rsid w:val="00612CE4"/>
    <w:rsid w:val="00612D83"/>
    <w:rsid w:val="0061321F"/>
    <w:rsid w:val="00614785"/>
    <w:rsid w:val="006150B0"/>
    <w:rsid w:val="006160B9"/>
    <w:rsid w:val="006168EE"/>
    <w:rsid w:val="00616DEF"/>
    <w:rsid w:val="006171AC"/>
    <w:rsid w:val="00617325"/>
    <w:rsid w:val="00617A59"/>
    <w:rsid w:val="0062202A"/>
    <w:rsid w:val="006220A1"/>
    <w:rsid w:val="00622153"/>
    <w:rsid w:val="00623A48"/>
    <w:rsid w:val="00623DF8"/>
    <w:rsid w:val="00623FDE"/>
    <w:rsid w:val="00624B09"/>
    <w:rsid w:val="00624DBA"/>
    <w:rsid w:val="006252F4"/>
    <w:rsid w:val="006258BF"/>
    <w:rsid w:val="00625FE8"/>
    <w:rsid w:val="00626CEF"/>
    <w:rsid w:val="0062790A"/>
    <w:rsid w:val="00627A87"/>
    <w:rsid w:val="00630389"/>
    <w:rsid w:val="00630C16"/>
    <w:rsid w:val="00630E9A"/>
    <w:rsid w:val="006310DA"/>
    <w:rsid w:val="006310FD"/>
    <w:rsid w:val="006320B7"/>
    <w:rsid w:val="00633B24"/>
    <w:rsid w:val="00634AC6"/>
    <w:rsid w:val="006351E7"/>
    <w:rsid w:val="00635903"/>
    <w:rsid w:val="0063601A"/>
    <w:rsid w:val="0063779E"/>
    <w:rsid w:val="00637920"/>
    <w:rsid w:val="00637E91"/>
    <w:rsid w:val="00640C84"/>
    <w:rsid w:val="006413BE"/>
    <w:rsid w:val="00641C6C"/>
    <w:rsid w:val="0064201A"/>
    <w:rsid w:val="006430E5"/>
    <w:rsid w:val="00646106"/>
    <w:rsid w:val="0064674E"/>
    <w:rsid w:val="00646A79"/>
    <w:rsid w:val="00646D70"/>
    <w:rsid w:val="006475D2"/>
    <w:rsid w:val="0065087B"/>
    <w:rsid w:val="006509F1"/>
    <w:rsid w:val="0065147E"/>
    <w:rsid w:val="0065306C"/>
    <w:rsid w:val="00653C8C"/>
    <w:rsid w:val="00655084"/>
    <w:rsid w:val="006601DC"/>
    <w:rsid w:val="0066089A"/>
    <w:rsid w:val="00660969"/>
    <w:rsid w:val="00660BCE"/>
    <w:rsid w:val="006614DD"/>
    <w:rsid w:val="006629BC"/>
    <w:rsid w:val="00663313"/>
    <w:rsid w:val="00666248"/>
    <w:rsid w:val="00667418"/>
    <w:rsid w:val="006674BA"/>
    <w:rsid w:val="006701A8"/>
    <w:rsid w:val="006701F7"/>
    <w:rsid w:val="00670B26"/>
    <w:rsid w:val="00673331"/>
    <w:rsid w:val="00673D1C"/>
    <w:rsid w:val="00673E23"/>
    <w:rsid w:val="0067402D"/>
    <w:rsid w:val="0067560E"/>
    <w:rsid w:val="006774AB"/>
    <w:rsid w:val="00681105"/>
    <w:rsid w:val="006816C2"/>
    <w:rsid w:val="006817CC"/>
    <w:rsid w:val="00682054"/>
    <w:rsid w:val="00682EF3"/>
    <w:rsid w:val="00683A82"/>
    <w:rsid w:val="0068483D"/>
    <w:rsid w:val="00684C08"/>
    <w:rsid w:val="00684E67"/>
    <w:rsid w:val="00685886"/>
    <w:rsid w:val="00686FE9"/>
    <w:rsid w:val="006872A1"/>
    <w:rsid w:val="006874E0"/>
    <w:rsid w:val="006875F6"/>
    <w:rsid w:val="00690890"/>
    <w:rsid w:val="00690991"/>
    <w:rsid w:val="006916A0"/>
    <w:rsid w:val="0069181E"/>
    <w:rsid w:val="00693B00"/>
    <w:rsid w:val="00693BEE"/>
    <w:rsid w:val="00694190"/>
    <w:rsid w:val="006948F0"/>
    <w:rsid w:val="00697987"/>
    <w:rsid w:val="00697FB7"/>
    <w:rsid w:val="006A074E"/>
    <w:rsid w:val="006A0B15"/>
    <w:rsid w:val="006A1126"/>
    <w:rsid w:val="006A18E1"/>
    <w:rsid w:val="006A2045"/>
    <w:rsid w:val="006A25B6"/>
    <w:rsid w:val="006A2C67"/>
    <w:rsid w:val="006A4021"/>
    <w:rsid w:val="006A4A22"/>
    <w:rsid w:val="006A4D33"/>
    <w:rsid w:val="006A525D"/>
    <w:rsid w:val="006A75EA"/>
    <w:rsid w:val="006B0118"/>
    <w:rsid w:val="006B1052"/>
    <w:rsid w:val="006B2053"/>
    <w:rsid w:val="006B35A8"/>
    <w:rsid w:val="006B3CD5"/>
    <w:rsid w:val="006B40CF"/>
    <w:rsid w:val="006B5C7B"/>
    <w:rsid w:val="006B5F4D"/>
    <w:rsid w:val="006B678D"/>
    <w:rsid w:val="006B6EB6"/>
    <w:rsid w:val="006B7780"/>
    <w:rsid w:val="006B77DF"/>
    <w:rsid w:val="006B7822"/>
    <w:rsid w:val="006B7C73"/>
    <w:rsid w:val="006B7F1C"/>
    <w:rsid w:val="006C01DC"/>
    <w:rsid w:val="006C12EC"/>
    <w:rsid w:val="006C28F2"/>
    <w:rsid w:val="006C3111"/>
    <w:rsid w:val="006C3273"/>
    <w:rsid w:val="006C3D2D"/>
    <w:rsid w:val="006C51B3"/>
    <w:rsid w:val="006C6101"/>
    <w:rsid w:val="006C76A8"/>
    <w:rsid w:val="006C7763"/>
    <w:rsid w:val="006C7912"/>
    <w:rsid w:val="006D04CF"/>
    <w:rsid w:val="006D0BFD"/>
    <w:rsid w:val="006D0F2F"/>
    <w:rsid w:val="006D119C"/>
    <w:rsid w:val="006D19BB"/>
    <w:rsid w:val="006D1E11"/>
    <w:rsid w:val="006D2983"/>
    <w:rsid w:val="006D327A"/>
    <w:rsid w:val="006D38F3"/>
    <w:rsid w:val="006D4E0B"/>
    <w:rsid w:val="006D5891"/>
    <w:rsid w:val="006D59AA"/>
    <w:rsid w:val="006D5E68"/>
    <w:rsid w:val="006D74A0"/>
    <w:rsid w:val="006D7BBD"/>
    <w:rsid w:val="006D7C90"/>
    <w:rsid w:val="006D7E0B"/>
    <w:rsid w:val="006E0B2A"/>
    <w:rsid w:val="006E0D1D"/>
    <w:rsid w:val="006E108E"/>
    <w:rsid w:val="006E2618"/>
    <w:rsid w:val="006E34BC"/>
    <w:rsid w:val="006E3C97"/>
    <w:rsid w:val="006E4AD1"/>
    <w:rsid w:val="006E4C90"/>
    <w:rsid w:val="006E5DC5"/>
    <w:rsid w:val="006E61A6"/>
    <w:rsid w:val="006F0119"/>
    <w:rsid w:val="006F0AF3"/>
    <w:rsid w:val="006F0E9A"/>
    <w:rsid w:val="006F231E"/>
    <w:rsid w:val="006F2CB9"/>
    <w:rsid w:val="006F30F6"/>
    <w:rsid w:val="006F534F"/>
    <w:rsid w:val="006F59E3"/>
    <w:rsid w:val="006F7269"/>
    <w:rsid w:val="006F748D"/>
    <w:rsid w:val="006F7C4C"/>
    <w:rsid w:val="006F7F4C"/>
    <w:rsid w:val="00700900"/>
    <w:rsid w:val="007018B3"/>
    <w:rsid w:val="007018DE"/>
    <w:rsid w:val="0070261E"/>
    <w:rsid w:val="007027E3"/>
    <w:rsid w:val="00702C66"/>
    <w:rsid w:val="00704AD3"/>
    <w:rsid w:val="007051D7"/>
    <w:rsid w:val="00705A6F"/>
    <w:rsid w:val="00710AD5"/>
    <w:rsid w:val="007112C8"/>
    <w:rsid w:val="00711321"/>
    <w:rsid w:val="007125C9"/>
    <w:rsid w:val="007142BE"/>
    <w:rsid w:val="0071471B"/>
    <w:rsid w:val="00714FA6"/>
    <w:rsid w:val="00715118"/>
    <w:rsid w:val="007152D9"/>
    <w:rsid w:val="00715504"/>
    <w:rsid w:val="007157FA"/>
    <w:rsid w:val="007170C0"/>
    <w:rsid w:val="00717F6B"/>
    <w:rsid w:val="00720F92"/>
    <w:rsid w:val="00721113"/>
    <w:rsid w:val="007211B1"/>
    <w:rsid w:val="0072200F"/>
    <w:rsid w:val="00722325"/>
    <w:rsid w:val="00722913"/>
    <w:rsid w:val="00723392"/>
    <w:rsid w:val="00723FD5"/>
    <w:rsid w:val="00724116"/>
    <w:rsid w:val="00724449"/>
    <w:rsid w:val="00724A95"/>
    <w:rsid w:val="00724C48"/>
    <w:rsid w:val="007256F1"/>
    <w:rsid w:val="00725A18"/>
    <w:rsid w:val="0072722D"/>
    <w:rsid w:val="00730920"/>
    <w:rsid w:val="00730E42"/>
    <w:rsid w:val="00731756"/>
    <w:rsid w:val="007317C7"/>
    <w:rsid w:val="00731DCA"/>
    <w:rsid w:val="00732D29"/>
    <w:rsid w:val="007337C4"/>
    <w:rsid w:val="00733A4A"/>
    <w:rsid w:val="00733CC1"/>
    <w:rsid w:val="00734C2F"/>
    <w:rsid w:val="00735097"/>
    <w:rsid w:val="0073538D"/>
    <w:rsid w:val="00735A27"/>
    <w:rsid w:val="00735EE5"/>
    <w:rsid w:val="00736B30"/>
    <w:rsid w:val="00736B92"/>
    <w:rsid w:val="00737E24"/>
    <w:rsid w:val="0074077D"/>
    <w:rsid w:val="00740EC6"/>
    <w:rsid w:val="00740ECE"/>
    <w:rsid w:val="00741B61"/>
    <w:rsid w:val="00743FD3"/>
    <w:rsid w:val="00744E81"/>
    <w:rsid w:val="00746785"/>
    <w:rsid w:val="007502A2"/>
    <w:rsid w:val="007521E9"/>
    <w:rsid w:val="00753812"/>
    <w:rsid w:val="00754C8D"/>
    <w:rsid w:val="007550F6"/>
    <w:rsid w:val="007559C8"/>
    <w:rsid w:val="007569AE"/>
    <w:rsid w:val="00756B2A"/>
    <w:rsid w:val="00756C9C"/>
    <w:rsid w:val="00757257"/>
    <w:rsid w:val="007577E7"/>
    <w:rsid w:val="00757D00"/>
    <w:rsid w:val="00757EF1"/>
    <w:rsid w:val="00762012"/>
    <w:rsid w:val="007621B4"/>
    <w:rsid w:val="007626A2"/>
    <w:rsid w:val="00762D7F"/>
    <w:rsid w:val="00764EBB"/>
    <w:rsid w:val="00765368"/>
    <w:rsid w:val="00766AC8"/>
    <w:rsid w:val="00766E49"/>
    <w:rsid w:val="00767F0A"/>
    <w:rsid w:val="00770373"/>
    <w:rsid w:val="007704BB"/>
    <w:rsid w:val="00770918"/>
    <w:rsid w:val="00771008"/>
    <w:rsid w:val="00771566"/>
    <w:rsid w:val="00771825"/>
    <w:rsid w:val="00773CBC"/>
    <w:rsid w:val="00773F94"/>
    <w:rsid w:val="0077512D"/>
    <w:rsid w:val="00775244"/>
    <w:rsid w:val="0077652C"/>
    <w:rsid w:val="007770B5"/>
    <w:rsid w:val="00777799"/>
    <w:rsid w:val="00777FFC"/>
    <w:rsid w:val="00780098"/>
    <w:rsid w:val="0078038A"/>
    <w:rsid w:val="0078130F"/>
    <w:rsid w:val="007823A4"/>
    <w:rsid w:val="00784298"/>
    <w:rsid w:val="00784B29"/>
    <w:rsid w:val="00784D21"/>
    <w:rsid w:val="0078520D"/>
    <w:rsid w:val="0078576C"/>
    <w:rsid w:val="007860EC"/>
    <w:rsid w:val="00786CD0"/>
    <w:rsid w:val="00786FA9"/>
    <w:rsid w:val="00786FC9"/>
    <w:rsid w:val="00787E2B"/>
    <w:rsid w:val="007903A1"/>
    <w:rsid w:val="007916AA"/>
    <w:rsid w:val="00791CDE"/>
    <w:rsid w:val="00792516"/>
    <w:rsid w:val="00792654"/>
    <w:rsid w:val="00794618"/>
    <w:rsid w:val="00794F93"/>
    <w:rsid w:val="0079585D"/>
    <w:rsid w:val="00795DF2"/>
    <w:rsid w:val="007A0365"/>
    <w:rsid w:val="007A100C"/>
    <w:rsid w:val="007A1572"/>
    <w:rsid w:val="007A1F31"/>
    <w:rsid w:val="007A363B"/>
    <w:rsid w:val="007A5561"/>
    <w:rsid w:val="007A57E2"/>
    <w:rsid w:val="007A7153"/>
    <w:rsid w:val="007B0857"/>
    <w:rsid w:val="007B0EDC"/>
    <w:rsid w:val="007B25D8"/>
    <w:rsid w:val="007B3EA2"/>
    <w:rsid w:val="007B41F6"/>
    <w:rsid w:val="007B5933"/>
    <w:rsid w:val="007B5979"/>
    <w:rsid w:val="007B5B0A"/>
    <w:rsid w:val="007B6A78"/>
    <w:rsid w:val="007B6D89"/>
    <w:rsid w:val="007B7580"/>
    <w:rsid w:val="007B7C08"/>
    <w:rsid w:val="007B7CCD"/>
    <w:rsid w:val="007C0604"/>
    <w:rsid w:val="007C0B74"/>
    <w:rsid w:val="007C17DC"/>
    <w:rsid w:val="007C2366"/>
    <w:rsid w:val="007C2A0E"/>
    <w:rsid w:val="007C38F5"/>
    <w:rsid w:val="007C54A3"/>
    <w:rsid w:val="007C5601"/>
    <w:rsid w:val="007C6A28"/>
    <w:rsid w:val="007C72DC"/>
    <w:rsid w:val="007C7F25"/>
    <w:rsid w:val="007C7FFD"/>
    <w:rsid w:val="007D1653"/>
    <w:rsid w:val="007D18F6"/>
    <w:rsid w:val="007D2627"/>
    <w:rsid w:val="007D29FA"/>
    <w:rsid w:val="007D2BA3"/>
    <w:rsid w:val="007D4627"/>
    <w:rsid w:val="007D4956"/>
    <w:rsid w:val="007D52FE"/>
    <w:rsid w:val="007D5394"/>
    <w:rsid w:val="007D5406"/>
    <w:rsid w:val="007D591F"/>
    <w:rsid w:val="007D609B"/>
    <w:rsid w:val="007D624B"/>
    <w:rsid w:val="007D6313"/>
    <w:rsid w:val="007D6776"/>
    <w:rsid w:val="007D7278"/>
    <w:rsid w:val="007D7C37"/>
    <w:rsid w:val="007E1812"/>
    <w:rsid w:val="007E21D7"/>
    <w:rsid w:val="007E294B"/>
    <w:rsid w:val="007E2F27"/>
    <w:rsid w:val="007E528A"/>
    <w:rsid w:val="007E6247"/>
    <w:rsid w:val="007E7400"/>
    <w:rsid w:val="007F231F"/>
    <w:rsid w:val="007F37D1"/>
    <w:rsid w:val="007F53D1"/>
    <w:rsid w:val="007F57DD"/>
    <w:rsid w:val="007F7731"/>
    <w:rsid w:val="0080390A"/>
    <w:rsid w:val="00804A2A"/>
    <w:rsid w:val="00805664"/>
    <w:rsid w:val="00806199"/>
    <w:rsid w:val="008076FD"/>
    <w:rsid w:val="0081067F"/>
    <w:rsid w:val="00810BE6"/>
    <w:rsid w:val="00812148"/>
    <w:rsid w:val="00812AA9"/>
    <w:rsid w:val="00812DBC"/>
    <w:rsid w:val="008140B9"/>
    <w:rsid w:val="00814BB7"/>
    <w:rsid w:val="00814FFF"/>
    <w:rsid w:val="008157A8"/>
    <w:rsid w:val="00815966"/>
    <w:rsid w:val="00815FF9"/>
    <w:rsid w:val="0081765A"/>
    <w:rsid w:val="00817679"/>
    <w:rsid w:val="008178EC"/>
    <w:rsid w:val="00817F88"/>
    <w:rsid w:val="00820A7E"/>
    <w:rsid w:val="00820E03"/>
    <w:rsid w:val="00822443"/>
    <w:rsid w:val="00822457"/>
    <w:rsid w:val="00822942"/>
    <w:rsid w:val="00823774"/>
    <w:rsid w:val="00824F84"/>
    <w:rsid w:val="00825EF0"/>
    <w:rsid w:val="00831329"/>
    <w:rsid w:val="008319F4"/>
    <w:rsid w:val="00832734"/>
    <w:rsid w:val="00832B24"/>
    <w:rsid w:val="0083331F"/>
    <w:rsid w:val="00833B21"/>
    <w:rsid w:val="008354A1"/>
    <w:rsid w:val="00835BDC"/>
    <w:rsid w:val="00836B7D"/>
    <w:rsid w:val="008370D5"/>
    <w:rsid w:val="00837EFA"/>
    <w:rsid w:val="00840347"/>
    <w:rsid w:val="00840528"/>
    <w:rsid w:val="00840BAC"/>
    <w:rsid w:val="0084195C"/>
    <w:rsid w:val="00841C2D"/>
    <w:rsid w:val="00842C38"/>
    <w:rsid w:val="008430DF"/>
    <w:rsid w:val="00843813"/>
    <w:rsid w:val="00843B8E"/>
    <w:rsid w:val="00844CF9"/>
    <w:rsid w:val="008469D1"/>
    <w:rsid w:val="00850244"/>
    <w:rsid w:val="00850D87"/>
    <w:rsid w:val="00851254"/>
    <w:rsid w:val="00852783"/>
    <w:rsid w:val="00852BDA"/>
    <w:rsid w:val="0085517E"/>
    <w:rsid w:val="008552F5"/>
    <w:rsid w:val="00855FCE"/>
    <w:rsid w:val="008564C6"/>
    <w:rsid w:val="00856B1E"/>
    <w:rsid w:val="008612E0"/>
    <w:rsid w:val="00861403"/>
    <w:rsid w:val="00861925"/>
    <w:rsid w:val="008645B8"/>
    <w:rsid w:val="00866012"/>
    <w:rsid w:val="00866BAD"/>
    <w:rsid w:val="008675D1"/>
    <w:rsid w:val="00870D14"/>
    <w:rsid w:val="00871361"/>
    <w:rsid w:val="0087244A"/>
    <w:rsid w:val="00873B6B"/>
    <w:rsid w:val="00874A90"/>
    <w:rsid w:val="00874DA3"/>
    <w:rsid w:val="0087673F"/>
    <w:rsid w:val="00876A55"/>
    <w:rsid w:val="008808F6"/>
    <w:rsid w:val="00880BDB"/>
    <w:rsid w:val="0088104D"/>
    <w:rsid w:val="008811F4"/>
    <w:rsid w:val="00883D9D"/>
    <w:rsid w:val="00884F90"/>
    <w:rsid w:val="00885579"/>
    <w:rsid w:val="00887CC1"/>
    <w:rsid w:val="00891C1B"/>
    <w:rsid w:val="00891C99"/>
    <w:rsid w:val="008927CB"/>
    <w:rsid w:val="00892D5F"/>
    <w:rsid w:val="00892FF5"/>
    <w:rsid w:val="00893B0F"/>
    <w:rsid w:val="008949EB"/>
    <w:rsid w:val="00895187"/>
    <w:rsid w:val="00895AB2"/>
    <w:rsid w:val="00895DEA"/>
    <w:rsid w:val="00896EFB"/>
    <w:rsid w:val="0089707D"/>
    <w:rsid w:val="00897353"/>
    <w:rsid w:val="008974BE"/>
    <w:rsid w:val="008A0393"/>
    <w:rsid w:val="008A06EA"/>
    <w:rsid w:val="008A0C5C"/>
    <w:rsid w:val="008A19B3"/>
    <w:rsid w:val="008A24F7"/>
    <w:rsid w:val="008A294A"/>
    <w:rsid w:val="008A3332"/>
    <w:rsid w:val="008A3A07"/>
    <w:rsid w:val="008A404A"/>
    <w:rsid w:val="008A480D"/>
    <w:rsid w:val="008A4938"/>
    <w:rsid w:val="008A4A51"/>
    <w:rsid w:val="008B0118"/>
    <w:rsid w:val="008B09E6"/>
    <w:rsid w:val="008B14BC"/>
    <w:rsid w:val="008B17FE"/>
    <w:rsid w:val="008B2763"/>
    <w:rsid w:val="008B2955"/>
    <w:rsid w:val="008B2D83"/>
    <w:rsid w:val="008B6A4C"/>
    <w:rsid w:val="008B701E"/>
    <w:rsid w:val="008B702E"/>
    <w:rsid w:val="008B704A"/>
    <w:rsid w:val="008B783A"/>
    <w:rsid w:val="008B78ED"/>
    <w:rsid w:val="008C0C58"/>
    <w:rsid w:val="008C18E6"/>
    <w:rsid w:val="008C1A7E"/>
    <w:rsid w:val="008C1C5E"/>
    <w:rsid w:val="008C213A"/>
    <w:rsid w:val="008C26EB"/>
    <w:rsid w:val="008C465C"/>
    <w:rsid w:val="008C5AD6"/>
    <w:rsid w:val="008C6F9B"/>
    <w:rsid w:val="008C73CE"/>
    <w:rsid w:val="008C7C35"/>
    <w:rsid w:val="008D090B"/>
    <w:rsid w:val="008D1AC6"/>
    <w:rsid w:val="008D504D"/>
    <w:rsid w:val="008D5521"/>
    <w:rsid w:val="008D5541"/>
    <w:rsid w:val="008D5B1F"/>
    <w:rsid w:val="008D65E0"/>
    <w:rsid w:val="008D6C96"/>
    <w:rsid w:val="008D6E11"/>
    <w:rsid w:val="008D7A76"/>
    <w:rsid w:val="008D7F35"/>
    <w:rsid w:val="008E0D11"/>
    <w:rsid w:val="008E18A3"/>
    <w:rsid w:val="008E2400"/>
    <w:rsid w:val="008E26AD"/>
    <w:rsid w:val="008E278B"/>
    <w:rsid w:val="008E2B5B"/>
    <w:rsid w:val="008E3023"/>
    <w:rsid w:val="008E3521"/>
    <w:rsid w:val="008E43D0"/>
    <w:rsid w:val="008E4F6A"/>
    <w:rsid w:val="008E58B0"/>
    <w:rsid w:val="008E6AC0"/>
    <w:rsid w:val="008E6C2E"/>
    <w:rsid w:val="008E75CB"/>
    <w:rsid w:val="008F0270"/>
    <w:rsid w:val="008F0E26"/>
    <w:rsid w:val="008F10A9"/>
    <w:rsid w:val="008F15D6"/>
    <w:rsid w:val="008F1B17"/>
    <w:rsid w:val="008F229B"/>
    <w:rsid w:val="008F3366"/>
    <w:rsid w:val="008F374C"/>
    <w:rsid w:val="008F3A08"/>
    <w:rsid w:val="008F3CC5"/>
    <w:rsid w:val="008F5AFB"/>
    <w:rsid w:val="008F5B85"/>
    <w:rsid w:val="008F683C"/>
    <w:rsid w:val="009000B9"/>
    <w:rsid w:val="009000F5"/>
    <w:rsid w:val="00900AF1"/>
    <w:rsid w:val="00903032"/>
    <w:rsid w:val="009031DE"/>
    <w:rsid w:val="00903929"/>
    <w:rsid w:val="00904AF4"/>
    <w:rsid w:val="0090635A"/>
    <w:rsid w:val="0091041C"/>
    <w:rsid w:val="00910A15"/>
    <w:rsid w:val="00912FBB"/>
    <w:rsid w:val="00913DA7"/>
    <w:rsid w:val="00914934"/>
    <w:rsid w:val="00914BF7"/>
    <w:rsid w:val="009151FD"/>
    <w:rsid w:val="00916013"/>
    <w:rsid w:val="00916638"/>
    <w:rsid w:val="00916ADA"/>
    <w:rsid w:val="009173AE"/>
    <w:rsid w:val="00922691"/>
    <w:rsid w:val="0092510B"/>
    <w:rsid w:val="009264F5"/>
    <w:rsid w:val="009302E6"/>
    <w:rsid w:val="0093123D"/>
    <w:rsid w:val="00932340"/>
    <w:rsid w:val="0093272C"/>
    <w:rsid w:val="009335DC"/>
    <w:rsid w:val="00933649"/>
    <w:rsid w:val="009345AD"/>
    <w:rsid w:val="00934623"/>
    <w:rsid w:val="00934A17"/>
    <w:rsid w:val="00934F7B"/>
    <w:rsid w:val="00937502"/>
    <w:rsid w:val="00937B81"/>
    <w:rsid w:val="00937B9B"/>
    <w:rsid w:val="0094096C"/>
    <w:rsid w:val="009419D0"/>
    <w:rsid w:val="00941AAE"/>
    <w:rsid w:val="009426C9"/>
    <w:rsid w:val="00942D47"/>
    <w:rsid w:val="00944122"/>
    <w:rsid w:val="00944A69"/>
    <w:rsid w:val="00945203"/>
    <w:rsid w:val="00945A7A"/>
    <w:rsid w:val="009462C1"/>
    <w:rsid w:val="00950B9A"/>
    <w:rsid w:val="00950F49"/>
    <w:rsid w:val="00951101"/>
    <w:rsid w:val="00953E8E"/>
    <w:rsid w:val="009545D1"/>
    <w:rsid w:val="00955481"/>
    <w:rsid w:val="00955B9C"/>
    <w:rsid w:val="009564A0"/>
    <w:rsid w:val="00960848"/>
    <w:rsid w:val="00961A2C"/>
    <w:rsid w:val="00963AA2"/>
    <w:rsid w:val="00964C2A"/>
    <w:rsid w:val="009653BF"/>
    <w:rsid w:val="0096544A"/>
    <w:rsid w:val="00965508"/>
    <w:rsid w:val="0096555F"/>
    <w:rsid w:val="0096560E"/>
    <w:rsid w:val="009658DF"/>
    <w:rsid w:val="00967DDA"/>
    <w:rsid w:val="00970009"/>
    <w:rsid w:val="0097030D"/>
    <w:rsid w:val="009708FF"/>
    <w:rsid w:val="009709C3"/>
    <w:rsid w:val="00970B3B"/>
    <w:rsid w:val="0097133F"/>
    <w:rsid w:val="00974112"/>
    <w:rsid w:val="00974125"/>
    <w:rsid w:val="009758B6"/>
    <w:rsid w:val="00975D5F"/>
    <w:rsid w:val="009762F7"/>
    <w:rsid w:val="009762FD"/>
    <w:rsid w:val="00976822"/>
    <w:rsid w:val="0097777E"/>
    <w:rsid w:val="009777E0"/>
    <w:rsid w:val="00980EEB"/>
    <w:rsid w:val="0098157E"/>
    <w:rsid w:val="00981FD7"/>
    <w:rsid w:val="00982ADF"/>
    <w:rsid w:val="00982B5E"/>
    <w:rsid w:val="009840B5"/>
    <w:rsid w:val="00985365"/>
    <w:rsid w:val="0098561F"/>
    <w:rsid w:val="00985B85"/>
    <w:rsid w:val="00986181"/>
    <w:rsid w:val="009865E3"/>
    <w:rsid w:val="0098673A"/>
    <w:rsid w:val="00987150"/>
    <w:rsid w:val="00990913"/>
    <w:rsid w:val="0099099A"/>
    <w:rsid w:val="00990FB3"/>
    <w:rsid w:val="009914C6"/>
    <w:rsid w:val="00994151"/>
    <w:rsid w:val="00994C4E"/>
    <w:rsid w:val="009A2257"/>
    <w:rsid w:val="009A3A7A"/>
    <w:rsid w:val="009A3CC3"/>
    <w:rsid w:val="009A45C3"/>
    <w:rsid w:val="009A46AB"/>
    <w:rsid w:val="009A561B"/>
    <w:rsid w:val="009A6239"/>
    <w:rsid w:val="009A67C1"/>
    <w:rsid w:val="009A732F"/>
    <w:rsid w:val="009A7521"/>
    <w:rsid w:val="009A7C8B"/>
    <w:rsid w:val="009B14F9"/>
    <w:rsid w:val="009B25C2"/>
    <w:rsid w:val="009B38CA"/>
    <w:rsid w:val="009B4F9C"/>
    <w:rsid w:val="009B50DC"/>
    <w:rsid w:val="009C0219"/>
    <w:rsid w:val="009C2614"/>
    <w:rsid w:val="009C3478"/>
    <w:rsid w:val="009C3612"/>
    <w:rsid w:val="009C3C45"/>
    <w:rsid w:val="009C3E6A"/>
    <w:rsid w:val="009C49C3"/>
    <w:rsid w:val="009C6F48"/>
    <w:rsid w:val="009D036B"/>
    <w:rsid w:val="009D1471"/>
    <w:rsid w:val="009D18A0"/>
    <w:rsid w:val="009D1A5B"/>
    <w:rsid w:val="009D2A28"/>
    <w:rsid w:val="009D33D7"/>
    <w:rsid w:val="009D3C42"/>
    <w:rsid w:val="009D40DC"/>
    <w:rsid w:val="009D51AE"/>
    <w:rsid w:val="009D5B33"/>
    <w:rsid w:val="009D5BC5"/>
    <w:rsid w:val="009E0040"/>
    <w:rsid w:val="009E2A1B"/>
    <w:rsid w:val="009E4630"/>
    <w:rsid w:val="009E6158"/>
    <w:rsid w:val="009E67C7"/>
    <w:rsid w:val="009E699C"/>
    <w:rsid w:val="009E6AAF"/>
    <w:rsid w:val="009E6FE4"/>
    <w:rsid w:val="009F0A8C"/>
    <w:rsid w:val="009F0ACB"/>
    <w:rsid w:val="009F1F90"/>
    <w:rsid w:val="009F2513"/>
    <w:rsid w:val="009F2C7B"/>
    <w:rsid w:val="009F371D"/>
    <w:rsid w:val="009F3C4E"/>
    <w:rsid w:val="009F57DC"/>
    <w:rsid w:val="009F61C2"/>
    <w:rsid w:val="009F70BB"/>
    <w:rsid w:val="009F7F72"/>
    <w:rsid w:val="00A0076E"/>
    <w:rsid w:val="00A00DAB"/>
    <w:rsid w:val="00A01579"/>
    <w:rsid w:val="00A01D29"/>
    <w:rsid w:val="00A02EAC"/>
    <w:rsid w:val="00A02EC0"/>
    <w:rsid w:val="00A032D1"/>
    <w:rsid w:val="00A0332F"/>
    <w:rsid w:val="00A04E05"/>
    <w:rsid w:val="00A05678"/>
    <w:rsid w:val="00A11801"/>
    <w:rsid w:val="00A12012"/>
    <w:rsid w:val="00A12195"/>
    <w:rsid w:val="00A13334"/>
    <w:rsid w:val="00A1384B"/>
    <w:rsid w:val="00A1568F"/>
    <w:rsid w:val="00A15BEF"/>
    <w:rsid w:val="00A160D6"/>
    <w:rsid w:val="00A16F87"/>
    <w:rsid w:val="00A21146"/>
    <w:rsid w:val="00A214E7"/>
    <w:rsid w:val="00A22225"/>
    <w:rsid w:val="00A224CD"/>
    <w:rsid w:val="00A2384D"/>
    <w:rsid w:val="00A2690E"/>
    <w:rsid w:val="00A27C56"/>
    <w:rsid w:val="00A307DF"/>
    <w:rsid w:val="00A3155B"/>
    <w:rsid w:val="00A3247E"/>
    <w:rsid w:val="00A331C4"/>
    <w:rsid w:val="00A33299"/>
    <w:rsid w:val="00A34077"/>
    <w:rsid w:val="00A346EC"/>
    <w:rsid w:val="00A347E4"/>
    <w:rsid w:val="00A34904"/>
    <w:rsid w:val="00A35B8A"/>
    <w:rsid w:val="00A3628C"/>
    <w:rsid w:val="00A36D22"/>
    <w:rsid w:val="00A36D6A"/>
    <w:rsid w:val="00A3706E"/>
    <w:rsid w:val="00A40551"/>
    <w:rsid w:val="00A42176"/>
    <w:rsid w:val="00A423E2"/>
    <w:rsid w:val="00A42AC9"/>
    <w:rsid w:val="00A439FF"/>
    <w:rsid w:val="00A446BB"/>
    <w:rsid w:val="00A44D93"/>
    <w:rsid w:val="00A46FBA"/>
    <w:rsid w:val="00A477CA"/>
    <w:rsid w:val="00A50321"/>
    <w:rsid w:val="00A50466"/>
    <w:rsid w:val="00A5072E"/>
    <w:rsid w:val="00A50732"/>
    <w:rsid w:val="00A50F9D"/>
    <w:rsid w:val="00A516EB"/>
    <w:rsid w:val="00A51B3D"/>
    <w:rsid w:val="00A51DBF"/>
    <w:rsid w:val="00A52211"/>
    <w:rsid w:val="00A53E98"/>
    <w:rsid w:val="00A5400B"/>
    <w:rsid w:val="00A54D5C"/>
    <w:rsid w:val="00A5522E"/>
    <w:rsid w:val="00A55F97"/>
    <w:rsid w:val="00A56569"/>
    <w:rsid w:val="00A56C63"/>
    <w:rsid w:val="00A56DE7"/>
    <w:rsid w:val="00A57CDE"/>
    <w:rsid w:val="00A57E71"/>
    <w:rsid w:val="00A6144C"/>
    <w:rsid w:val="00A61A5D"/>
    <w:rsid w:val="00A621D6"/>
    <w:rsid w:val="00A6348C"/>
    <w:rsid w:val="00A65233"/>
    <w:rsid w:val="00A6639B"/>
    <w:rsid w:val="00A67503"/>
    <w:rsid w:val="00A702E5"/>
    <w:rsid w:val="00A705C6"/>
    <w:rsid w:val="00A7090A"/>
    <w:rsid w:val="00A7216E"/>
    <w:rsid w:val="00A748C7"/>
    <w:rsid w:val="00A75349"/>
    <w:rsid w:val="00A76216"/>
    <w:rsid w:val="00A76A09"/>
    <w:rsid w:val="00A76CA5"/>
    <w:rsid w:val="00A77D2A"/>
    <w:rsid w:val="00A80280"/>
    <w:rsid w:val="00A8030F"/>
    <w:rsid w:val="00A80974"/>
    <w:rsid w:val="00A8112B"/>
    <w:rsid w:val="00A813CE"/>
    <w:rsid w:val="00A81BD5"/>
    <w:rsid w:val="00A838AD"/>
    <w:rsid w:val="00A84615"/>
    <w:rsid w:val="00A84BF3"/>
    <w:rsid w:val="00A85229"/>
    <w:rsid w:val="00A86DA4"/>
    <w:rsid w:val="00A905FC"/>
    <w:rsid w:val="00A90CA2"/>
    <w:rsid w:val="00A91CF9"/>
    <w:rsid w:val="00A9341B"/>
    <w:rsid w:val="00A94718"/>
    <w:rsid w:val="00A94A24"/>
    <w:rsid w:val="00A9661A"/>
    <w:rsid w:val="00A967C2"/>
    <w:rsid w:val="00AA0757"/>
    <w:rsid w:val="00AA0832"/>
    <w:rsid w:val="00AA2162"/>
    <w:rsid w:val="00AA25BF"/>
    <w:rsid w:val="00AA43AB"/>
    <w:rsid w:val="00AA5102"/>
    <w:rsid w:val="00AA5B5C"/>
    <w:rsid w:val="00AA6196"/>
    <w:rsid w:val="00AA7025"/>
    <w:rsid w:val="00AA75DA"/>
    <w:rsid w:val="00AA7EC9"/>
    <w:rsid w:val="00AA7FA6"/>
    <w:rsid w:val="00AB16B2"/>
    <w:rsid w:val="00AB2E6F"/>
    <w:rsid w:val="00AB4288"/>
    <w:rsid w:val="00AB508C"/>
    <w:rsid w:val="00AB6821"/>
    <w:rsid w:val="00AC0C2C"/>
    <w:rsid w:val="00AC28E9"/>
    <w:rsid w:val="00AC3313"/>
    <w:rsid w:val="00AC35AD"/>
    <w:rsid w:val="00AC38BA"/>
    <w:rsid w:val="00AC4EB5"/>
    <w:rsid w:val="00AC6FC0"/>
    <w:rsid w:val="00AC7605"/>
    <w:rsid w:val="00AC7A91"/>
    <w:rsid w:val="00AC7CC8"/>
    <w:rsid w:val="00AC7D11"/>
    <w:rsid w:val="00AD0198"/>
    <w:rsid w:val="00AD03A9"/>
    <w:rsid w:val="00AD0E70"/>
    <w:rsid w:val="00AD0EE9"/>
    <w:rsid w:val="00AD0F5E"/>
    <w:rsid w:val="00AD24BE"/>
    <w:rsid w:val="00AD4B02"/>
    <w:rsid w:val="00AD5747"/>
    <w:rsid w:val="00AD693E"/>
    <w:rsid w:val="00AD774D"/>
    <w:rsid w:val="00AE006A"/>
    <w:rsid w:val="00AE0182"/>
    <w:rsid w:val="00AE1802"/>
    <w:rsid w:val="00AE32B2"/>
    <w:rsid w:val="00AE566B"/>
    <w:rsid w:val="00AE59F4"/>
    <w:rsid w:val="00AE6297"/>
    <w:rsid w:val="00AE70B0"/>
    <w:rsid w:val="00AE7FA9"/>
    <w:rsid w:val="00AF07AC"/>
    <w:rsid w:val="00AF19C7"/>
    <w:rsid w:val="00AF20D7"/>
    <w:rsid w:val="00AF2E31"/>
    <w:rsid w:val="00AF3781"/>
    <w:rsid w:val="00AF416D"/>
    <w:rsid w:val="00AF43F8"/>
    <w:rsid w:val="00AF4DB2"/>
    <w:rsid w:val="00AF4F90"/>
    <w:rsid w:val="00AF5A8F"/>
    <w:rsid w:val="00AF5E02"/>
    <w:rsid w:val="00AF627A"/>
    <w:rsid w:val="00AF7B0C"/>
    <w:rsid w:val="00AF7F39"/>
    <w:rsid w:val="00B002FA"/>
    <w:rsid w:val="00B01356"/>
    <w:rsid w:val="00B0138B"/>
    <w:rsid w:val="00B01520"/>
    <w:rsid w:val="00B03064"/>
    <w:rsid w:val="00B03335"/>
    <w:rsid w:val="00B04D5E"/>
    <w:rsid w:val="00B0772A"/>
    <w:rsid w:val="00B11252"/>
    <w:rsid w:val="00B11A1C"/>
    <w:rsid w:val="00B12175"/>
    <w:rsid w:val="00B136EB"/>
    <w:rsid w:val="00B164E9"/>
    <w:rsid w:val="00B20290"/>
    <w:rsid w:val="00B20316"/>
    <w:rsid w:val="00B20C24"/>
    <w:rsid w:val="00B20C9D"/>
    <w:rsid w:val="00B20E1B"/>
    <w:rsid w:val="00B21FC0"/>
    <w:rsid w:val="00B227B2"/>
    <w:rsid w:val="00B31810"/>
    <w:rsid w:val="00B31BBF"/>
    <w:rsid w:val="00B32098"/>
    <w:rsid w:val="00B32626"/>
    <w:rsid w:val="00B375F3"/>
    <w:rsid w:val="00B37BB9"/>
    <w:rsid w:val="00B4025D"/>
    <w:rsid w:val="00B4047D"/>
    <w:rsid w:val="00B40A10"/>
    <w:rsid w:val="00B40CD9"/>
    <w:rsid w:val="00B4204D"/>
    <w:rsid w:val="00B42FF0"/>
    <w:rsid w:val="00B43447"/>
    <w:rsid w:val="00B449AC"/>
    <w:rsid w:val="00B451D0"/>
    <w:rsid w:val="00B459EB"/>
    <w:rsid w:val="00B45C78"/>
    <w:rsid w:val="00B464A4"/>
    <w:rsid w:val="00B46671"/>
    <w:rsid w:val="00B47970"/>
    <w:rsid w:val="00B47BBD"/>
    <w:rsid w:val="00B50421"/>
    <w:rsid w:val="00B5220A"/>
    <w:rsid w:val="00B52657"/>
    <w:rsid w:val="00B528FA"/>
    <w:rsid w:val="00B53F0F"/>
    <w:rsid w:val="00B54568"/>
    <w:rsid w:val="00B55CFA"/>
    <w:rsid w:val="00B56148"/>
    <w:rsid w:val="00B568C8"/>
    <w:rsid w:val="00B57995"/>
    <w:rsid w:val="00B60127"/>
    <w:rsid w:val="00B60157"/>
    <w:rsid w:val="00B60900"/>
    <w:rsid w:val="00B61171"/>
    <w:rsid w:val="00B61B35"/>
    <w:rsid w:val="00B61CCB"/>
    <w:rsid w:val="00B61E52"/>
    <w:rsid w:val="00B62733"/>
    <w:rsid w:val="00B6287D"/>
    <w:rsid w:val="00B62EB0"/>
    <w:rsid w:val="00B630E5"/>
    <w:rsid w:val="00B64A06"/>
    <w:rsid w:val="00B65BB4"/>
    <w:rsid w:val="00B66C42"/>
    <w:rsid w:val="00B67021"/>
    <w:rsid w:val="00B709A4"/>
    <w:rsid w:val="00B744CD"/>
    <w:rsid w:val="00B75057"/>
    <w:rsid w:val="00B75B4A"/>
    <w:rsid w:val="00B75DA6"/>
    <w:rsid w:val="00B7659D"/>
    <w:rsid w:val="00B7758F"/>
    <w:rsid w:val="00B7782A"/>
    <w:rsid w:val="00B77B1E"/>
    <w:rsid w:val="00B801FE"/>
    <w:rsid w:val="00B80BBC"/>
    <w:rsid w:val="00B80BFE"/>
    <w:rsid w:val="00B82652"/>
    <w:rsid w:val="00B82798"/>
    <w:rsid w:val="00B83879"/>
    <w:rsid w:val="00B84150"/>
    <w:rsid w:val="00B844D5"/>
    <w:rsid w:val="00B86671"/>
    <w:rsid w:val="00B87202"/>
    <w:rsid w:val="00B87529"/>
    <w:rsid w:val="00B8760C"/>
    <w:rsid w:val="00B900B0"/>
    <w:rsid w:val="00B9043D"/>
    <w:rsid w:val="00B90C3F"/>
    <w:rsid w:val="00B90FA1"/>
    <w:rsid w:val="00B910C3"/>
    <w:rsid w:val="00B9275E"/>
    <w:rsid w:val="00B92E38"/>
    <w:rsid w:val="00B94CB7"/>
    <w:rsid w:val="00B969E0"/>
    <w:rsid w:val="00B9718B"/>
    <w:rsid w:val="00B97591"/>
    <w:rsid w:val="00BA037D"/>
    <w:rsid w:val="00BA1532"/>
    <w:rsid w:val="00BA160A"/>
    <w:rsid w:val="00BA1744"/>
    <w:rsid w:val="00BA17D7"/>
    <w:rsid w:val="00BA1888"/>
    <w:rsid w:val="00BA1C5C"/>
    <w:rsid w:val="00BA20F5"/>
    <w:rsid w:val="00BA297E"/>
    <w:rsid w:val="00BA2F41"/>
    <w:rsid w:val="00BA3FD8"/>
    <w:rsid w:val="00BA47AC"/>
    <w:rsid w:val="00BA4BFA"/>
    <w:rsid w:val="00BA4FD9"/>
    <w:rsid w:val="00BB1504"/>
    <w:rsid w:val="00BB2250"/>
    <w:rsid w:val="00BB2EA4"/>
    <w:rsid w:val="00BB420B"/>
    <w:rsid w:val="00BB43C0"/>
    <w:rsid w:val="00BB49C3"/>
    <w:rsid w:val="00BB50DB"/>
    <w:rsid w:val="00BB51B2"/>
    <w:rsid w:val="00BB5821"/>
    <w:rsid w:val="00BB5D98"/>
    <w:rsid w:val="00BB648C"/>
    <w:rsid w:val="00BB76CF"/>
    <w:rsid w:val="00BC020B"/>
    <w:rsid w:val="00BC064C"/>
    <w:rsid w:val="00BC0FDA"/>
    <w:rsid w:val="00BC131F"/>
    <w:rsid w:val="00BC1CEA"/>
    <w:rsid w:val="00BC1CEF"/>
    <w:rsid w:val="00BC67BD"/>
    <w:rsid w:val="00BC68C0"/>
    <w:rsid w:val="00BC7F8C"/>
    <w:rsid w:val="00BD0603"/>
    <w:rsid w:val="00BD0F82"/>
    <w:rsid w:val="00BD1169"/>
    <w:rsid w:val="00BD254E"/>
    <w:rsid w:val="00BD4032"/>
    <w:rsid w:val="00BD4837"/>
    <w:rsid w:val="00BD48C7"/>
    <w:rsid w:val="00BD4A70"/>
    <w:rsid w:val="00BD6A02"/>
    <w:rsid w:val="00BD739E"/>
    <w:rsid w:val="00BE1A67"/>
    <w:rsid w:val="00BE2C97"/>
    <w:rsid w:val="00BE3376"/>
    <w:rsid w:val="00BE3572"/>
    <w:rsid w:val="00BE42A2"/>
    <w:rsid w:val="00BE46E4"/>
    <w:rsid w:val="00BE5ADB"/>
    <w:rsid w:val="00BE5C11"/>
    <w:rsid w:val="00BE5EFA"/>
    <w:rsid w:val="00BF070D"/>
    <w:rsid w:val="00BF13A2"/>
    <w:rsid w:val="00BF1630"/>
    <w:rsid w:val="00BF1663"/>
    <w:rsid w:val="00BF1F64"/>
    <w:rsid w:val="00BF32CA"/>
    <w:rsid w:val="00BF32D6"/>
    <w:rsid w:val="00BF3898"/>
    <w:rsid w:val="00BF38A5"/>
    <w:rsid w:val="00BF3941"/>
    <w:rsid w:val="00BF3C67"/>
    <w:rsid w:val="00BF3CAB"/>
    <w:rsid w:val="00BF3CD4"/>
    <w:rsid w:val="00BF42C5"/>
    <w:rsid w:val="00BF5CCB"/>
    <w:rsid w:val="00BF7B40"/>
    <w:rsid w:val="00C00E38"/>
    <w:rsid w:val="00C00E4D"/>
    <w:rsid w:val="00C01546"/>
    <w:rsid w:val="00C01558"/>
    <w:rsid w:val="00C01883"/>
    <w:rsid w:val="00C026EE"/>
    <w:rsid w:val="00C027A2"/>
    <w:rsid w:val="00C03059"/>
    <w:rsid w:val="00C04A92"/>
    <w:rsid w:val="00C04B57"/>
    <w:rsid w:val="00C07FBF"/>
    <w:rsid w:val="00C1165B"/>
    <w:rsid w:val="00C11918"/>
    <w:rsid w:val="00C1264C"/>
    <w:rsid w:val="00C131A0"/>
    <w:rsid w:val="00C15281"/>
    <w:rsid w:val="00C2029E"/>
    <w:rsid w:val="00C21249"/>
    <w:rsid w:val="00C21E63"/>
    <w:rsid w:val="00C21EF8"/>
    <w:rsid w:val="00C2210F"/>
    <w:rsid w:val="00C2282A"/>
    <w:rsid w:val="00C22BF3"/>
    <w:rsid w:val="00C24961"/>
    <w:rsid w:val="00C25765"/>
    <w:rsid w:val="00C262CA"/>
    <w:rsid w:val="00C267E6"/>
    <w:rsid w:val="00C26C23"/>
    <w:rsid w:val="00C26DFC"/>
    <w:rsid w:val="00C27393"/>
    <w:rsid w:val="00C276DC"/>
    <w:rsid w:val="00C314CC"/>
    <w:rsid w:val="00C32964"/>
    <w:rsid w:val="00C32D3C"/>
    <w:rsid w:val="00C35719"/>
    <w:rsid w:val="00C36BAB"/>
    <w:rsid w:val="00C37BDE"/>
    <w:rsid w:val="00C40EDE"/>
    <w:rsid w:val="00C40F9C"/>
    <w:rsid w:val="00C41E19"/>
    <w:rsid w:val="00C42A96"/>
    <w:rsid w:val="00C42ABE"/>
    <w:rsid w:val="00C42E59"/>
    <w:rsid w:val="00C44C2A"/>
    <w:rsid w:val="00C4779E"/>
    <w:rsid w:val="00C502F7"/>
    <w:rsid w:val="00C513CF"/>
    <w:rsid w:val="00C51E31"/>
    <w:rsid w:val="00C51EF7"/>
    <w:rsid w:val="00C5301C"/>
    <w:rsid w:val="00C5420B"/>
    <w:rsid w:val="00C552D0"/>
    <w:rsid w:val="00C55637"/>
    <w:rsid w:val="00C5614C"/>
    <w:rsid w:val="00C56CBE"/>
    <w:rsid w:val="00C57EB7"/>
    <w:rsid w:val="00C57FCC"/>
    <w:rsid w:val="00C60E12"/>
    <w:rsid w:val="00C61150"/>
    <w:rsid w:val="00C61440"/>
    <w:rsid w:val="00C6154A"/>
    <w:rsid w:val="00C621D1"/>
    <w:rsid w:val="00C6232A"/>
    <w:rsid w:val="00C628E7"/>
    <w:rsid w:val="00C62BFD"/>
    <w:rsid w:val="00C633CA"/>
    <w:rsid w:val="00C6529E"/>
    <w:rsid w:val="00C6725A"/>
    <w:rsid w:val="00C70195"/>
    <w:rsid w:val="00C705F0"/>
    <w:rsid w:val="00C70C7F"/>
    <w:rsid w:val="00C71A33"/>
    <w:rsid w:val="00C72920"/>
    <w:rsid w:val="00C7537A"/>
    <w:rsid w:val="00C76733"/>
    <w:rsid w:val="00C76998"/>
    <w:rsid w:val="00C769BA"/>
    <w:rsid w:val="00C802CC"/>
    <w:rsid w:val="00C81037"/>
    <w:rsid w:val="00C8192F"/>
    <w:rsid w:val="00C8216E"/>
    <w:rsid w:val="00C82AE3"/>
    <w:rsid w:val="00C83FED"/>
    <w:rsid w:val="00C844AA"/>
    <w:rsid w:val="00C85876"/>
    <w:rsid w:val="00C860C9"/>
    <w:rsid w:val="00C90BC7"/>
    <w:rsid w:val="00C90D77"/>
    <w:rsid w:val="00C91375"/>
    <w:rsid w:val="00C9180A"/>
    <w:rsid w:val="00C96167"/>
    <w:rsid w:val="00C963D1"/>
    <w:rsid w:val="00C96E14"/>
    <w:rsid w:val="00C97A1C"/>
    <w:rsid w:val="00CA08F9"/>
    <w:rsid w:val="00CA1050"/>
    <w:rsid w:val="00CA123B"/>
    <w:rsid w:val="00CA1403"/>
    <w:rsid w:val="00CA2ED3"/>
    <w:rsid w:val="00CA2FC4"/>
    <w:rsid w:val="00CA3854"/>
    <w:rsid w:val="00CA42AF"/>
    <w:rsid w:val="00CA671B"/>
    <w:rsid w:val="00CA6A6C"/>
    <w:rsid w:val="00CA6F03"/>
    <w:rsid w:val="00CA7132"/>
    <w:rsid w:val="00CA7D0A"/>
    <w:rsid w:val="00CB0A09"/>
    <w:rsid w:val="00CB104D"/>
    <w:rsid w:val="00CB14EC"/>
    <w:rsid w:val="00CB17F2"/>
    <w:rsid w:val="00CB18C2"/>
    <w:rsid w:val="00CB30A0"/>
    <w:rsid w:val="00CB36CC"/>
    <w:rsid w:val="00CB497D"/>
    <w:rsid w:val="00CB4A10"/>
    <w:rsid w:val="00CB67C9"/>
    <w:rsid w:val="00CB7689"/>
    <w:rsid w:val="00CB77EF"/>
    <w:rsid w:val="00CB7886"/>
    <w:rsid w:val="00CB7E75"/>
    <w:rsid w:val="00CC058D"/>
    <w:rsid w:val="00CC0C3A"/>
    <w:rsid w:val="00CC1D8D"/>
    <w:rsid w:val="00CC1EA1"/>
    <w:rsid w:val="00CC2238"/>
    <w:rsid w:val="00CC24CE"/>
    <w:rsid w:val="00CC35BE"/>
    <w:rsid w:val="00CC3A96"/>
    <w:rsid w:val="00CC4CC3"/>
    <w:rsid w:val="00CC597C"/>
    <w:rsid w:val="00CC71C6"/>
    <w:rsid w:val="00CC7EDE"/>
    <w:rsid w:val="00CD1E70"/>
    <w:rsid w:val="00CD1EAA"/>
    <w:rsid w:val="00CD24A3"/>
    <w:rsid w:val="00CD2D3F"/>
    <w:rsid w:val="00CD364C"/>
    <w:rsid w:val="00CD3EDD"/>
    <w:rsid w:val="00CD51D4"/>
    <w:rsid w:val="00CD55DF"/>
    <w:rsid w:val="00CD641C"/>
    <w:rsid w:val="00CD6573"/>
    <w:rsid w:val="00CD6934"/>
    <w:rsid w:val="00CD6FA0"/>
    <w:rsid w:val="00CE0348"/>
    <w:rsid w:val="00CE08B5"/>
    <w:rsid w:val="00CE1539"/>
    <w:rsid w:val="00CE18FE"/>
    <w:rsid w:val="00CE1AFF"/>
    <w:rsid w:val="00CE2714"/>
    <w:rsid w:val="00CE2D42"/>
    <w:rsid w:val="00CE3C78"/>
    <w:rsid w:val="00CE5748"/>
    <w:rsid w:val="00CE5E92"/>
    <w:rsid w:val="00CE625C"/>
    <w:rsid w:val="00CE6C3B"/>
    <w:rsid w:val="00CE7204"/>
    <w:rsid w:val="00CE74CF"/>
    <w:rsid w:val="00CE778C"/>
    <w:rsid w:val="00CE7A28"/>
    <w:rsid w:val="00CE7F5F"/>
    <w:rsid w:val="00CF041B"/>
    <w:rsid w:val="00CF0841"/>
    <w:rsid w:val="00CF0D66"/>
    <w:rsid w:val="00CF1D52"/>
    <w:rsid w:val="00CF1FF9"/>
    <w:rsid w:val="00CF29CD"/>
    <w:rsid w:val="00CF4163"/>
    <w:rsid w:val="00CF5293"/>
    <w:rsid w:val="00CF7F86"/>
    <w:rsid w:val="00D00F6A"/>
    <w:rsid w:val="00D01231"/>
    <w:rsid w:val="00D01872"/>
    <w:rsid w:val="00D018DF"/>
    <w:rsid w:val="00D0437C"/>
    <w:rsid w:val="00D05BB6"/>
    <w:rsid w:val="00D0604F"/>
    <w:rsid w:val="00D0618F"/>
    <w:rsid w:val="00D1070F"/>
    <w:rsid w:val="00D1096A"/>
    <w:rsid w:val="00D11112"/>
    <w:rsid w:val="00D115B1"/>
    <w:rsid w:val="00D11E1D"/>
    <w:rsid w:val="00D12D03"/>
    <w:rsid w:val="00D13484"/>
    <w:rsid w:val="00D14F80"/>
    <w:rsid w:val="00D155BF"/>
    <w:rsid w:val="00D1615F"/>
    <w:rsid w:val="00D21449"/>
    <w:rsid w:val="00D2243B"/>
    <w:rsid w:val="00D2284D"/>
    <w:rsid w:val="00D228D9"/>
    <w:rsid w:val="00D22A90"/>
    <w:rsid w:val="00D22DED"/>
    <w:rsid w:val="00D22FD3"/>
    <w:rsid w:val="00D23B39"/>
    <w:rsid w:val="00D23C0E"/>
    <w:rsid w:val="00D24221"/>
    <w:rsid w:val="00D24589"/>
    <w:rsid w:val="00D24A2A"/>
    <w:rsid w:val="00D254A6"/>
    <w:rsid w:val="00D2550B"/>
    <w:rsid w:val="00D269B7"/>
    <w:rsid w:val="00D27FBF"/>
    <w:rsid w:val="00D30389"/>
    <w:rsid w:val="00D304F9"/>
    <w:rsid w:val="00D312CC"/>
    <w:rsid w:val="00D32D2F"/>
    <w:rsid w:val="00D32E7D"/>
    <w:rsid w:val="00D344BE"/>
    <w:rsid w:val="00D37319"/>
    <w:rsid w:val="00D37803"/>
    <w:rsid w:val="00D415DA"/>
    <w:rsid w:val="00D42193"/>
    <w:rsid w:val="00D42CAF"/>
    <w:rsid w:val="00D456A1"/>
    <w:rsid w:val="00D45D71"/>
    <w:rsid w:val="00D45E41"/>
    <w:rsid w:val="00D467A9"/>
    <w:rsid w:val="00D47C73"/>
    <w:rsid w:val="00D504DE"/>
    <w:rsid w:val="00D512FF"/>
    <w:rsid w:val="00D5180A"/>
    <w:rsid w:val="00D5222A"/>
    <w:rsid w:val="00D529FE"/>
    <w:rsid w:val="00D54574"/>
    <w:rsid w:val="00D54CB9"/>
    <w:rsid w:val="00D55501"/>
    <w:rsid w:val="00D55F7F"/>
    <w:rsid w:val="00D56486"/>
    <w:rsid w:val="00D565AF"/>
    <w:rsid w:val="00D56C84"/>
    <w:rsid w:val="00D56FAF"/>
    <w:rsid w:val="00D57A0C"/>
    <w:rsid w:val="00D60776"/>
    <w:rsid w:val="00D61B21"/>
    <w:rsid w:val="00D62DD2"/>
    <w:rsid w:val="00D63850"/>
    <w:rsid w:val="00D647EE"/>
    <w:rsid w:val="00D67333"/>
    <w:rsid w:val="00D67399"/>
    <w:rsid w:val="00D678BC"/>
    <w:rsid w:val="00D67A9E"/>
    <w:rsid w:val="00D67E63"/>
    <w:rsid w:val="00D701F7"/>
    <w:rsid w:val="00D7050A"/>
    <w:rsid w:val="00D74812"/>
    <w:rsid w:val="00D76241"/>
    <w:rsid w:val="00D76BE8"/>
    <w:rsid w:val="00D7719C"/>
    <w:rsid w:val="00D779E5"/>
    <w:rsid w:val="00D80820"/>
    <w:rsid w:val="00D80B59"/>
    <w:rsid w:val="00D80F85"/>
    <w:rsid w:val="00D810FE"/>
    <w:rsid w:val="00D8223E"/>
    <w:rsid w:val="00D82770"/>
    <w:rsid w:val="00D835B1"/>
    <w:rsid w:val="00D84AD4"/>
    <w:rsid w:val="00D852A8"/>
    <w:rsid w:val="00D86245"/>
    <w:rsid w:val="00D91D93"/>
    <w:rsid w:val="00D93944"/>
    <w:rsid w:val="00D93FF9"/>
    <w:rsid w:val="00D97402"/>
    <w:rsid w:val="00DA0522"/>
    <w:rsid w:val="00DA0555"/>
    <w:rsid w:val="00DA067C"/>
    <w:rsid w:val="00DA09F1"/>
    <w:rsid w:val="00DA2983"/>
    <w:rsid w:val="00DA2D0A"/>
    <w:rsid w:val="00DA33A5"/>
    <w:rsid w:val="00DA47B1"/>
    <w:rsid w:val="00DA4BC5"/>
    <w:rsid w:val="00DA4E46"/>
    <w:rsid w:val="00DA5CBE"/>
    <w:rsid w:val="00DA611F"/>
    <w:rsid w:val="00DA6EE1"/>
    <w:rsid w:val="00DB0063"/>
    <w:rsid w:val="00DB09D1"/>
    <w:rsid w:val="00DB2A90"/>
    <w:rsid w:val="00DB2D50"/>
    <w:rsid w:val="00DB32EF"/>
    <w:rsid w:val="00DB336E"/>
    <w:rsid w:val="00DB3AF2"/>
    <w:rsid w:val="00DB47D3"/>
    <w:rsid w:val="00DB7743"/>
    <w:rsid w:val="00DB7FC6"/>
    <w:rsid w:val="00DC03F9"/>
    <w:rsid w:val="00DC060F"/>
    <w:rsid w:val="00DC06C6"/>
    <w:rsid w:val="00DC140C"/>
    <w:rsid w:val="00DC19F6"/>
    <w:rsid w:val="00DC1BB1"/>
    <w:rsid w:val="00DC2CF5"/>
    <w:rsid w:val="00DC301D"/>
    <w:rsid w:val="00DC55D4"/>
    <w:rsid w:val="00DC55DC"/>
    <w:rsid w:val="00DC58FD"/>
    <w:rsid w:val="00DC590D"/>
    <w:rsid w:val="00DC5FD8"/>
    <w:rsid w:val="00DC746E"/>
    <w:rsid w:val="00DD1649"/>
    <w:rsid w:val="00DD25F0"/>
    <w:rsid w:val="00DD289D"/>
    <w:rsid w:val="00DD2C2C"/>
    <w:rsid w:val="00DD49C5"/>
    <w:rsid w:val="00DD4FB5"/>
    <w:rsid w:val="00DD56DC"/>
    <w:rsid w:val="00DD6A94"/>
    <w:rsid w:val="00DD6F44"/>
    <w:rsid w:val="00DD758D"/>
    <w:rsid w:val="00DD758F"/>
    <w:rsid w:val="00DE0A8D"/>
    <w:rsid w:val="00DE0E42"/>
    <w:rsid w:val="00DE111D"/>
    <w:rsid w:val="00DE1E5D"/>
    <w:rsid w:val="00DE210D"/>
    <w:rsid w:val="00DE2F88"/>
    <w:rsid w:val="00DE310A"/>
    <w:rsid w:val="00DE387A"/>
    <w:rsid w:val="00DE4632"/>
    <w:rsid w:val="00DE4A8E"/>
    <w:rsid w:val="00DE55A1"/>
    <w:rsid w:val="00DE5F29"/>
    <w:rsid w:val="00DE5F91"/>
    <w:rsid w:val="00DF0A4B"/>
    <w:rsid w:val="00DF0BD1"/>
    <w:rsid w:val="00DF193D"/>
    <w:rsid w:val="00DF25DC"/>
    <w:rsid w:val="00DF27D4"/>
    <w:rsid w:val="00DF52A7"/>
    <w:rsid w:val="00DF7053"/>
    <w:rsid w:val="00E005E0"/>
    <w:rsid w:val="00E02E49"/>
    <w:rsid w:val="00E074D2"/>
    <w:rsid w:val="00E10BCB"/>
    <w:rsid w:val="00E10E3A"/>
    <w:rsid w:val="00E10E49"/>
    <w:rsid w:val="00E11BA4"/>
    <w:rsid w:val="00E13D4A"/>
    <w:rsid w:val="00E15979"/>
    <w:rsid w:val="00E164FE"/>
    <w:rsid w:val="00E2238F"/>
    <w:rsid w:val="00E22B3E"/>
    <w:rsid w:val="00E22EB9"/>
    <w:rsid w:val="00E22FBD"/>
    <w:rsid w:val="00E2338F"/>
    <w:rsid w:val="00E23518"/>
    <w:rsid w:val="00E245C2"/>
    <w:rsid w:val="00E258C4"/>
    <w:rsid w:val="00E26EF5"/>
    <w:rsid w:val="00E31F1E"/>
    <w:rsid w:val="00E324F6"/>
    <w:rsid w:val="00E34FEB"/>
    <w:rsid w:val="00E357B0"/>
    <w:rsid w:val="00E37451"/>
    <w:rsid w:val="00E3758B"/>
    <w:rsid w:val="00E40E39"/>
    <w:rsid w:val="00E435F8"/>
    <w:rsid w:val="00E437CE"/>
    <w:rsid w:val="00E43A8D"/>
    <w:rsid w:val="00E43C1A"/>
    <w:rsid w:val="00E44425"/>
    <w:rsid w:val="00E448A9"/>
    <w:rsid w:val="00E45BFA"/>
    <w:rsid w:val="00E47579"/>
    <w:rsid w:val="00E47A01"/>
    <w:rsid w:val="00E52B5C"/>
    <w:rsid w:val="00E53E5A"/>
    <w:rsid w:val="00E5440D"/>
    <w:rsid w:val="00E5451F"/>
    <w:rsid w:val="00E54F8B"/>
    <w:rsid w:val="00E57847"/>
    <w:rsid w:val="00E60826"/>
    <w:rsid w:val="00E61085"/>
    <w:rsid w:val="00E622E2"/>
    <w:rsid w:val="00E629E8"/>
    <w:rsid w:val="00E636C6"/>
    <w:rsid w:val="00E64921"/>
    <w:rsid w:val="00E64B3C"/>
    <w:rsid w:val="00E6747C"/>
    <w:rsid w:val="00E6787F"/>
    <w:rsid w:val="00E7009A"/>
    <w:rsid w:val="00E70564"/>
    <w:rsid w:val="00E71178"/>
    <w:rsid w:val="00E71258"/>
    <w:rsid w:val="00E71DDA"/>
    <w:rsid w:val="00E726C5"/>
    <w:rsid w:val="00E72727"/>
    <w:rsid w:val="00E72D16"/>
    <w:rsid w:val="00E738A5"/>
    <w:rsid w:val="00E739E8"/>
    <w:rsid w:val="00E751AD"/>
    <w:rsid w:val="00E758D7"/>
    <w:rsid w:val="00E75B72"/>
    <w:rsid w:val="00E76071"/>
    <w:rsid w:val="00E76583"/>
    <w:rsid w:val="00E7706F"/>
    <w:rsid w:val="00E7753A"/>
    <w:rsid w:val="00E77FC4"/>
    <w:rsid w:val="00E8136F"/>
    <w:rsid w:val="00E81496"/>
    <w:rsid w:val="00E822C1"/>
    <w:rsid w:val="00E828CE"/>
    <w:rsid w:val="00E83DB9"/>
    <w:rsid w:val="00E844C7"/>
    <w:rsid w:val="00E85465"/>
    <w:rsid w:val="00E9182B"/>
    <w:rsid w:val="00E93E7F"/>
    <w:rsid w:val="00E947AB"/>
    <w:rsid w:val="00E94BF2"/>
    <w:rsid w:val="00E95141"/>
    <w:rsid w:val="00E9593B"/>
    <w:rsid w:val="00E95AFA"/>
    <w:rsid w:val="00E9642E"/>
    <w:rsid w:val="00E96C68"/>
    <w:rsid w:val="00E96F41"/>
    <w:rsid w:val="00E97B79"/>
    <w:rsid w:val="00EA0041"/>
    <w:rsid w:val="00EA14DA"/>
    <w:rsid w:val="00EA429F"/>
    <w:rsid w:val="00EA4586"/>
    <w:rsid w:val="00EA768E"/>
    <w:rsid w:val="00EB08AF"/>
    <w:rsid w:val="00EB0A31"/>
    <w:rsid w:val="00EB0A34"/>
    <w:rsid w:val="00EB345F"/>
    <w:rsid w:val="00EB3561"/>
    <w:rsid w:val="00EB43D5"/>
    <w:rsid w:val="00EB47B5"/>
    <w:rsid w:val="00EB7CCD"/>
    <w:rsid w:val="00EC0F8A"/>
    <w:rsid w:val="00EC1302"/>
    <w:rsid w:val="00EC1396"/>
    <w:rsid w:val="00EC1756"/>
    <w:rsid w:val="00EC1CB3"/>
    <w:rsid w:val="00EC2826"/>
    <w:rsid w:val="00EC2F99"/>
    <w:rsid w:val="00EC51F1"/>
    <w:rsid w:val="00EC5623"/>
    <w:rsid w:val="00EC6830"/>
    <w:rsid w:val="00EC6C6A"/>
    <w:rsid w:val="00EC6E19"/>
    <w:rsid w:val="00EC73B6"/>
    <w:rsid w:val="00EC78B2"/>
    <w:rsid w:val="00ED0BEA"/>
    <w:rsid w:val="00ED43DB"/>
    <w:rsid w:val="00ED523D"/>
    <w:rsid w:val="00ED58A8"/>
    <w:rsid w:val="00ED605F"/>
    <w:rsid w:val="00ED70D2"/>
    <w:rsid w:val="00EE1058"/>
    <w:rsid w:val="00EE18D0"/>
    <w:rsid w:val="00EE1A3C"/>
    <w:rsid w:val="00EE39E2"/>
    <w:rsid w:val="00EE3B2D"/>
    <w:rsid w:val="00EE433F"/>
    <w:rsid w:val="00EE4ADF"/>
    <w:rsid w:val="00EE5C7F"/>
    <w:rsid w:val="00EE702F"/>
    <w:rsid w:val="00EF0269"/>
    <w:rsid w:val="00EF0710"/>
    <w:rsid w:val="00EF1408"/>
    <w:rsid w:val="00EF29AC"/>
    <w:rsid w:val="00EF2DF5"/>
    <w:rsid w:val="00EF35ED"/>
    <w:rsid w:val="00EF3C15"/>
    <w:rsid w:val="00EF6325"/>
    <w:rsid w:val="00F00B27"/>
    <w:rsid w:val="00F0154D"/>
    <w:rsid w:val="00F015FC"/>
    <w:rsid w:val="00F02157"/>
    <w:rsid w:val="00F0246F"/>
    <w:rsid w:val="00F03896"/>
    <w:rsid w:val="00F03A2C"/>
    <w:rsid w:val="00F04FB9"/>
    <w:rsid w:val="00F05097"/>
    <w:rsid w:val="00F06216"/>
    <w:rsid w:val="00F06F59"/>
    <w:rsid w:val="00F079DC"/>
    <w:rsid w:val="00F106C0"/>
    <w:rsid w:val="00F108E4"/>
    <w:rsid w:val="00F1112A"/>
    <w:rsid w:val="00F11AAB"/>
    <w:rsid w:val="00F11CAF"/>
    <w:rsid w:val="00F13177"/>
    <w:rsid w:val="00F13318"/>
    <w:rsid w:val="00F1524B"/>
    <w:rsid w:val="00F1609B"/>
    <w:rsid w:val="00F17079"/>
    <w:rsid w:val="00F17734"/>
    <w:rsid w:val="00F2066B"/>
    <w:rsid w:val="00F206CC"/>
    <w:rsid w:val="00F21A46"/>
    <w:rsid w:val="00F22342"/>
    <w:rsid w:val="00F2302A"/>
    <w:rsid w:val="00F230E5"/>
    <w:rsid w:val="00F23895"/>
    <w:rsid w:val="00F25A82"/>
    <w:rsid w:val="00F265BC"/>
    <w:rsid w:val="00F27B65"/>
    <w:rsid w:val="00F30828"/>
    <w:rsid w:val="00F30B35"/>
    <w:rsid w:val="00F30DF1"/>
    <w:rsid w:val="00F3238E"/>
    <w:rsid w:val="00F33F8F"/>
    <w:rsid w:val="00F340BE"/>
    <w:rsid w:val="00F343CA"/>
    <w:rsid w:val="00F37875"/>
    <w:rsid w:val="00F41425"/>
    <w:rsid w:val="00F41533"/>
    <w:rsid w:val="00F4167F"/>
    <w:rsid w:val="00F41DF1"/>
    <w:rsid w:val="00F42A09"/>
    <w:rsid w:val="00F45B73"/>
    <w:rsid w:val="00F469F6"/>
    <w:rsid w:val="00F477A9"/>
    <w:rsid w:val="00F47835"/>
    <w:rsid w:val="00F5069A"/>
    <w:rsid w:val="00F5211E"/>
    <w:rsid w:val="00F522CD"/>
    <w:rsid w:val="00F53811"/>
    <w:rsid w:val="00F55409"/>
    <w:rsid w:val="00F55AE5"/>
    <w:rsid w:val="00F56985"/>
    <w:rsid w:val="00F57692"/>
    <w:rsid w:val="00F5787E"/>
    <w:rsid w:val="00F60EE8"/>
    <w:rsid w:val="00F61E21"/>
    <w:rsid w:val="00F63623"/>
    <w:rsid w:val="00F64616"/>
    <w:rsid w:val="00F64698"/>
    <w:rsid w:val="00F64F5F"/>
    <w:rsid w:val="00F65F53"/>
    <w:rsid w:val="00F66B56"/>
    <w:rsid w:val="00F676D7"/>
    <w:rsid w:val="00F67B97"/>
    <w:rsid w:val="00F70B36"/>
    <w:rsid w:val="00F70D4F"/>
    <w:rsid w:val="00F70FAB"/>
    <w:rsid w:val="00F71EE2"/>
    <w:rsid w:val="00F720DB"/>
    <w:rsid w:val="00F72825"/>
    <w:rsid w:val="00F7367F"/>
    <w:rsid w:val="00F73779"/>
    <w:rsid w:val="00F74751"/>
    <w:rsid w:val="00F74904"/>
    <w:rsid w:val="00F74CE8"/>
    <w:rsid w:val="00F74F31"/>
    <w:rsid w:val="00F754D1"/>
    <w:rsid w:val="00F758E8"/>
    <w:rsid w:val="00F75A52"/>
    <w:rsid w:val="00F767A4"/>
    <w:rsid w:val="00F80854"/>
    <w:rsid w:val="00F808F5"/>
    <w:rsid w:val="00F80C15"/>
    <w:rsid w:val="00F83FFA"/>
    <w:rsid w:val="00F847C9"/>
    <w:rsid w:val="00F85B4E"/>
    <w:rsid w:val="00F90CAC"/>
    <w:rsid w:val="00F91911"/>
    <w:rsid w:val="00F9291D"/>
    <w:rsid w:val="00F93301"/>
    <w:rsid w:val="00F93333"/>
    <w:rsid w:val="00F94115"/>
    <w:rsid w:val="00F95164"/>
    <w:rsid w:val="00F952E4"/>
    <w:rsid w:val="00F96D52"/>
    <w:rsid w:val="00FA147F"/>
    <w:rsid w:val="00FA1CA2"/>
    <w:rsid w:val="00FA26F2"/>
    <w:rsid w:val="00FA3D36"/>
    <w:rsid w:val="00FA4228"/>
    <w:rsid w:val="00FA51BE"/>
    <w:rsid w:val="00FA528F"/>
    <w:rsid w:val="00FA5725"/>
    <w:rsid w:val="00FB0476"/>
    <w:rsid w:val="00FB0EA4"/>
    <w:rsid w:val="00FB29D0"/>
    <w:rsid w:val="00FB43D2"/>
    <w:rsid w:val="00FB4B96"/>
    <w:rsid w:val="00FB5556"/>
    <w:rsid w:val="00FB759A"/>
    <w:rsid w:val="00FB798A"/>
    <w:rsid w:val="00FC17BF"/>
    <w:rsid w:val="00FC2F7D"/>
    <w:rsid w:val="00FC304E"/>
    <w:rsid w:val="00FC3839"/>
    <w:rsid w:val="00FC3DE8"/>
    <w:rsid w:val="00FC3E1D"/>
    <w:rsid w:val="00FC55D0"/>
    <w:rsid w:val="00FC6639"/>
    <w:rsid w:val="00FC6FFA"/>
    <w:rsid w:val="00FC72FB"/>
    <w:rsid w:val="00FC75E9"/>
    <w:rsid w:val="00FC7A13"/>
    <w:rsid w:val="00FD08D4"/>
    <w:rsid w:val="00FD1B55"/>
    <w:rsid w:val="00FD24D5"/>
    <w:rsid w:val="00FD2E56"/>
    <w:rsid w:val="00FD3336"/>
    <w:rsid w:val="00FD5C41"/>
    <w:rsid w:val="00FD6702"/>
    <w:rsid w:val="00FD7208"/>
    <w:rsid w:val="00FE03B7"/>
    <w:rsid w:val="00FE0836"/>
    <w:rsid w:val="00FE0CCA"/>
    <w:rsid w:val="00FE1559"/>
    <w:rsid w:val="00FE34CC"/>
    <w:rsid w:val="00FE3A4D"/>
    <w:rsid w:val="00FE3C02"/>
    <w:rsid w:val="00FE5355"/>
    <w:rsid w:val="00FE6CAB"/>
    <w:rsid w:val="00FF0FB0"/>
    <w:rsid w:val="00FF13E1"/>
    <w:rsid w:val="00FF1897"/>
    <w:rsid w:val="00FF24DD"/>
    <w:rsid w:val="00FF3611"/>
    <w:rsid w:val="00FF3DB2"/>
    <w:rsid w:val="00FF7217"/>
    <w:rsid w:val="00FF7264"/>
    <w:rsid w:val="00FF7640"/>
    <w:rsid w:val="00FF7C29"/>
    <w:rsid w:val="00FF7D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2"/>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173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41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231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366"/>
    <w:rPr>
      <w:color w:val="0563C1" w:themeColor="hyperlink"/>
      <w:u w:val="single"/>
    </w:rPr>
  </w:style>
  <w:style w:type="paragraph" w:styleId="ListParagraph">
    <w:name w:val="List Paragraph"/>
    <w:basedOn w:val="Normal"/>
    <w:uiPriority w:val="34"/>
    <w:qFormat/>
    <w:rsid w:val="00180102"/>
    <w:pPr>
      <w:ind w:left="720"/>
      <w:contextualSpacing/>
    </w:pPr>
    <w:rPr>
      <w:rFonts w:eastAsia="Times New Roman"/>
      <w:lang w:eastAsia="en-GB"/>
    </w:rPr>
  </w:style>
  <w:style w:type="paragraph" w:styleId="NormalWeb">
    <w:name w:val="Normal (Web)"/>
    <w:basedOn w:val="Normal"/>
    <w:uiPriority w:val="99"/>
    <w:unhideWhenUsed/>
    <w:rsid w:val="001662A3"/>
    <w:pPr>
      <w:spacing w:before="100" w:beforeAutospacing="1" w:after="100" w:afterAutospacing="1"/>
    </w:pPr>
    <w:rPr>
      <w:rFonts w:eastAsia="Times New Roman"/>
      <w:lang w:eastAsia="en-GB"/>
    </w:rPr>
  </w:style>
  <w:style w:type="character" w:styleId="CommentReference">
    <w:name w:val="annotation reference"/>
    <w:basedOn w:val="DefaultParagraphFont"/>
    <w:uiPriority w:val="99"/>
    <w:semiHidden/>
    <w:unhideWhenUsed/>
    <w:rsid w:val="000D350E"/>
    <w:rPr>
      <w:sz w:val="16"/>
      <w:szCs w:val="16"/>
    </w:rPr>
  </w:style>
  <w:style w:type="paragraph" w:styleId="CommentText">
    <w:name w:val="annotation text"/>
    <w:basedOn w:val="Normal"/>
    <w:link w:val="CommentTextChar"/>
    <w:uiPriority w:val="99"/>
    <w:unhideWhenUsed/>
    <w:rsid w:val="000D350E"/>
    <w:rPr>
      <w:sz w:val="20"/>
      <w:szCs w:val="20"/>
    </w:rPr>
  </w:style>
  <w:style w:type="character" w:customStyle="1" w:styleId="CommentTextChar">
    <w:name w:val="Comment Text Char"/>
    <w:basedOn w:val="DefaultParagraphFont"/>
    <w:link w:val="CommentText"/>
    <w:uiPriority w:val="99"/>
    <w:rsid w:val="000D350E"/>
    <w:rPr>
      <w:sz w:val="20"/>
      <w:szCs w:val="20"/>
    </w:rPr>
  </w:style>
  <w:style w:type="paragraph" w:styleId="CommentSubject">
    <w:name w:val="annotation subject"/>
    <w:basedOn w:val="CommentText"/>
    <w:next w:val="CommentText"/>
    <w:link w:val="CommentSubjectChar"/>
    <w:uiPriority w:val="99"/>
    <w:semiHidden/>
    <w:unhideWhenUsed/>
    <w:rsid w:val="000D350E"/>
    <w:rPr>
      <w:b/>
      <w:bCs/>
    </w:rPr>
  </w:style>
  <w:style w:type="character" w:customStyle="1" w:styleId="CommentSubjectChar">
    <w:name w:val="Comment Subject Char"/>
    <w:basedOn w:val="CommentTextChar"/>
    <w:link w:val="CommentSubject"/>
    <w:uiPriority w:val="99"/>
    <w:semiHidden/>
    <w:rsid w:val="000D350E"/>
    <w:rPr>
      <w:b/>
      <w:bCs/>
      <w:sz w:val="20"/>
      <w:szCs w:val="20"/>
    </w:rPr>
  </w:style>
  <w:style w:type="paragraph" w:styleId="BalloonText">
    <w:name w:val="Balloon Text"/>
    <w:basedOn w:val="Normal"/>
    <w:link w:val="BalloonTextChar"/>
    <w:uiPriority w:val="99"/>
    <w:semiHidden/>
    <w:unhideWhenUsed/>
    <w:rsid w:val="000D3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0E"/>
    <w:rPr>
      <w:rFonts w:ascii="Segoe UI" w:hAnsi="Segoe UI" w:cs="Segoe UI"/>
      <w:sz w:val="18"/>
      <w:szCs w:val="18"/>
    </w:rPr>
  </w:style>
  <w:style w:type="paragraph" w:styleId="Header">
    <w:name w:val="header"/>
    <w:basedOn w:val="Normal"/>
    <w:link w:val="HeaderChar"/>
    <w:uiPriority w:val="99"/>
    <w:unhideWhenUsed/>
    <w:rsid w:val="00D80F85"/>
    <w:pPr>
      <w:tabs>
        <w:tab w:val="center" w:pos="4513"/>
        <w:tab w:val="right" w:pos="9026"/>
      </w:tabs>
    </w:pPr>
  </w:style>
  <w:style w:type="character" w:customStyle="1" w:styleId="HeaderChar">
    <w:name w:val="Header Char"/>
    <w:basedOn w:val="DefaultParagraphFont"/>
    <w:link w:val="Header"/>
    <w:uiPriority w:val="99"/>
    <w:rsid w:val="00D80F85"/>
  </w:style>
  <w:style w:type="paragraph" w:styleId="Footer">
    <w:name w:val="footer"/>
    <w:basedOn w:val="Normal"/>
    <w:link w:val="FooterChar"/>
    <w:uiPriority w:val="99"/>
    <w:unhideWhenUsed/>
    <w:rsid w:val="00D80F85"/>
    <w:pPr>
      <w:tabs>
        <w:tab w:val="center" w:pos="4513"/>
        <w:tab w:val="right" w:pos="9026"/>
      </w:tabs>
    </w:pPr>
  </w:style>
  <w:style w:type="character" w:customStyle="1" w:styleId="FooterChar">
    <w:name w:val="Footer Char"/>
    <w:basedOn w:val="DefaultParagraphFont"/>
    <w:link w:val="Footer"/>
    <w:uiPriority w:val="99"/>
    <w:rsid w:val="00D80F85"/>
  </w:style>
  <w:style w:type="paragraph" w:styleId="NoSpacing">
    <w:name w:val="No Spacing"/>
    <w:uiPriority w:val="1"/>
    <w:qFormat/>
    <w:rsid w:val="00242EC3"/>
    <w:pPr>
      <w:spacing w:after="0" w:line="240" w:lineRule="auto"/>
    </w:pPr>
  </w:style>
  <w:style w:type="character" w:customStyle="1" w:styleId="apple-converted-space">
    <w:name w:val="apple-converted-space"/>
    <w:basedOn w:val="DefaultParagraphFont"/>
    <w:rsid w:val="00820A7E"/>
  </w:style>
  <w:style w:type="character" w:styleId="Emphasis">
    <w:name w:val="Emphasis"/>
    <w:basedOn w:val="DefaultParagraphFont"/>
    <w:uiPriority w:val="20"/>
    <w:qFormat/>
    <w:rsid w:val="00330163"/>
    <w:rPr>
      <w:i/>
      <w:iCs/>
    </w:rPr>
  </w:style>
  <w:style w:type="character" w:customStyle="1" w:styleId="subhead-sans">
    <w:name w:val="subhead-sans"/>
    <w:basedOn w:val="DefaultParagraphFont"/>
    <w:rsid w:val="009173AE"/>
  </w:style>
  <w:style w:type="character" w:customStyle="1" w:styleId="Heading1Char">
    <w:name w:val="Heading 1 Char"/>
    <w:basedOn w:val="DefaultParagraphFont"/>
    <w:link w:val="Heading1"/>
    <w:uiPriority w:val="9"/>
    <w:rsid w:val="009173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741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F231E"/>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A9341B"/>
    <w:rPr>
      <w:color w:val="2B579A"/>
      <w:shd w:val="clear" w:color="auto" w:fill="E6E6E6"/>
    </w:rPr>
  </w:style>
  <w:style w:type="paragraph" w:styleId="Revision">
    <w:name w:val="Revision"/>
    <w:hidden/>
    <w:uiPriority w:val="99"/>
    <w:semiHidden/>
    <w:rsid w:val="008F5AFB"/>
    <w:pPr>
      <w:spacing w:after="0" w:line="240" w:lineRule="auto"/>
    </w:pPr>
  </w:style>
  <w:style w:type="character" w:styleId="FollowedHyperlink">
    <w:name w:val="FollowedHyperlink"/>
    <w:basedOn w:val="DefaultParagraphFont"/>
    <w:uiPriority w:val="99"/>
    <w:semiHidden/>
    <w:unhideWhenUsed/>
    <w:rsid w:val="00CA6F03"/>
    <w:rPr>
      <w:color w:val="954F72" w:themeColor="followedHyperlink"/>
      <w:u w:val="single"/>
    </w:rPr>
  </w:style>
  <w:style w:type="character" w:customStyle="1" w:styleId="a-size-large">
    <w:name w:val="a-size-large"/>
    <w:basedOn w:val="DefaultParagraphFont"/>
    <w:rsid w:val="00815FF9"/>
  </w:style>
  <w:style w:type="paragraph" w:customStyle="1" w:styleId="commentcontentpara">
    <w:name w:val="commentcontentpara"/>
    <w:basedOn w:val="Normal"/>
    <w:rsid w:val="00CB7E75"/>
    <w:pPr>
      <w:spacing w:before="100" w:beforeAutospacing="1" w:after="100" w:afterAutospacing="1"/>
    </w:pPr>
  </w:style>
  <w:style w:type="character" w:customStyle="1" w:styleId="cit-auth">
    <w:name w:val="cit-auth"/>
    <w:basedOn w:val="DefaultParagraphFont"/>
    <w:rsid w:val="00012112"/>
  </w:style>
  <w:style w:type="character" w:customStyle="1" w:styleId="cit-name-surname">
    <w:name w:val="cit-name-surname"/>
    <w:basedOn w:val="DefaultParagraphFont"/>
    <w:rsid w:val="00012112"/>
  </w:style>
  <w:style w:type="character" w:customStyle="1" w:styleId="cit-name-given-names">
    <w:name w:val="cit-name-given-names"/>
    <w:basedOn w:val="DefaultParagraphFont"/>
    <w:rsid w:val="00012112"/>
  </w:style>
  <w:style w:type="character" w:customStyle="1" w:styleId="cit-etal">
    <w:name w:val="cit-etal"/>
    <w:basedOn w:val="DefaultParagraphFont"/>
    <w:rsid w:val="00012112"/>
  </w:style>
  <w:style w:type="character" w:styleId="HTMLCite">
    <w:name w:val="HTML Cite"/>
    <w:basedOn w:val="DefaultParagraphFont"/>
    <w:uiPriority w:val="99"/>
    <w:semiHidden/>
    <w:unhideWhenUsed/>
    <w:rsid w:val="00012112"/>
    <w:rPr>
      <w:i/>
      <w:iCs/>
    </w:rPr>
  </w:style>
  <w:style w:type="character" w:customStyle="1" w:styleId="cit-article-title">
    <w:name w:val="cit-article-title"/>
    <w:basedOn w:val="DefaultParagraphFont"/>
    <w:rsid w:val="00012112"/>
  </w:style>
  <w:style w:type="character" w:customStyle="1" w:styleId="cit-pub-date">
    <w:name w:val="cit-pub-date"/>
    <w:basedOn w:val="DefaultParagraphFont"/>
    <w:rsid w:val="00012112"/>
  </w:style>
  <w:style w:type="character" w:customStyle="1" w:styleId="cit-vol">
    <w:name w:val="cit-vol"/>
    <w:basedOn w:val="DefaultParagraphFont"/>
    <w:rsid w:val="00012112"/>
  </w:style>
  <w:style w:type="character" w:customStyle="1" w:styleId="cit-fpage">
    <w:name w:val="cit-fpage"/>
    <w:basedOn w:val="DefaultParagraphFont"/>
    <w:rsid w:val="00012112"/>
  </w:style>
  <w:style w:type="character" w:customStyle="1" w:styleId="cit-lpage">
    <w:name w:val="cit-lpage"/>
    <w:basedOn w:val="DefaultParagraphFont"/>
    <w:rsid w:val="00012112"/>
  </w:style>
  <w:style w:type="character" w:customStyle="1" w:styleId="cit-title">
    <w:name w:val="cit-title"/>
    <w:basedOn w:val="DefaultParagraphFont"/>
    <w:rsid w:val="00B449AC"/>
  </w:style>
  <w:style w:type="character" w:customStyle="1" w:styleId="cit-sep">
    <w:name w:val="cit-sep"/>
    <w:basedOn w:val="DefaultParagraphFont"/>
    <w:rsid w:val="00B449AC"/>
  </w:style>
  <w:style w:type="character" w:customStyle="1" w:styleId="search-result-highlight">
    <w:name w:val="search-result-highlight"/>
    <w:basedOn w:val="DefaultParagraphFont"/>
    <w:rsid w:val="00B449AC"/>
  </w:style>
  <w:style w:type="character" w:customStyle="1" w:styleId="cit-print-date">
    <w:name w:val="cit-print-date"/>
    <w:basedOn w:val="DefaultParagraphFont"/>
    <w:rsid w:val="00B449AC"/>
  </w:style>
  <w:style w:type="character" w:customStyle="1" w:styleId="cit-issue">
    <w:name w:val="cit-issue"/>
    <w:basedOn w:val="DefaultParagraphFont"/>
    <w:rsid w:val="00B449AC"/>
  </w:style>
  <w:style w:type="character" w:customStyle="1" w:styleId="cit-first-page">
    <w:name w:val="cit-first-page"/>
    <w:basedOn w:val="DefaultParagraphFont"/>
    <w:rsid w:val="00B449AC"/>
  </w:style>
  <w:style w:type="character" w:customStyle="1" w:styleId="cit-last-page">
    <w:name w:val="cit-last-page"/>
    <w:basedOn w:val="DefaultParagraphFont"/>
    <w:rsid w:val="00B449AC"/>
  </w:style>
  <w:style w:type="character" w:customStyle="1" w:styleId="cit-doi">
    <w:name w:val="cit-doi"/>
    <w:basedOn w:val="DefaultParagraphFont"/>
    <w:rsid w:val="00B449AC"/>
  </w:style>
  <w:style w:type="paragraph" w:customStyle="1" w:styleId="Font11">
    <w:name w:val="Font 11"/>
    <w:basedOn w:val="Normal"/>
    <w:autoRedefine/>
    <w:qFormat/>
    <w:rsid w:val="004931E2"/>
    <w:rPr>
      <w:rFonts w:eastAsia="Calibri"/>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2"/>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173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41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231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366"/>
    <w:rPr>
      <w:color w:val="0563C1" w:themeColor="hyperlink"/>
      <w:u w:val="single"/>
    </w:rPr>
  </w:style>
  <w:style w:type="paragraph" w:styleId="ListParagraph">
    <w:name w:val="List Paragraph"/>
    <w:basedOn w:val="Normal"/>
    <w:uiPriority w:val="34"/>
    <w:qFormat/>
    <w:rsid w:val="00180102"/>
    <w:pPr>
      <w:ind w:left="720"/>
      <w:contextualSpacing/>
    </w:pPr>
    <w:rPr>
      <w:rFonts w:eastAsia="Times New Roman"/>
      <w:lang w:eastAsia="en-GB"/>
    </w:rPr>
  </w:style>
  <w:style w:type="paragraph" w:styleId="NormalWeb">
    <w:name w:val="Normal (Web)"/>
    <w:basedOn w:val="Normal"/>
    <w:uiPriority w:val="99"/>
    <w:unhideWhenUsed/>
    <w:rsid w:val="001662A3"/>
    <w:pPr>
      <w:spacing w:before="100" w:beforeAutospacing="1" w:after="100" w:afterAutospacing="1"/>
    </w:pPr>
    <w:rPr>
      <w:rFonts w:eastAsia="Times New Roman"/>
      <w:lang w:eastAsia="en-GB"/>
    </w:rPr>
  </w:style>
  <w:style w:type="character" w:styleId="CommentReference">
    <w:name w:val="annotation reference"/>
    <w:basedOn w:val="DefaultParagraphFont"/>
    <w:uiPriority w:val="99"/>
    <w:semiHidden/>
    <w:unhideWhenUsed/>
    <w:rsid w:val="000D350E"/>
    <w:rPr>
      <w:sz w:val="16"/>
      <w:szCs w:val="16"/>
    </w:rPr>
  </w:style>
  <w:style w:type="paragraph" w:styleId="CommentText">
    <w:name w:val="annotation text"/>
    <w:basedOn w:val="Normal"/>
    <w:link w:val="CommentTextChar"/>
    <w:uiPriority w:val="99"/>
    <w:unhideWhenUsed/>
    <w:rsid w:val="000D350E"/>
    <w:rPr>
      <w:sz w:val="20"/>
      <w:szCs w:val="20"/>
    </w:rPr>
  </w:style>
  <w:style w:type="character" w:customStyle="1" w:styleId="CommentTextChar">
    <w:name w:val="Comment Text Char"/>
    <w:basedOn w:val="DefaultParagraphFont"/>
    <w:link w:val="CommentText"/>
    <w:uiPriority w:val="99"/>
    <w:rsid w:val="000D350E"/>
    <w:rPr>
      <w:sz w:val="20"/>
      <w:szCs w:val="20"/>
    </w:rPr>
  </w:style>
  <w:style w:type="paragraph" w:styleId="CommentSubject">
    <w:name w:val="annotation subject"/>
    <w:basedOn w:val="CommentText"/>
    <w:next w:val="CommentText"/>
    <w:link w:val="CommentSubjectChar"/>
    <w:uiPriority w:val="99"/>
    <w:semiHidden/>
    <w:unhideWhenUsed/>
    <w:rsid w:val="000D350E"/>
    <w:rPr>
      <w:b/>
      <w:bCs/>
    </w:rPr>
  </w:style>
  <w:style w:type="character" w:customStyle="1" w:styleId="CommentSubjectChar">
    <w:name w:val="Comment Subject Char"/>
    <w:basedOn w:val="CommentTextChar"/>
    <w:link w:val="CommentSubject"/>
    <w:uiPriority w:val="99"/>
    <w:semiHidden/>
    <w:rsid w:val="000D350E"/>
    <w:rPr>
      <w:b/>
      <w:bCs/>
      <w:sz w:val="20"/>
      <w:szCs w:val="20"/>
    </w:rPr>
  </w:style>
  <w:style w:type="paragraph" w:styleId="BalloonText">
    <w:name w:val="Balloon Text"/>
    <w:basedOn w:val="Normal"/>
    <w:link w:val="BalloonTextChar"/>
    <w:uiPriority w:val="99"/>
    <w:semiHidden/>
    <w:unhideWhenUsed/>
    <w:rsid w:val="000D3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0E"/>
    <w:rPr>
      <w:rFonts w:ascii="Segoe UI" w:hAnsi="Segoe UI" w:cs="Segoe UI"/>
      <w:sz w:val="18"/>
      <w:szCs w:val="18"/>
    </w:rPr>
  </w:style>
  <w:style w:type="paragraph" w:styleId="Header">
    <w:name w:val="header"/>
    <w:basedOn w:val="Normal"/>
    <w:link w:val="HeaderChar"/>
    <w:uiPriority w:val="99"/>
    <w:unhideWhenUsed/>
    <w:rsid w:val="00D80F85"/>
    <w:pPr>
      <w:tabs>
        <w:tab w:val="center" w:pos="4513"/>
        <w:tab w:val="right" w:pos="9026"/>
      </w:tabs>
    </w:pPr>
  </w:style>
  <w:style w:type="character" w:customStyle="1" w:styleId="HeaderChar">
    <w:name w:val="Header Char"/>
    <w:basedOn w:val="DefaultParagraphFont"/>
    <w:link w:val="Header"/>
    <w:uiPriority w:val="99"/>
    <w:rsid w:val="00D80F85"/>
  </w:style>
  <w:style w:type="paragraph" w:styleId="Footer">
    <w:name w:val="footer"/>
    <w:basedOn w:val="Normal"/>
    <w:link w:val="FooterChar"/>
    <w:uiPriority w:val="99"/>
    <w:unhideWhenUsed/>
    <w:rsid w:val="00D80F85"/>
    <w:pPr>
      <w:tabs>
        <w:tab w:val="center" w:pos="4513"/>
        <w:tab w:val="right" w:pos="9026"/>
      </w:tabs>
    </w:pPr>
  </w:style>
  <w:style w:type="character" w:customStyle="1" w:styleId="FooterChar">
    <w:name w:val="Footer Char"/>
    <w:basedOn w:val="DefaultParagraphFont"/>
    <w:link w:val="Footer"/>
    <w:uiPriority w:val="99"/>
    <w:rsid w:val="00D80F85"/>
  </w:style>
  <w:style w:type="paragraph" w:styleId="NoSpacing">
    <w:name w:val="No Spacing"/>
    <w:uiPriority w:val="1"/>
    <w:qFormat/>
    <w:rsid w:val="00242EC3"/>
    <w:pPr>
      <w:spacing w:after="0" w:line="240" w:lineRule="auto"/>
    </w:pPr>
  </w:style>
  <w:style w:type="character" w:customStyle="1" w:styleId="apple-converted-space">
    <w:name w:val="apple-converted-space"/>
    <w:basedOn w:val="DefaultParagraphFont"/>
    <w:rsid w:val="00820A7E"/>
  </w:style>
  <w:style w:type="character" w:styleId="Emphasis">
    <w:name w:val="Emphasis"/>
    <w:basedOn w:val="DefaultParagraphFont"/>
    <w:uiPriority w:val="20"/>
    <w:qFormat/>
    <w:rsid w:val="00330163"/>
    <w:rPr>
      <w:i/>
      <w:iCs/>
    </w:rPr>
  </w:style>
  <w:style w:type="character" w:customStyle="1" w:styleId="subhead-sans">
    <w:name w:val="subhead-sans"/>
    <w:basedOn w:val="DefaultParagraphFont"/>
    <w:rsid w:val="009173AE"/>
  </w:style>
  <w:style w:type="character" w:customStyle="1" w:styleId="Heading1Char">
    <w:name w:val="Heading 1 Char"/>
    <w:basedOn w:val="DefaultParagraphFont"/>
    <w:link w:val="Heading1"/>
    <w:uiPriority w:val="9"/>
    <w:rsid w:val="009173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741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F231E"/>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A9341B"/>
    <w:rPr>
      <w:color w:val="2B579A"/>
      <w:shd w:val="clear" w:color="auto" w:fill="E6E6E6"/>
    </w:rPr>
  </w:style>
  <w:style w:type="paragraph" w:styleId="Revision">
    <w:name w:val="Revision"/>
    <w:hidden/>
    <w:uiPriority w:val="99"/>
    <w:semiHidden/>
    <w:rsid w:val="008F5AFB"/>
    <w:pPr>
      <w:spacing w:after="0" w:line="240" w:lineRule="auto"/>
    </w:pPr>
  </w:style>
  <w:style w:type="character" w:styleId="FollowedHyperlink">
    <w:name w:val="FollowedHyperlink"/>
    <w:basedOn w:val="DefaultParagraphFont"/>
    <w:uiPriority w:val="99"/>
    <w:semiHidden/>
    <w:unhideWhenUsed/>
    <w:rsid w:val="00CA6F03"/>
    <w:rPr>
      <w:color w:val="954F72" w:themeColor="followedHyperlink"/>
      <w:u w:val="single"/>
    </w:rPr>
  </w:style>
  <w:style w:type="character" w:customStyle="1" w:styleId="a-size-large">
    <w:name w:val="a-size-large"/>
    <w:basedOn w:val="DefaultParagraphFont"/>
    <w:rsid w:val="00815FF9"/>
  </w:style>
  <w:style w:type="paragraph" w:customStyle="1" w:styleId="commentcontentpara">
    <w:name w:val="commentcontentpara"/>
    <w:basedOn w:val="Normal"/>
    <w:rsid w:val="00CB7E75"/>
    <w:pPr>
      <w:spacing w:before="100" w:beforeAutospacing="1" w:after="100" w:afterAutospacing="1"/>
    </w:pPr>
  </w:style>
  <w:style w:type="character" w:customStyle="1" w:styleId="cit-auth">
    <w:name w:val="cit-auth"/>
    <w:basedOn w:val="DefaultParagraphFont"/>
    <w:rsid w:val="00012112"/>
  </w:style>
  <w:style w:type="character" w:customStyle="1" w:styleId="cit-name-surname">
    <w:name w:val="cit-name-surname"/>
    <w:basedOn w:val="DefaultParagraphFont"/>
    <w:rsid w:val="00012112"/>
  </w:style>
  <w:style w:type="character" w:customStyle="1" w:styleId="cit-name-given-names">
    <w:name w:val="cit-name-given-names"/>
    <w:basedOn w:val="DefaultParagraphFont"/>
    <w:rsid w:val="00012112"/>
  </w:style>
  <w:style w:type="character" w:customStyle="1" w:styleId="cit-etal">
    <w:name w:val="cit-etal"/>
    <w:basedOn w:val="DefaultParagraphFont"/>
    <w:rsid w:val="00012112"/>
  </w:style>
  <w:style w:type="character" w:styleId="HTMLCite">
    <w:name w:val="HTML Cite"/>
    <w:basedOn w:val="DefaultParagraphFont"/>
    <w:uiPriority w:val="99"/>
    <w:semiHidden/>
    <w:unhideWhenUsed/>
    <w:rsid w:val="00012112"/>
    <w:rPr>
      <w:i/>
      <w:iCs/>
    </w:rPr>
  </w:style>
  <w:style w:type="character" w:customStyle="1" w:styleId="cit-article-title">
    <w:name w:val="cit-article-title"/>
    <w:basedOn w:val="DefaultParagraphFont"/>
    <w:rsid w:val="00012112"/>
  </w:style>
  <w:style w:type="character" w:customStyle="1" w:styleId="cit-pub-date">
    <w:name w:val="cit-pub-date"/>
    <w:basedOn w:val="DefaultParagraphFont"/>
    <w:rsid w:val="00012112"/>
  </w:style>
  <w:style w:type="character" w:customStyle="1" w:styleId="cit-vol">
    <w:name w:val="cit-vol"/>
    <w:basedOn w:val="DefaultParagraphFont"/>
    <w:rsid w:val="00012112"/>
  </w:style>
  <w:style w:type="character" w:customStyle="1" w:styleId="cit-fpage">
    <w:name w:val="cit-fpage"/>
    <w:basedOn w:val="DefaultParagraphFont"/>
    <w:rsid w:val="00012112"/>
  </w:style>
  <w:style w:type="character" w:customStyle="1" w:styleId="cit-lpage">
    <w:name w:val="cit-lpage"/>
    <w:basedOn w:val="DefaultParagraphFont"/>
    <w:rsid w:val="00012112"/>
  </w:style>
  <w:style w:type="character" w:customStyle="1" w:styleId="cit-title">
    <w:name w:val="cit-title"/>
    <w:basedOn w:val="DefaultParagraphFont"/>
    <w:rsid w:val="00B449AC"/>
  </w:style>
  <w:style w:type="character" w:customStyle="1" w:styleId="cit-sep">
    <w:name w:val="cit-sep"/>
    <w:basedOn w:val="DefaultParagraphFont"/>
    <w:rsid w:val="00B449AC"/>
  </w:style>
  <w:style w:type="character" w:customStyle="1" w:styleId="search-result-highlight">
    <w:name w:val="search-result-highlight"/>
    <w:basedOn w:val="DefaultParagraphFont"/>
    <w:rsid w:val="00B449AC"/>
  </w:style>
  <w:style w:type="character" w:customStyle="1" w:styleId="cit-print-date">
    <w:name w:val="cit-print-date"/>
    <w:basedOn w:val="DefaultParagraphFont"/>
    <w:rsid w:val="00B449AC"/>
  </w:style>
  <w:style w:type="character" w:customStyle="1" w:styleId="cit-issue">
    <w:name w:val="cit-issue"/>
    <w:basedOn w:val="DefaultParagraphFont"/>
    <w:rsid w:val="00B449AC"/>
  </w:style>
  <w:style w:type="character" w:customStyle="1" w:styleId="cit-first-page">
    <w:name w:val="cit-first-page"/>
    <w:basedOn w:val="DefaultParagraphFont"/>
    <w:rsid w:val="00B449AC"/>
  </w:style>
  <w:style w:type="character" w:customStyle="1" w:styleId="cit-last-page">
    <w:name w:val="cit-last-page"/>
    <w:basedOn w:val="DefaultParagraphFont"/>
    <w:rsid w:val="00B449AC"/>
  </w:style>
  <w:style w:type="character" w:customStyle="1" w:styleId="cit-doi">
    <w:name w:val="cit-doi"/>
    <w:basedOn w:val="DefaultParagraphFont"/>
    <w:rsid w:val="00B449AC"/>
  </w:style>
  <w:style w:type="paragraph" w:customStyle="1" w:styleId="Font11">
    <w:name w:val="Font 11"/>
    <w:basedOn w:val="Normal"/>
    <w:autoRedefine/>
    <w:qFormat/>
    <w:rsid w:val="004931E2"/>
    <w:rPr>
      <w:rFonts w:eastAsia="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250">
      <w:bodyDiv w:val="1"/>
      <w:marLeft w:val="0"/>
      <w:marRight w:val="0"/>
      <w:marTop w:val="0"/>
      <w:marBottom w:val="0"/>
      <w:divBdr>
        <w:top w:val="none" w:sz="0" w:space="0" w:color="auto"/>
        <w:left w:val="none" w:sz="0" w:space="0" w:color="auto"/>
        <w:bottom w:val="none" w:sz="0" w:space="0" w:color="auto"/>
        <w:right w:val="none" w:sz="0" w:space="0" w:color="auto"/>
      </w:divBdr>
      <w:divsChild>
        <w:div w:id="1721594121">
          <w:marLeft w:val="0"/>
          <w:marRight w:val="0"/>
          <w:marTop w:val="0"/>
          <w:marBottom w:val="0"/>
          <w:divBdr>
            <w:top w:val="none" w:sz="0" w:space="0" w:color="auto"/>
            <w:left w:val="none" w:sz="0" w:space="0" w:color="auto"/>
            <w:bottom w:val="none" w:sz="0" w:space="0" w:color="auto"/>
            <w:right w:val="none" w:sz="0" w:space="0" w:color="auto"/>
          </w:divBdr>
        </w:div>
      </w:divsChild>
    </w:div>
    <w:div w:id="84764398">
      <w:bodyDiv w:val="1"/>
      <w:marLeft w:val="0"/>
      <w:marRight w:val="0"/>
      <w:marTop w:val="0"/>
      <w:marBottom w:val="0"/>
      <w:divBdr>
        <w:top w:val="none" w:sz="0" w:space="0" w:color="auto"/>
        <w:left w:val="none" w:sz="0" w:space="0" w:color="auto"/>
        <w:bottom w:val="none" w:sz="0" w:space="0" w:color="auto"/>
        <w:right w:val="none" w:sz="0" w:space="0" w:color="auto"/>
      </w:divBdr>
      <w:divsChild>
        <w:div w:id="2435613">
          <w:marLeft w:val="0"/>
          <w:marRight w:val="0"/>
          <w:marTop w:val="0"/>
          <w:marBottom w:val="0"/>
          <w:divBdr>
            <w:top w:val="none" w:sz="0" w:space="0" w:color="auto"/>
            <w:left w:val="none" w:sz="0" w:space="0" w:color="auto"/>
            <w:bottom w:val="none" w:sz="0" w:space="0" w:color="auto"/>
            <w:right w:val="none" w:sz="0" w:space="0" w:color="auto"/>
          </w:divBdr>
          <w:divsChild>
            <w:div w:id="1002857916">
              <w:marLeft w:val="0"/>
              <w:marRight w:val="0"/>
              <w:marTop w:val="0"/>
              <w:marBottom w:val="0"/>
              <w:divBdr>
                <w:top w:val="none" w:sz="0" w:space="0" w:color="auto"/>
                <w:left w:val="none" w:sz="0" w:space="0" w:color="auto"/>
                <w:bottom w:val="none" w:sz="0" w:space="0" w:color="auto"/>
                <w:right w:val="none" w:sz="0" w:space="0" w:color="auto"/>
              </w:divBdr>
              <w:divsChild>
                <w:div w:id="1103496571">
                  <w:marLeft w:val="0"/>
                  <w:marRight w:val="0"/>
                  <w:marTop w:val="0"/>
                  <w:marBottom w:val="0"/>
                  <w:divBdr>
                    <w:top w:val="none" w:sz="0" w:space="0" w:color="auto"/>
                    <w:left w:val="none" w:sz="0" w:space="0" w:color="auto"/>
                    <w:bottom w:val="none" w:sz="0" w:space="0" w:color="auto"/>
                    <w:right w:val="none" w:sz="0" w:space="0" w:color="auto"/>
                  </w:divBdr>
                  <w:divsChild>
                    <w:div w:id="16201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7146">
          <w:marLeft w:val="0"/>
          <w:marRight w:val="0"/>
          <w:marTop w:val="0"/>
          <w:marBottom w:val="0"/>
          <w:divBdr>
            <w:top w:val="none" w:sz="0" w:space="0" w:color="auto"/>
            <w:left w:val="none" w:sz="0" w:space="0" w:color="auto"/>
            <w:bottom w:val="none" w:sz="0" w:space="0" w:color="auto"/>
            <w:right w:val="none" w:sz="0" w:space="0" w:color="auto"/>
          </w:divBdr>
          <w:divsChild>
            <w:div w:id="2005232010">
              <w:marLeft w:val="0"/>
              <w:marRight w:val="0"/>
              <w:marTop w:val="0"/>
              <w:marBottom w:val="0"/>
              <w:divBdr>
                <w:top w:val="none" w:sz="0" w:space="0" w:color="auto"/>
                <w:left w:val="none" w:sz="0" w:space="0" w:color="auto"/>
                <w:bottom w:val="none" w:sz="0" w:space="0" w:color="auto"/>
                <w:right w:val="none" w:sz="0" w:space="0" w:color="auto"/>
              </w:divBdr>
              <w:divsChild>
                <w:div w:id="310259638">
                  <w:marLeft w:val="0"/>
                  <w:marRight w:val="0"/>
                  <w:marTop w:val="0"/>
                  <w:marBottom w:val="0"/>
                  <w:divBdr>
                    <w:top w:val="none" w:sz="0" w:space="0" w:color="auto"/>
                    <w:left w:val="none" w:sz="0" w:space="0" w:color="auto"/>
                    <w:bottom w:val="none" w:sz="0" w:space="0" w:color="auto"/>
                    <w:right w:val="none" w:sz="0" w:space="0" w:color="auto"/>
                  </w:divBdr>
                  <w:divsChild>
                    <w:div w:id="986931284">
                      <w:marLeft w:val="0"/>
                      <w:marRight w:val="0"/>
                      <w:marTop w:val="0"/>
                      <w:marBottom w:val="300"/>
                      <w:divBdr>
                        <w:top w:val="none" w:sz="0" w:space="0" w:color="auto"/>
                        <w:left w:val="none" w:sz="0" w:space="0" w:color="auto"/>
                        <w:bottom w:val="none" w:sz="0" w:space="0" w:color="auto"/>
                        <w:right w:val="none" w:sz="0" w:space="0" w:color="auto"/>
                      </w:divBdr>
                      <w:divsChild>
                        <w:div w:id="1682462537">
                          <w:marLeft w:val="0"/>
                          <w:marRight w:val="0"/>
                          <w:marTop w:val="0"/>
                          <w:marBottom w:val="0"/>
                          <w:divBdr>
                            <w:top w:val="none" w:sz="0" w:space="0" w:color="auto"/>
                            <w:left w:val="none" w:sz="0" w:space="0" w:color="auto"/>
                            <w:bottom w:val="none" w:sz="0" w:space="0" w:color="auto"/>
                            <w:right w:val="none" w:sz="0" w:space="0" w:color="auto"/>
                          </w:divBdr>
                          <w:divsChild>
                            <w:div w:id="1317344647">
                              <w:marLeft w:val="0"/>
                              <w:marRight w:val="0"/>
                              <w:marTop w:val="0"/>
                              <w:marBottom w:val="0"/>
                              <w:divBdr>
                                <w:top w:val="none" w:sz="0" w:space="0" w:color="auto"/>
                                <w:left w:val="none" w:sz="0" w:space="0" w:color="auto"/>
                                <w:bottom w:val="none" w:sz="0" w:space="0" w:color="auto"/>
                                <w:right w:val="none" w:sz="0" w:space="0" w:color="auto"/>
                              </w:divBdr>
                              <w:divsChild>
                                <w:div w:id="1465393390">
                                  <w:marLeft w:val="0"/>
                                  <w:marRight w:val="0"/>
                                  <w:marTop w:val="0"/>
                                  <w:marBottom w:val="0"/>
                                  <w:divBdr>
                                    <w:top w:val="none" w:sz="0" w:space="0" w:color="auto"/>
                                    <w:left w:val="none" w:sz="0" w:space="0" w:color="auto"/>
                                    <w:bottom w:val="none" w:sz="0" w:space="0" w:color="auto"/>
                                    <w:right w:val="none" w:sz="0" w:space="0" w:color="auto"/>
                                  </w:divBdr>
                                  <w:divsChild>
                                    <w:div w:id="1573157178">
                                      <w:marLeft w:val="0"/>
                                      <w:marRight w:val="0"/>
                                      <w:marTop w:val="0"/>
                                      <w:marBottom w:val="150"/>
                                      <w:divBdr>
                                        <w:top w:val="none" w:sz="0" w:space="0" w:color="auto"/>
                                        <w:left w:val="none" w:sz="0" w:space="0" w:color="auto"/>
                                        <w:bottom w:val="none" w:sz="0" w:space="0" w:color="auto"/>
                                        <w:right w:val="none" w:sz="0" w:space="0" w:color="auto"/>
                                      </w:divBdr>
                                      <w:divsChild>
                                        <w:div w:id="1308390821">
                                          <w:marLeft w:val="0"/>
                                          <w:marRight w:val="0"/>
                                          <w:marTop w:val="0"/>
                                          <w:marBottom w:val="0"/>
                                          <w:divBdr>
                                            <w:top w:val="none" w:sz="0" w:space="0" w:color="auto"/>
                                            <w:left w:val="none" w:sz="0" w:space="0" w:color="auto"/>
                                            <w:bottom w:val="none" w:sz="0" w:space="0" w:color="auto"/>
                                            <w:right w:val="none" w:sz="0" w:space="0" w:color="auto"/>
                                          </w:divBdr>
                                          <w:divsChild>
                                            <w:div w:id="1600068285">
                                              <w:marLeft w:val="0"/>
                                              <w:marRight w:val="0"/>
                                              <w:marTop w:val="0"/>
                                              <w:marBottom w:val="0"/>
                                              <w:divBdr>
                                                <w:top w:val="none" w:sz="0" w:space="0" w:color="auto"/>
                                                <w:left w:val="none" w:sz="0" w:space="0" w:color="auto"/>
                                                <w:bottom w:val="none" w:sz="0" w:space="0" w:color="auto"/>
                                                <w:right w:val="none" w:sz="0" w:space="0" w:color="auto"/>
                                              </w:divBdr>
                                              <w:divsChild>
                                                <w:div w:id="1478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14586">
      <w:bodyDiv w:val="1"/>
      <w:marLeft w:val="0"/>
      <w:marRight w:val="0"/>
      <w:marTop w:val="0"/>
      <w:marBottom w:val="0"/>
      <w:divBdr>
        <w:top w:val="none" w:sz="0" w:space="0" w:color="auto"/>
        <w:left w:val="none" w:sz="0" w:space="0" w:color="auto"/>
        <w:bottom w:val="none" w:sz="0" w:space="0" w:color="auto"/>
        <w:right w:val="none" w:sz="0" w:space="0" w:color="auto"/>
      </w:divBdr>
    </w:div>
    <w:div w:id="114830290">
      <w:bodyDiv w:val="1"/>
      <w:marLeft w:val="0"/>
      <w:marRight w:val="0"/>
      <w:marTop w:val="0"/>
      <w:marBottom w:val="0"/>
      <w:divBdr>
        <w:top w:val="none" w:sz="0" w:space="0" w:color="auto"/>
        <w:left w:val="none" w:sz="0" w:space="0" w:color="auto"/>
        <w:bottom w:val="none" w:sz="0" w:space="0" w:color="auto"/>
        <w:right w:val="none" w:sz="0" w:space="0" w:color="auto"/>
      </w:divBdr>
    </w:div>
    <w:div w:id="195892795">
      <w:bodyDiv w:val="1"/>
      <w:marLeft w:val="0"/>
      <w:marRight w:val="0"/>
      <w:marTop w:val="0"/>
      <w:marBottom w:val="0"/>
      <w:divBdr>
        <w:top w:val="none" w:sz="0" w:space="0" w:color="auto"/>
        <w:left w:val="none" w:sz="0" w:space="0" w:color="auto"/>
        <w:bottom w:val="none" w:sz="0" w:space="0" w:color="auto"/>
        <w:right w:val="none" w:sz="0" w:space="0" w:color="auto"/>
      </w:divBdr>
      <w:divsChild>
        <w:div w:id="2132355759">
          <w:marLeft w:val="0"/>
          <w:marRight w:val="0"/>
          <w:marTop w:val="0"/>
          <w:marBottom w:val="0"/>
          <w:divBdr>
            <w:top w:val="none" w:sz="0" w:space="0" w:color="auto"/>
            <w:left w:val="none" w:sz="0" w:space="0" w:color="auto"/>
            <w:bottom w:val="none" w:sz="0" w:space="0" w:color="auto"/>
            <w:right w:val="none" w:sz="0" w:space="0" w:color="auto"/>
          </w:divBdr>
        </w:div>
      </w:divsChild>
    </w:div>
    <w:div w:id="237057906">
      <w:bodyDiv w:val="1"/>
      <w:marLeft w:val="0"/>
      <w:marRight w:val="0"/>
      <w:marTop w:val="0"/>
      <w:marBottom w:val="0"/>
      <w:divBdr>
        <w:top w:val="none" w:sz="0" w:space="0" w:color="auto"/>
        <w:left w:val="none" w:sz="0" w:space="0" w:color="auto"/>
        <w:bottom w:val="none" w:sz="0" w:space="0" w:color="auto"/>
        <w:right w:val="none" w:sz="0" w:space="0" w:color="auto"/>
      </w:divBdr>
    </w:div>
    <w:div w:id="483818367">
      <w:bodyDiv w:val="1"/>
      <w:marLeft w:val="0"/>
      <w:marRight w:val="0"/>
      <w:marTop w:val="0"/>
      <w:marBottom w:val="0"/>
      <w:divBdr>
        <w:top w:val="none" w:sz="0" w:space="0" w:color="auto"/>
        <w:left w:val="none" w:sz="0" w:space="0" w:color="auto"/>
        <w:bottom w:val="none" w:sz="0" w:space="0" w:color="auto"/>
        <w:right w:val="none" w:sz="0" w:space="0" w:color="auto"/>
      </w:divBdr>
    </w:div>
    <w:div w:id="510024987">
      <w:bodyDiv w:val="1"/>
      <w:marLeft w:val="0"/>
      <w:marRight w:val="0"/>
      <w:marTop w:val="0"/>
      <w:marBottom w:val="0"/>
      <w:divBdr>
        <w:top w:val="none" w:sz="0" w:space="0" w:color="auto"/>
        <w:left w:val="none" w:sz="0" w:space="0" w:color="auto"/>
        <w:bottom w:val="none" w:sz="0" w:space="0" w:color="auto"/>
        <w:right w:val="none" w:sz="0" w:space="0" w:color="auto"/>
      </w:divBdr>
      <w:divsChild>
        <w:div w:id="1607232470">
          <w:marLeft w:val="0"/>
          <w:marRight w:val="0"/>
          <w:marTop w:val="0"/>
          <w:marBottom w:val="0"/>
          <w:divBdr>
            <w:top w:val="none" w:sz="0" w:space="0" w:color="auto"/>
            <w:left w:val="none" w:sz="0" w:space="0" w:color="auto"/>
            <w:bottom w:val="none" w:sz="0" w:space="0" w:color="auto"/>
            <w:right w:val="none" w:sz="0" w:space="0" w:color="auto"/>
          </w:divBdr>
        </w:div>
      </w:divsChild>
    </w:div>
    <w:div w:id="634142116">
      <w:bodyDiv w:val="1"/>
      <w:marLeft w:val="0"/>
      <w:marRight w:val="0"/>
      <w:marTop w:val="0"/>
      <w:marBottom w:val="0"/>
      <w:divBdr>
        <w:top w:val="none" w:sz="0" w:space="0" w:color="auto"/>
        <w:left w:val="none" w:sz="0" w:space="0" w:color="auto"/>
        <w:bottom w:val="none" w:sz="0" w:space="0" w:color="auto"/>
        <w:right w:val="none" w:sz="0" w:space="0" w:color="auto"/>
      </w:divBdr>
      <w:divsChild>
        <w:div w:id="287704579">
          <w:marLeft w:val="0"/>
          <w:marRight w:val="0"/>
          <w:marTop w:val="0"/>
          <w:marBottom w:val="0"/>
          <w:divBdr>
            <w:top w:val="none" w:sz="0" w:space="0" w:color="auto"/>
            <w:left w:val="none" w:sz="0" w:space="0" w:color="auto"/>
            <w:bottom w:val="none" w:sz="0" w:space="0" w:color="auto"/>
            <w:right w:val="none" w:sz="0" w:space="0" w:color="auto"/>
          </w:divBdr>
        </w:div>
      </w:divsChild>
    </w:div>
    <w:div w:id="727261131">
      <w:bodyDiv w:val="1"/>
      <w:marLeft w:val="0"/>
      <w:marRight w:val="0"/>
      <w:marTop w:val="0"/>
      <w:marBottom w:val="0"/>
      <w:divBdr>
        <w:top w:val="none" w:sz="0" w:space="0" w:color="auto"/>
        <w:left w:val="none" w:sz="0" w:space="0" w:color="auto"/>
        <w:bottom w:val="none" w:sz="0" w:space="0" w:color="auto"/>
        <w:right w:val="none" w:sz="0" w:space="0" w:color="auto"/>
      </w:divBdr>
      <w:divsChild>
        <w:div w:id="855582587">
          <w:marLeft w:val="0"/>
          <w:marRight w:val="0"/>
          <w:marTop w:val="0"/>
          <w:marBottom w:val="0"/>
          <w:divBdr>
            <w:top w:val="none" w:sz="0" w:space="0" w:color="auto"/>
            <w:left w:val="none" w:sz="0" w:space="0" w:color="auto"/>
            <w:bottom w:val="none" w:sz="0" w:space="0" w:color="auto"/>
            <w:right w:val="none" w:sz="0" w:space="0" w:color="auto"/>
          </w:divBdr>
        </w:div>
      </w:divsChild>
    </w:div>
    <w:div w:id="814184990">
      <w:bodyDiv w:val="1"/>
      <w:marLeft w:val="0"/>
      <w:marRight w:val="0"/>
      <w:marTop w:val="0"/>
      <w:marBottom w:val="0"/>
      <w:divBdr>
        <w:top w:val="none" w:sz="0" w:space="0" w:color="auto"/>
        <w:left w:val="none" w:sz="0" w:space="0" w:color="auto"/>
        <w:bottom w:val="none" w:sz="0" w:space="0" w:color="auto"/>
        <w:right w:val="none" w:sz="0" w:space="0" w:color="auto"/>
      </w:divBdr>
    </w:div>
    <w:div w:id="825439541">
      <w:bodyDiv w:val="1"/>
      <w:marLeft w:val="0"/>
      <w:marRight w:val="0"/>
      <w:marTop w:val="0"/>
      <w:marBottom w:val="0"/>
      <w:divBdr>
        <w:top w:val="none" w:sz="0" w:space="0" w:color="auto"/>
        <w:left w:val="none" w:sz="0" w:space="0" w:color="auto"/>
        <w:bottom w:val="none" w:sz="0" w:space="0" w:color="auto"/>
        <w:right w:val="none" w:sz="0" w:space="0" w:color="auto"/>
      </w:divBdr>
    </w:div>
    <w:div w:id="865367157">
      <w:bodyDiv w:val="1"/>
      <w:marLeft w:val="0"/>
      <w:marRight w:val="0"/>
      <w:marTop w:val="0"/>
      <w:marBottom w:val="0"/>
      <w:divBdr>
        <w:top w:val="none" w:sz="0" w:space="0" w:color="auto"/>
        <w:left w:val="none" w:sz="0" w:space="0" w:color="auto"/>
        <w:bottom w:val="none" w:sz="0" w:space="0" w:color="auto"/>
        <w:right w:val="none" w:sz="0" w:space="0" w:color="auto"/>
      </w:divBdr>
      <w:divsChild>
        <w:div w:id="1659193267">
          <w:marLeft w:val="0"/>
          <w:marRight w:val="0"/>
          <w:marTop w:val="0"/>
          <w:marBottom w:val="166"/>
          <w:divBdr>
            <w:top w:val="none" w:sz="0" w:space="0" w:color="auto"/>
            <w:left w:val="none" w:sz="0" w:space="0" w:color="auto"/>
            <w:bottom w:val="none" w:sz="0" w:space="0" w:color="auto"/>
            <w:right w:val="none" w:sz="0" w:space="0" w:color="auto"/>
          </w:divBdr>
          <w:divsChild>
            <w:div w:id="195704231">
              <w:marLeft w:val="0"/>
              <w:marRight w:val="0"/>
              <w:marTop w:val="0"/>
              <w:marBottom w:val="0"/>
              <w:divBdr>
                <w:top w:val="none" w:sz="0" w:space="0" w:color="auto"/>
                <w:left w:val="none" w:sz="0" w:space="0" w:color="auto"/>
                <w:bottom w:val="none" w:sz="0" w:space="0" w:color="auto"/>
                <w:right w:val="none" w:sz="0" w:space="0" w:color="auto"/>
              </w:divBdr>
              <w:divsChild>
                <w:div w:id="299116495">
                  <w:marLeft w:val="0"/>
                  <w:marRight w:val="0"/>
                  <w:marTop w:val="0"/>
                  <w:marBottom w:val="0"/>
                  <w:divBdr>
                    <w:top w:val="none" w:sz="0" w:space="0" w:color="auto"/>
                    <w:left w:val="none" w:sz="0" w:space="0" w:color="auto"/>
                    <w:bottom w:val="none" w:sz="0" w:space="0" w:color="auto"/>
                    <w:right w:val="none" w:sz="0" w:space="0" w:color="auto"/>
                  </w:divBdr>
                  <w:divsChild>
                    <w:div w:id="1984581017">
                      <w:marLeft w:val="240"/>
                      <w:marRight w:val="0"/>
                      <w:marTop w:val="0"/>
                      <w:marBottom w:val="0"/>
                      <w:divBdr>
                        <w:top w:val="none" w:sz="0" w:space="0" w:color="auto"/>
                        <w:left w:val="none" w:sz="0" w:space="0" w:color="auto"/>
                        <w:bottom w:val="none" w:sz="0" w:space="0" w:color="auto"/>
                        <w:right w:val="none" w:sz="0" w:space="0" w:color="auto"/>
                      </w:divBdr>
                      <w:divsChild>
                        <w:div w:id="5032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248">
                  <w:marLeft w:val="0"/>
                  <w:marRight w:val="0"/>
                  <w:marTop w:val="0"/>
                  <w:marBottom w:val="0"/>
                  <w:divBdr>
                    <w:top w:val="none" w:sz="0" w:space="0" w:color="auto"/>
                    <w:left w:val="none" w:sz="0" w:space="0" w:color="auto"/>
                    <w:bottom w:val="none" w:sz="0" w:space="0" w:color="auto"/>
                    <w:right w:val="none" w:sz="0" w:space="0" w:color="auto"/>
                  </w:divBdr>
                  <w:divsChild>
                    <w:div w:id="1219434258">
                      <w:marLeft w:val="0"/>
                      <w:marRight w:val="0"/>
                      <w:marTop w:val="0"/>
                      <w:marBottom w:val="0"/>
                      <w:divBdr>
                        <w:top w:val="none" w:sz="0" w:space="0" w:color="auto"/>
                        <w:left w:val="none" w:sz="0" w:space="0" w:color="auto"/>
                        <w:bottom w:val="none" w:sz="0" w:space="0" w:color="auto"/>
                        <w:right w:val="none" w:sz="0" w:space="0" w:color="auto"/>
                      </w:divBdr>
                    </w:div>
                    <w:div w:id="4569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3023">
          <w:marLeft w:val="0"/>
          <w:marRight w:val="0"/>
          <w:marTop w:val="166"/>
          <w:marBottom w:val="166"/>
          <w:divBdr>
            <w:top w:val="none" w:sz="0" w:space="0" w:color="auto"/>
            <w:left w:val="none" w:sz="0" w:space="0" w:color="auto"/>
            <w:bottom w:val="none" w:sz="0" w:space="0" w:color="auto"/>
            <w:right w:val="none" w:sz="0" w:space="0" w:color="auto"/>
          </w:divBdr>
          <w:divsChild>
            <w:div w:id="11172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5002">
      <w:bodyDiv w:val="1"/>
      <w:marLeft w:val="0"/>
      <w:marRight w:val="0"/>
      <w:marTop w:val="0"/>
      <w:marBottom w:val="0"/>
      <w:divBdr>
        <w:top w:val="none" w:sz="0" w:space="0" w:color="auto"/>
        <w:left w:val="none" w:sz="0" w:space="0" w:color="auto"/>
        <w:bottom w:val="none" w:sz="0" w:space="0" w:color="auto"/>
        <w:right w:val="none" w:sz="0" w:space="0" w:color="auto"/>
      </w:divBdr>
    </w:div>
    <w:div w:id="896159457">
      <w:bodyDiv w:val="1"/>
      <w:marLeft w:val="0"/>
      <w:marRight w:val="0"/>
      <w:marTop w:val="0"/>
      <w:marBottom w:val="0"/>
      <w:divBdr>
        <w:top w:val="none" w:sz="0" w:space="0" w:color="auto"/>
        <w:left w:val="none" w:sz="0" w:space="0" w:color="auto"/>
        <w:bottom w:val="none" w:sz="0" w:space="0" w:color="auto"/>
        <w:right w:val="none" w:sz="0" w:space="0" w:color="auto"/>
      </w:divBdr>
    </w:div>
    <w:div w:id="898328102">
      <w:bodyDiv w:val="1"/>
      <w:marLeft w:val="0"/>
      <w:marRight w:val="0"/>
      <w:marTop w:val="0"/>
      <w:marBottom w:val="0"/>
      <w:divBdr>
        <w:top w:val="none" w:sz="0" w:space="0" w:color="auto"/>
        <w:left w:val="none" w:sz="0" w:space="0" w:color="auto"/>
        <w:bottom w:val="none" w:sz="0" w:space="0" w:color="auto"/>
        <w:right w:val="none" w:sz="0" w:space="0" w:color="auto"/>
      </w:divBdr>
      <w:divsChild>
        <w:div w:id="57552764">
          <w:marLeft w:val="0"/>
          <w:marRight w:val="0"/>
          <w:marTop w:val="34"/>
          <w:marBottom w:val="34"/>
          <w:divBdr>
            <w:top w:val="none" w:sz="0" w:space="0" w:color="auto"/>
            <w:left w:val="none" w:sz="0" w:space="0" w:color="auto"/>
            <w:bottom w:val="none" w:sz="0" w:space="0" w:color="auto"/>
            <w:right w:val="none" w:sz="0" w:space="0" w:color="auto"/>
          </w:divBdr>
        </w:div>
      </w:divsChild>
    </w:div>
    <w:div w:id="908930312">
      <w:bodyDiv w:val="1"/>
      <w:marLeft w:val="0"/>
      <w:marRight w:val="0"/>
      <w:marTop w:val="0"/>
      <w:marBottom w:val="0"/>
      <w:divBdr>
        <w:top w:val="none" w:sz="0" w:space="0" w:color="auto"/>
        <w:left w:val="none" w:sz="0" w:space="0" w:color="auto"/>
        <w:bottom w:val="none" w:sz="0" w:space="0" w:color="auto"/>
        <w:right w:val="none" w:sz="0" w:space="0" w:color="auto"/>
      </w:divBdr>
    </w:div>
    <w:div w:id="951479485">
      <w:bodyDiv w:val="1"/>
      <w:marLeft w:val="0"/>
      <w:marRight w:val="0"/>
      <w:marTop w:val="0"/>
      <w:marBottom w:val="0"/>
      <w:divBdr>
        <w:top w:val="none" w:sz="0" w:space="0" w:color="auto"/>
        <w:left w:val="none" w:sz="0" w:space="0" w:color="auto"/>
        <w:bottom w:val="none" w:sz="0" w:space="0" w:color="auto"/>
        <w:right w:val="none" w:sz="0" w:space="0" w:color="auto"/>
      </w:divBdr>
      <w:divsChild>
        <w:div w:id="411901038">
          <w:marLeft w:val="0"/>
          <w:marRight w:val="0"/>
          <w:marTop w:val="0"/>
          <w:marBottom w:val="0"/>
          <w:divBdr>
            <w:top w:val="none" w:sz="0" w:space="0" w:color="auto"/>
            <w:left w:val="none" w:sz="0" w:space="0" w:color="auto"/>
            <w:bottom w:val="none" w:sz="0" w:space="0" w:color="auto"/>
            <w:right w:val="none" w:sz="0" w:space="0" w:color="auto"/>
          </w:divBdr>
          <w:divsChild>
            <w:div w:id="862284798">
              <w:marLeft w:val="0"/>
              <w:marRight w:val="0"/>
              <w:marTop w:val="0"/>
              <w:marBottom w:val="0"/>
              <w:divBdr>
                <w:top w:val="none" w:sz="0" w:space="0" w:color="auto"/>
                <w:left w:val="none" w:sz="0" w:space="0" w:color="auto"/>
                <w:bottom w:val="none" w:sz="0" w:space="0" w:color="auto"/>
                <w:right w:val="none" w:sz="0" w:space="0" w:color="auto"/>
              </w:divBdr>
              <w:divsChild>
                <w:div w:id="2888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9146">
      <w:bodyDiv w:val="1"/>
      <w:marLeft w:val="0"/>
      <w:marRight w:val="0"/>
      <w:marTop w:val="0"/>
      <w:marBottom w:val="0"/>
      <w:divBdr>
        <w:top w:val="none" w:sz="0" w:space="0" w:color="auto"/>
        <w:left w:val="none" w:sz="0" w:space="0" w:color="auto"/>
        <w:bottom w:val="none" w:sz="0" w:space="0" w:color="auto"/>
        <w:right w:val="none" w:sz="0" w:space="0" w:color="auto"/>
      </w:divBdr>
      <w:divsChild>
        <w:div w:id="1597522613">
          <w:marLeft w:val="0"/>
          <w:marRight w:val="0"/>
          <w:marTop w:val="0"/>
          <w:marBottom w:val="166"/>
          <w:divBdr>
            <w:top w:val="none" w:sz="0" w:space="0" w:color="auto"/>
            <w:left w:val="none" w:sz="0" w:space="0" w:color="auto"/>
            <w:bottom w:val="none" w:sz="0" w:space="0" w:color="auto"/>
            <w:right w:val="none" w:sz="0" w:space="0" w:color="auto"/>
          </w:divBdr>
          <w:divsChild>
            <w:div w:id="264070610">
              <w:marLeft w:val="0"/>
              <w:marRight w:val="0"/>
              <w:marTop w:val="0"/>
              <w:marBottom w:val="0"/>
              <w:divBdr>
                <w:top w:val="none" w:sz="0" w:space="0" w:color="auto"/>
                <w:left w:val="none" w:sz="0" w:space="0" w:color="auto"/>
                <w:bottom w:val="none" w:sz="0" w:space="0" w:color="auto"/>
                <w:right w:val="none" w:sz="0" w:space="0" w:color="auto"/>
              </w:divBdr>
              <w:divsChild>
                <w:div w:id="1733652000">
                  <w:marLeft w:val="0"/>
                  <w:marRight w:val="0"/>
                  <w:marTop w:val="0"/>
                  <w:marBottom w:val="0"/>
                  <w:divBdr>
                    <w:top w:val="none" w:sz="0" w:space="0" w:color="auto"/>
                    <w:left w:val="none" w:sz="0" w:space="0" w:color="auto"/>
                    <w:bottom w:val="none" w:sz="0" w:space="0" w:color="auto"/>
                    <w:right w:val="none" w:sz="0" w:space="0" w:color="auto"/>
                  </w:divBdr>
                  <w:divsChild>
                    <w:div w:id="1499537223">
                      <w:marLeft w:val="0"/>
                      <w:marRight w:val="0"/>
                      <w:marTop w:val="0"/>
                      <w:marBottom w:val="0"/>
                      <w:divBdr>
                        <w:top w:val="none" w:sz="0" w:space="0" w:color="auto"/>
                        <w:left w:val="none" w:sz="0" w:space="0" w:color="auto"/>
                        <w:bottom w:val="none" w:sz="0" w:space="0" w:color="auto"/>
                        <w:right w:val="none" w:sz="0" w:space="0" w:color="auto"/>
                      </w:divBdr>
                      <w:divsChild>
                        <w:div w:id="1734890781">
                          <w:marLeft w:val="0"/>
                          <w:marRight w:val="0"/>
                          <w:marTop w:val="0"/>
                          <w:marBottom w:val="0"/>
                          <w:divBdr>
                            <w:top w:val="none" w:sz="0" w:space="0" w:color="auto"/>
                            <w:left w:val="none" w:sz="0" w:space="0" w:color="auto"/>
                            <w:bottom w:val="none" w:sz="0" w:space="0" w:color="auto"/>
                            <w:right w:val="none" w:sz="0" w:space="0" w:color="auto"/>
                          </w:divBdr>
                        </w:div>
                        <w:div w:id="16824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247">
                  <w:marLeft w:val="0"/>
                  <w:marRight w:val="0"/>
                  <w:marTop w:val="0"/>
                  <w:marBottom w:val="0"/>
                  <w:divBdr>
                    <w:top w:val="none" w:sz="0" w:space="0" w:color="auto"/>
                    <w:left w:val="none" w:sz="0" w:space="0" w:color="auto"/>
                    <w:bottom w:val="none" w:sz="0" w:space="0" w:color="auto"/>
                    <w:right w:val="none" w:sz="0" w:space="0" w:color="auto"/>
                  </w:divBdr>
                  <w:divsChild>
                    <w:div w:id="20371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0763">
      <w:bodyDiv w:val="1"/>
      <w:marLeft w:val="0"/>
      <w:marRight w:val="0"/>
      <w:marTop w:val="0"/>
      <w:marBottom w:val="0"/>
      <w:divBdr>
        <w:top w:val="none" w:sz="0" w:space="0" w:color="auto"/>
        <w:left w:val="none" w:sz="0" w:space="0" w:color="auto"/>
        <w:bottom w:val="none" w:sz="0" w:space="0" w:color="auto"/>
        <w:right w:val="none" w:sz="0" w:space="0" w:color="auto"/>
      </w:divBdr>
    </w:div>
    <w:div w:id="10484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575552">
          <w:marLeft w:val="0"/>
          <w:marRight w:val="0"/>
          <w:marTop w:val="0"/>
          <w:marBottom w:val="166"/>
          <w:divBdr>
            <w:top w:val="none" w:sz="0" w:space="0" w:color="auto"/>
            <w:left w:val="none" w:sz="0" w:space="0" w:color="auto"/>
            <w:bottom w:val="none" w:sz="0" w:space="0" w:color="auto"/>
            <w:right w:val="none" w:sz="0" w:space="0" w:color="auto"/>
          </w:divBdr>
          <w:divsChild>
            <w:div w:id="808090045">
              <w:marLeft w:val="0"/>
              <w:marRight w:val="0"/>
              <w:marTop w:val="0"/>
              <w:marBottom w:val="0"/>
              <w:divBdr>
                <w:top w:val="none" w:sz="0" w:space="0" w:color="auto"/>
                <w:left w:val="none" w:sz="0" w:space="0" w:color="auto"/>
                <w:bottom w:val="none" w:sz="0" w:space="0" w:color="auto"/>
                <w:right w:val="none" w:sz="0" w:space="0" w:color="auto"/>
              </w:divBdr>
              <w:divsChild>
                <w:div w:id="1817985981">
                  <w:marLeft w:val="0"/>
                  <w:marRight w:val="0"/>
                  <w:marTop w:val="0"/>
                  <w:marBottom w:val="0"/>
                  <w:divBdr>
                    <w:top w:val="none" w:sz="0" w:space="0" w:color="auto"/>
                    <w:left w:val="none" w:sz="0" w:space="0" w:color="auto"/>
                    <w:bottom w:val="none" w:sz="0" w:space="0" w:color="auto"/>
                    <w:right w:val="none" w:sz="0" w:space="0" w:color="auto"/>
                  </w:divBdr>
                  <w:divsChild>
                    <w:div w:id="1025524517">
                      <w:marLeft w:val="240"/>
                      <w:marRight w:val="0"/>
                      <w:marTop w:val="0"/>
                      <w:marBottom w:val="0"/>
                      <w:divBdr>
                        <w:top w:val="none" w:sz="0" w:space="0" w:color="auto"/>
                        <w:left w:val="none" w:sz="0" w:space="0" w:color="auto"/>
                        <w:bottom w:val="none" w:sz="0" w:space="0" w:color="auto"/>
                        <w:right w:val="none" w:sz="0" w:space="0" w:color="auto"/>
                      </w:divBdr>
                      <w:divsChild>
                        <w:div w:id="14265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4125">
                  <w:marLeft w:val="0"/>
                  <w:marRight w:val="0"/>
                  <w:marTop w:val="0"/>
                  <w:marBottom w:val="0"/>
                  <w:divBdr>
                    <w:top w:val="none" w:sz="0" w:space="0" w:color="auto"/>
                    <w:left w:val="none" w:sz="0" w:space="0" w:color="auto"/>
                    <w:bottom w:val="none" w:sz="0" w:space="0" w:color="auto"/>
                    <w:right w:val="none" w:sz="0" w:space="0" w:color="auto"/>
                  </w:divBdr>
                  <w:divsChild>
                    <w:div w:id="1227839059">
                      <w:marLeft w:val="0"/>
                      <w:marRight w:val="0"/>
                      <w:marTop w:val="0"/>
                      <w:marBottom w:val="0"/>
                      <w:divBdr>
                        <w:top w:val="none" w:sz="0" w:space="0" w:color="auto"/>
                        <w:left w:val="none" w:sz="0" w:space="0" w:color="auto"/>
                        <w:bottom w:val="none" w:sz="0" w:space="0" w:color="auto"/>
                        <w:right w:val="none" w:sz="0" w:space="0" w:color="auto"/>
                      </w:divBdr>
                    </w:div>
                    <w:div w:id="11667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3275">
          <w:marLeft w:val="0"/>
          <w:marRight w:val="0"/>
          <w:marTop w:val="166"/>
          <w:marBottom w:val="166"/>
          <w:divBdr>
            <w:top w:val="none" w:sz="0" w:space="0" w:color="auto"/>
            <w:left w:val="none" w:sz="0" w:space="0" w:color="auto"/>
            <w:bottom w:val="none" w:sz="0" w:space="0" w:color="auto"/>
            <w:right w:val="none" w:sz="0" w:space="0" w:color="auto"/>
          </w:divBdr>
          <w:divsChild>
            <w:div w:id="11026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2470">
      <w:bodyDiv w:val="1"/>
      <w:marLeft w:val="0"/>
      <w:marRight w:val="0"/>
      <w:marTop w:val="0"/>
      <w:marBottom w:val="0"/>
      <w:divBdr>
        <w:top w:val="none" w:sz="0" w:space="0" w:color="auto"/>
        <w:left w:val="none" w:sz="0" w:space="0" w:color="auto"/>
        <w:bottom w:val="none" w:sz="0" w:space="0" w:color="auto"/>
        <w:right w:val="none" w:sz="0" w:space="0" w:color="auto"/>
      </w:divBdr>
    </w:div>
    <w:div w:id="1193616171">
      <w:bodyDiv w:val="1"/>
      <w:marLeft w:val="0"/>
      <w:marRight w:val="0"/>
      <w:marTop w:val="0"/>
      <w:marBottom w:val="0"/>
      <w:divBdr>
        <w:top w:val="none" w:sz="0" w:space="0" w:color="auto"/>
        <w:left w:val="none" w:sz="0" w:space="0" w:color="auto"/>
        <w:bottom w:val="none" w:sz="0" w:space="0" w:color="auto"/>
        <w:right w:val="none" w:sz="0" w:space="0" w:color="auto"/>
      </w:divBdr>
      <w:divsChild>
        <w:div w:id="1517307573">
          <w:marLeft w:val="0"/>
          <w:marRight w:val="0"/>
          <w:marTop w:val="0"/>
          <w:marBottom w:val="0"/>
          <w:divBdr>
            <w:top w:val="single" w:sz="6" w:space="16" w:color="414141"/>
            <w:left w:val="single" w:sz="6" w:space="18" w:color="414141"/>
            <w:bottom w:val="single" w:sz="6" w:space="0" w:color="414141"/>
            <w:right w:val="single" w:sz="6" w:space="31" w:color="414141"/>
          </w:divBdr>
          <w:divsChild>
            <w:div w:id="1482116023">
              <w:marLeft w:val="0"/>
              <w:marRight w:val="0"/>
              <w:marTop w:val="0"/>
              <w:marBottom w:val="0"/>
              <w:divBdr>
                <w:top w:val="none" w:sz="0" w:space="0" w:color="auto"/>
                <w:left w:val="none" w:sz="0" w:space="0" w:color="auto"/>
                <w:bottom w:val="none" w:sz="0" w:space="0" w:color="auto"/>
                <w:right w:val="none" w:sz="0" w:space="0" w:color="auto"/>
              </w:divBdr>
            </w:div>
          </w:divsChild>
        </w:div>
        <w:div w:id="1304385126">
          <w:marLeft w:val="0"/>
          <w:marRight w:val="0"/>
          <w:marTop w:val="0"/>
          <w:marBottom w:val="0"/>
          <w:divBdr>
            <w:top w:val="single" w:sz="6" w:space="16" w:color="414141"/>
            <w:left w:val="single" w:sz="6" w:space="18" w:color="414141"/>
            <w:bottom w:val="single" w:sz="6" w:space="0" w:color="414141"/>
            <w:right w:val="single" w:sz="6" w:space="31" w:color="414141"/>
          </w:divBdr>
          <w:divsChild>
            <w:div w:id="998311918">
              <w:marLeft w:val="0"/>
              <w:marRight w:val="0"/>
              <w:marTop w:val="0"/>
              <w:marBottom w:val="0"/>
              <w:divBdr>
                <w:top w:val="none" w:sz="0" w:space="0" w:color="auto"/>
                <w:left w:val="none" w:sz="0" w:space="0" w:color="auto"/>
                <w:bottom w:val="none" w:sz="0" w:space="0" w:color="auto"/>
                <w:right w:val="none" w:sz="0" w:space="0" w:color="auto"/>
              </w:divBdr>
            </w:div>
          </w:divsChild>
        </w:div>
        <w:div w:id="880819641">
          <w:marLeft w:val="0"/>
          <w:marRight w:val="0"/>
          <w:marTop w:val="0"/>
          <w:marBottom w:val="0"/>
          <w:divBdr>
            <w:top w:val="single" w:sz="6" w:space="16" w:color="414141"/>
            <w:left w:val="single" w:sz="6" w:space="18" w:color="414141"/>
            <w:bottom w:val="single" w:sz="6" w:space="0" w:color="414141"/>
            <w:right w:val="single" w:sz="6" w:space="31" w:color="414141"/>
          </w:divBdr>
          <w:divsChild>
            <w:div w:id="761730601">
              <w:marLeft w:val="0"/>
              <w:marRight w:val="0"/>
              <w:marTop w:val="0"/>
              <w:marBottom w:val="0"/>
              <w:divBdr>
                <w:top w:val="none" w:sz="0" w:space="0" w:color="auto"/>
                <w:left w:val="none" w:sz="0" w:space="0" w:color="auto"/>
                <w:bottom w:val="none" w:sz="0" w:space="0" w:color="auto"/>
                <w:right w:val="none" w:sz="0" w:space="0" w:color="auto"/>
              </w:divBdr>
            </w:div>
          </w:divsChild>
        </w:div>
        <w:div w:id="1316304528">
          <w:marLeft w:val="0"/>
          <w:marRight w:val="0"/>
          <w:marTop w:val="0"/>
          <w:marBottom w:val="0"/>
          <w:divBdr>
            <w:top w:val="single" w:sz="6" w:space="16" w:color="414141"/>
            <w:left w:val="single" w:sz="6" w:space="18" w:color="414141"/>
            <w:bottom w:val="single" w:sz="6" w:space="0" w:color="414141"/>
            <w:right w:val="single" w:sz="6" w:space="31" w:color="414141"/>
          </w:divBdr>
          <w:divsChild>
            <w:div w:id="13189650">
              <w:marLeft w:val="0"/>
              <w:marRight w:val="0"/>
              <w:marTop w:val="0"/>
              <w:marBottom w:val="0"/>
              <w:divBdr>
                <w:top w:val="none" w:sz="0" w:space="0" w:color="auto"/>
                <w:left w:val="none" w:sz="0" w:space="0" w:color="auto"/>
                <w:bottom w:val="none" w:sz="0" w:space="0" w:color="auto"/>
                <w:right w:val="none" w:sz="0" w:space="0" w:color="auto"/>
              </w:divBdr>
            </w:div>
          </w:divsChild>
        </w:div>
        <w:div w:id="620577649">
          <w:marLeft w:val="0"/>
          <w:marRight w:val="0"/>
          <w:marTop w:val="0"/>
          <w:marBottom w:val="0"/>
          <w:divBdr>
            <w:top w:val="single" w:sz="6" w:space="16" w:color="414141"/>
            <w:left w:val="single" w:sz="6" w:space="18" w:color="414141"/>
            <w:bottom w:val="single" w:sz="6" w:space="0" w:color="414141"/>
            <w:right w:val="single" w:sz="6" w:space="31" w:color="414141"/>
          </w:divBdr>
          <w:divsChild>
            <w:div w:id="1209801664">
              <w:marLeft w:val="0"/>
              <w:marRight w:val="0"/>
              <w:marTop w:val="0"/>
              <w:marBottom w:val="0"/>
              <w:divBdr>
                <w:top w:val="none" w:sz="0" w:space="0" w:color="auto"/>
                <w:left w:val="none" w:sz="0" w:space="0" w:color="auto"/>
                <w:bottom w:val="none" w:sz="0" w:space="0" w:color="auto"/>
                <w:right w:val="none" w:sz="0" w:space="0" w:color="auto"/>
              </w:divBdr>
            </w:div>
          </w:divsChild>
        </w:div>
        <w:div w:id="1850873316">
          <w:marLeft w:val="0"/>
          <w:marRight w:val="0"/>
          <w:marTop w:val="0"/>
          <w:marBottom w:val="0"/>
          <w:divBdr>
            <w:top w:val="single" w:sz="6" w:space="16" w:color="414141"/>
            <w:left w:val="single" w:sz="6" w:space="18" w:color="414141"/>
            <w:bottom w:val="single" w:sz="6" w:space="0" w:color="414141"/>
            <w:right w:val="single" w:sz="6" w:space="31" w:color="414141"/>
          </w:divBdr>
          <w:divsChild>
            <w:div w:id="18746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5715">
      <w:bodyDiv w:val="1"/>
      <w:marLeft w:val="0"/>
      <w:marRight w:val="0"/>
      <w:marTop w:val="0"/>
      <w:marBottom w:val="0"/>
      <w:divBdr>
        <w:top w:val="none" w:sz="0" w:space="0" w:color="auto"/>
        <w:left w:val="none" w:sz="0" w:space="0" w:color="auto"/>
        <w:bottom w:val="none" w:sz="0" w:space="0" w:color="auto"/>
        <w:right w:val="none" w:sz="0" w:space="0" w:color="auto"/>
      </w:divBdr>
    </w:div>
    <w:div w:id="1260023593">
      <w:bodyDiv w:val="1"/>
      <w:marLeft w:val="0"/>
      <w:marRight w:val="0"/>
      <w:marTop w:val="0"/>
      <w:marBottom w:val="0"/>
      <w:divBdr>
        <w:top w:val="none" w:sz="0" w:space="0" w:color="auto"/>
        <w:left w:val="none" w:sz="0" w:space="0" w:color="auto"/>
        <w:bottom w:val="none" w:sz="0" w:space="0" w:color="auto"/>
        <w:right w:val="none" w:sz="0" w:space="0" w:color="auto"/>
      </w:divBdr>
      <w:divsChild>
        <w:div w:id="631860340">
          <w:marLeft w:val="720"/>
          <w:marRight w:val="0"/>
          <w:marTop w:val="0"/>
          <w:marBottom w:val="0"/>
          <w:divBdr>
            <w:top w:val="none" w:sz="0" w:space="0" w:color="auto"/>
            <w:left w:val="none" w:sz="0" w:space="0" w:color="auto"/>
            <w:bottom w:val="none" w:sz="0" w:space="0" w:color="auto"/>
            <w:right w:val="none" w:sz="0" w:space="0" w:color="auto"/>
          </w:divBdr>
        </w:div>
      </w:divsChild>
    </w:div>
    <w:div w:id="1280724029">
      <w:bodyDiv w:val="1"/>
      <w:marLeft w:val="0"/>
      <w:marRight w:val="0"/>
      <w:marTop w:val="0"/>
      <w:marBottom w:val="0"/>
      <w:divBdr>
        <w:top w:val="none" w:sz="0" w:space="0" w:color="auto"/>
        <w:left w:val="none" w:sz="0" w:space="0" w:color="auto"/>
        <w:bottom w:val="none" w:sz="0" w:space="0" w:color="auto"/>
        <w:right w:val="none" w:sz="0" w:space="0" w:color="auto"/>
      </w:divBdr>
      <w:divsChild>
        <w:div w:id="1072855144">
          <w:marLeft w:val="0"/>
          <w:marRight w:val="45"/>
          <w:marTop w:val="0"/>
          <w:marBottom w:val="0"/>
          <w:divBdr>
            <w:top w:val="none" w:sz="0" w:space="0" w:color="auto"/>
            <w:left w:val="none" w:sz="0" w:space="0" w:color="auto"/>
            <w:bottom w:val="none" w:sz="0" w:space="0" w:color="auto"/>
            <w:right w:val="none" w:sz="0" w:space="0" w:color="auto"/>
          </w:divBdr>
        </w:div>
        <w:div w:id="1715616217">
          <w:marLeft w:val="0"/>
          <w:marRight w:val="0"/>
          <w:marTop w:val="0"/>
          <w:marBottom w:val="0"/>
          <w:divBdr>
            <w:top w:val="none" w:sz="0" w:space="0" w:color="auto"/>
            <w:left w:val="none" w:sz="0" w:space="0" w:color="auto"/>
            <w:bottom w:val="none" w:sz="0" w:space="0" w:color="auto"/>
            <w:right w:val="none" w:sz="0" w:space="0" w:color="auto"/>
          </w:divBdr>
          <w:divsChild>
            <w:div w:id="1726641664">
              <w:marLeft w:val="0"/>
              <w:marRight w:val="0"/>
              <w:marTop w:val="0"/>
              <w:marBottom w:val="30"/>
              <w:divBdr>
                <w:top w:val="none" w:sz="0" w:space="0" w:color="auto"/>
                <w:left w:val="none" w:sz="0" w:space="0" w:color="auto"/>
                <w:bottom w:val="none" w:sz="0" w:space="0" w:color="auto"/>
                <w:right w:val="none" w:sz="0" w:space="0" w:color="auto"/>
              </w:divBdr>
            </w:div>
            <w:div w:id="2128431682">
              <w:marLeft w:val="0"/>
              <w:marRight w:val="1500"/>
              <w:marTop w:val="0"/>
              <w:marBottom w:val="0"/>
              <w:divBdr>
                <w:top w:val="none" w:sz="0" w:space="0" w:color="auto"/>
                <w:left w:val="none" w:sz="0" w:space="0" w:color="auto"/>
                <w:bottom w:val="none" w:sz="0" w:space="0" w:color="auto"/>
                <w:right w:val="none" w:sz="0" w:space="0" w:color="auto"/>
              </w:divBdr>
            </w:div>
            <w:div w:id="13617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0733">
      <w:bodyDiv w:val="1"/>
      <w:marLeft w:val="0"/>
      <w:marRight w:val="0"/>
      <w:marTop w:val="0"/>
      <w:marBottom w:val="0"/>
      <w:divBdr>
        <w:top w:val="none" w:sz="0" w:space="0" w:color="auto"/>
        <w:left w:val="none" w:sz="0" w:space="0" w:color="auto"/>
        <w:bottom w:val="none" w:sz="0" w:space="0" w:color="auto"/>
        <w:right w:val="none" w:sz="0" w:space="0" w:color="auto"/>
      </w:divBdr>
      <w:divsChild>
        <w:div w:id="578562563">
          <w:marLeft w:val="0"/>
          <w:marRight w:val="0"/>
          <w:marTop w:val="34"/>
          <w:marBottom w:val="34"/>
          <w:divBdr>
            <w:top w:val="none" w:sz="0" w:space="0" w:color="auto"/>
            <w:left w:val="none" w:sz="0" w:space="0" w:color="auto"/>
            <w:bottom w:val="none" w:sz="0" w:space="0" w:color="auto"/>
            <w:right w:val="none" w:sz="0" w:space="0" w:color="auto"/>
          </w:divBdr>
        </w:div>
      </w:divsChild>
    </w:div>
    <w:div w:id="1334140069">
      <w:bodyDiv w:val="1"/>
      <w:marLeft w:val="0"/>
      <w:marRight w:val="0"/>
      <w:marTop w:val="0"/>
      <w:marBottom w:val="0"/>
      <w:divBdr>
        <w:top w:val="none" w:sz="0" w:space="0" w:color="auto"/>
        <w:left w:val="none" w:sz="0" w:space="0" w:color="auto"/>
        <w:bottom w:val="none" w:sz="0" w:space="0" w:color="auto"/>
        <w:right w:val="none" w:sz="0" w:space="0" w:color="auto"/>
      </w:divBdr>
      <w:divsChild>
        <w:div w:id="569926867">
          <w:marLeft w:val="0"/>
          <w:marRight w:val="180"/>
          <w:marTop w:val="0"/>
          <w:marBottom w:val="0"/>
          <w:divBdr>
            <w:top w:val="none" w:sz="0" w:space="0" w:color="auto"/>
            <w:left w:val="none" w:sz="0" w:space="0" w:color="auto"/>
            <w:bottom w:val="none" w:sz="0" w:space="0" w:color="auto"/>
            <w:right w:val="none" w:sz="0" w:space="0" w:color="auto"/>
          </w:divBdr>
        </w:div>
        <w:div w:id="735591183">
          <w:marLeft w:val="0"/>
          <w:marRight w:val="0"/>
          <w:marTop w:val="0"/>
          <w:marBottom w:val="30"/>
          <w:divBdr>
            <w:top w:val="none" w:sz="0" w:space="0" w:color="auto"/>
            <w:left w:val="none" w:sz="0" w:space="0" w:color="auto"/>
            <w:bottom w:val="none" w:sz="0" w:space="0" w:color="auto"/>
            <w:right w:val="none" w:sz="0" w:space="0" w:color="auto"/>
          </w:divBdr>
          <w:divsChild>
            <w:div w:id="465859381">
              <w:marLeft w:val="0"/>
              <w:marRight w:val="0"/>
              <w:marTop w:val="48"/>
              <w:marBottom w:val="48"/>
              <w:divBdr>
                <w:top w:val="none" w:sz="0" w:space="0" w:color="auto"/>
                <w:left w:val="none" w:sz="0" w:space="0" w:color="auto"/>
                <w:bottom w:val="none" w:sz="0" w:space="0" w:color="auto"/>
                <w:right w:val="none" w:sz="0" w:space="0" w:color="auto"/>
              </w:divBdr>
            </w:div>
            <w:div w:id="156953491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44934150">
      <w:bodyDiv w:val="1"/>
      <w:marLeft w:val="0"/>
      <w:marRight w:val="0"/>
      <w:marTop w:val="0"/>
      <w:marBottom w:val="0"/>
      <w:divBdr>
        <w:top w:val="none" w:sz="0" w:space="0" w:color="auto"/>
        <w:left w:val="none" w:sz="0" w:space="0" w:color="auto"/>
        <w:bottom w:val="none" w:sz="0" w:space="0" w:color="auto"/>
        <w:right w:val="none" w:sz="0" w:space="0" w:color="auto"/>
      </w:divBdr>
    </w:div>
    <w:div w:id="1419398714">
      <w:bodyDiv w:val="1"/>
      <w:marLeft w:val="0"/>
      <w:marRight w:val="0"/>
      <w:marTop w:val="0"/>
      <w:marBottom w:val="0"/>
      <w:divBdr>
        <w:top w:val="none" w:sz="0" w:space="0" w:color="auto"/>
        <w:left w:val="none" w:sz="0" w:space="0" w:color="auto"/>
        <w:bottom w:val="none" w:sz="0" w:space="0" w:color="auto"/>
        <w:right w:val="none" w:sz="0" w:space="0" w:color="auto"/>
      </w:divBdr>
      <w:divsChild>
        <w:div w:id="206451139">
          <w:marLeft w:val="0"/>
          <w:marRight w:val="0"/>
          <w:marTop w:val="0"/>
          <w:marBottom w:val="0"/>
          <w:divBdr>
            <w:top w:val="none" w:sz="0" w:space="0" w:color="auto"/>
            <w:left w:val="none" w:sz="0" w:space="0" w:color="auto"/>
            <w:bottom w:val="none" w:sz="0" w:space="0" w:color="auto"/>
            <w:right w:val="none" w:sz="0" w:space="0" w:color="auto"/>
          </w:divBdr>
          <w:divsChild>
            <w:div w:id="944270667">
              <w:marLeft w:val="0"/>
              <w:marRight w:val="0"/>
              <w:marTop w:val="0"/>
              <w:marBottom w:val="0"/>
              <w:divBdr>
                <w:top w:val="none" w:sz="0" w:space="0" w:color="auto"/>
                <w:left w:val="none" w:sz="0" w:space="0" w:color="auto"/>
                <w:bottom w:val="none" w:sz="0" w:space="0" w:color="auto"/>
                <w:right w:val="none" w:sz="0" w:space="0" w:color="auto"/>
              </w:divBdr>
              <w:divsChild>
                <w:div w:id="2141874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7946354">
          <w:marLeft w:val="0"/>
          <w:marRight w:val="0"/>
          <w:marTop w:val="0"/>
          <w:marBottom w:val="0"/>
          <w:divBdr>
            <w:top w:val="none" w:sz="0" w:space="0" w:color="auto"/>
            <w:left w:val="none" w:sz="0" w:space="0" w:color="auto"/>
            <w:bottom w:val="none" w:sz="0" w:space="0" w:color="auto"/>
            <w:right w:val="none" w:sz="0" w:space="0" w:color="auto"/>
          </w:divBdr>
          <w:divsChild>
            <w:div w:id="1657682228">
              <w:marLeft w:val="0"/>
              <w:marRight w:val="0"/>
              <w:marTop w:val="0"/>
              <w:marBottom w:val="0"/>
              <w:divBdr>
                <w:top w:val="none" w:sz="0" w:space="0" w:color="auto"/>
                <w:left w:val="none" w:sz="0" w:space="0" w:color="auto"/>
                <w:bottom w:val="none" w:sz="0" w:space="0" w:color="auto"/>
                <w:right w:val="none" w:sz="0" w:space="0" w:color="auto"/>
              </w:divBdr>
              <w:divsChild>
                <w:div w:id="2009017546">
                  <w:marLeft w:val="0"/>
                  <w:marRight w:val="0"/>
                  <w:marTop w:val="0"/>
                  <w:marBottom w:val="0"/>
                  <w:divBdr>
                    <w:top w:val="none" w:sz="0" w:space="0" w:color="auto"/>
                    <w:left w:val="none" w:sz="0" w:space="0" w:color="auto"/>
                    <w:bottom w:val="none" w:sz="0" w:space="0" w:color="auto"/>
                    <w:right w:val="none" w:sz="0" w:space="0" w:color="auto"/>
                  </w:divBdr>
                  <w:divsChild>
                    <w:div w:id="1453666510">
                      <w:marLeft w:val="0"/>
                      <w:marRight w:val="0"/>
                      <w:marTop w:val="0"/>
                      <w:marBottom w:val="270"/>
                      <w:divBdr>
                        <w:top w:val="single" w:sz="6" w:space="8" w:color="CCCCCC"/>
                        <w:left w:val="none" w:sz="0" w:space="0" w:color="auto"/>
                        <w:bottom w:val="none" w:sz="0" w:space="0" w:color="auto"/>
                        <w:right w:val="none" w:sz="0" w:space="0" w:color="auto"/>
                      </w:divBdr>
                      <w:divsChild>
                        <w:div w:id="576745517">
                          <w:marLeft w:val="0"/>
                          <w:marRight w:val="0"/>
                          <w:marTop w:val="0"/>
                          <w:marBottom w:val="0"/>
                          <w:divBdr>
                            <w:top w:val="none" w:sz="0" w:space="0" w:color="auto"/>
                            <w:left w:val="none" w:sz="0" w:space="0" w:color="auto"/>
                            <w:bottom w:val="none" w:sz="0" w:space="0" w:color="auto"/>
                            <w:right w:val="none" w:sz="0" w:space="0" w:color="auto"/>
                          </w:divBdr>
                          <w:divsChild>
                            <w:div w:id="303895060">
                              <w:marLeft w:val="0"/>
                              <w:marRight w:val="0"/>
                              <w:marTop w:val="0"/>
                              <w:marBottom w:val="48"/>
                              <w:divBdr>
                                <w:top w:val="none" w:sz="0" w:space="0" w:color="auto"/>
                                <w:left w:val="none" w:sz="0" w:space="0" w:color="auto"/>
                                <w:bottom w:val="none" w:sz="0" w:space="0" w:color="auto"/>
                                <w:right w:val="none" w:sz="0" w:space="0" w:color="auto"/>
                              </w:divBdr>
                            </w:div>
                            <w:div w:id="130636577">
                              <w:marLeft w:val="120"/>
                              <w:marRight w:val="0"/>
                              <w:marTop w:val="0"/>
                              <w:marBottom w:val="0"/>
                              <w:divBdr>
                                <w:top w:val="none" w:sz="0" w:space="0" w:color="auto"/>
                                <w:left w:val="dotted" w:sz="6" w:space="6" w:color="C2C2C2"/>
                                <w:bottom w:val="none" w:sz="0" w:space="0" w:color="auto"/>
                                <w:right w:val="none" w:sz="0" w:space="0" w:color="auto"/>
                              </w:divBdr>
                            </w:div>
                          </w:divsChild>
                        </w:div>
                        <w:div w:id="5324961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1748555">
      <w:bodyDiv w:val="1"/>
      <w:marLeft w:val="0"/>
      <w:marRight w:val="0"/>
      <w:marTop w:val="0"/>
      <w:marBottom w:val="0"/>
      <w:divBdr>
        <w:top w:val="none" w:sz="0" w:space="0" w:color="auto"/>
        <w:left w:val="none" w:sz="0" w:space="0" w:color="auto"/>
        <w:bottom w:val="none" w:sz="0" w:space="0" w:color="auto"/>
        <w:right w:val="none" w:sz="0" w:space="0" w:color="auto"/>
      </w:divBdr>
    </w:div>
    <w:div w:id="1584754430">
      <w:bodyDiv w:val="1"/>
      <w:marLeft w:val="0"/>
      <w:marRight w:val="0"/>
      <w:marTop w:val="0"/>
      <w:marBottom w:val="0"/>
      <w:divBdr>
        <w:top w:val="none" w:sz="0" w:space="0" w:color="auto"/>
        <w:left w:val="none" w:sz="0" w:space="0" w:color="auto"/>
        <w:bottom w:val="none" w:sz="0" w:space="0" w:color="auto"/>
        <w:right w:val="none" w:sz="0" w:space="0" w:color="auto"/>
      </w:divBdr>
      <w:divsChild>
        <w:div w:id="739330336">
          <w:marLeft w:val="0"/>
          <w:marRight w:val="0"/>
          <w:marTop w:val="0"/>
          <w:marBottom w:val="0"/>
          <w:divBdr>
            <w:top w:val="none" w:sz="0" w:space="0" w:color="auto"/>
            <w:left w:val="none" w:sz="0" w:space="0" w:color="auto"/>
            <w:bottom w:val="none" w:sz="0" w:space="0" w:color="auto"/>
            <w:right w:val="none" w:sz="0" w:space="0" w:color="auto"/>
          </w:divBdr>
          <w:divsChild>
            <w:div w:id="388311317">
              <w:marLeft w:val="0"/>
              <w:marRight w:val="0"/>
              <w:marTop w:val="0"/>
              <w:marBottom w:val="0"/>
              <w:divBdr>
                <w:top w:val="none" w:sz="0" w:space="0" w:color="auto"/>
                <w:left w:val="none" w:sz="0" w:space="0" w:color="auto"/>
                <w:bottom w:val="none" w:sz="0" w:space="0" w:color="auto"/>
                <w:right w:val="none" w:sz="0" w:space="0" w:color="auto"/>
              </w:divBdr>
              <w:divsChild>
                <w:div w:id="1593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8861">
      <w:bodyDiv w:val="1"/>
      <w:marLeft w:val="0"/>
      <w:marRight w:val="0"/>
      <w:marTop w:val="0"/>
      <w:marBottom w:val="0"/>
      <w:divBdr>
        <w:top w:val="none" w:sz="0" w:space="0" w:color="auto"/>
        <w:left w:val="none" w:sz="0" w:space="0" w:color="auto"/>
        <w:bottom w:val="none" w:sz="0" w:space="0" w:color="auto"/>
        <w:right w:val="none" w:sz="0" w:space="0" w:color="auto"/>
      </w:divBdr>
    </w:div>
    <w:div w:id="1608930354">
      <w:bodyDiv w:val="1"/>
      <w:marLeft w:val="0"/>
      <w:marRight w:val="0"/>
      <w:marTop w:val="0"/>
      <w:marBottom w:val="0"/>
      <w:divBdr>
        <w:top w:val="none" w:sz="0" w:space="0" w:color="auto"/>
        <w:left w:val="none" w:sz="0" w:space="0" w:color="auto"/>
        <w:bottom w:val="none" w:sz="0" w:space="0" w:color="auto"/>
        <w:right w:val="none" w:sz="0" w:space="0" w:color="auto"/>
      </w:divBdr>
    </w:div>
    <w:div w:id="1618218805">
      <w:bodyDiv w:val="1"/>
      <w:marLeft w:val="0"/>
      <w:marRight w:val="0"/>
      <w:marTop w:val="0"/>
      <w:marBottom w:val="0"/>
      <w:divBdr>
        <w:top w:val="none" w:sz="0" w:space="0" w:color="auto"/>
        <w:left w:val="none" w:sz="0" w:space="0" w:color="auto"/>
        <w:bottom w:val="none" w:sz="0" w:space="0" w:color="auto"/>
        <w:right w:val="none" w:sz="0" w:space="0" w:color="auto"/>
      </w:divBdr>
    </w:div>
    <w:div w:id="1627540433">
      <w:bodyDiv w:val="1"/>
      <w:marLeft w:val="0"/>
      <w:marRight w:val="0"/>
      <w:marTop w:val="0"/>
      <w:marBottom w:val="0"/>
      <w:divBdr>
        <w:top w:val="none" w:sz="0" w:space="0" w:color="auto"/>
        <w:left w:val="none" w:sz="0" w:space="0" w:color="auto"/>
        <w:bottom w:val="none" w:sz="0" w:space="0" w:color="auto"/>
        <w:right w:val="none" w:sz="0" w:space="0" w:color="auto"/>
      </w:divBdr>
      <w:divsChild>
        <w:div w:id="930091976">
          <w:marLeft w:val="446"/>
          <w:marRight w:val="0"/>
          <w:marTop w:val="0"/>
          <w:marBottom w:val="0"/>
          <w:divBdr>
            <w:top w:val="none" w:sz="0" w:space="0" w:color="auto"/>
            <w:left w:val="none" w:sz="0" w:space="0" w:color="auto"/>
            <w:bottom w:val="none" w:sz="0" w:space="0" w:color="auto"/>
            <w:right w:val="none" w:sz="0" w:space="0" w:color="auto"/>
          </w:divBdr>
        </w:div>
        <w:div w:id="1434134672">
          <w:marLeft w:val="446"/>
          <w:marRight w:val="0"/>
          <w:marTop w:val="0"/>
          <w:marBottom w:val="0"/>
          <w:divBdr>
            <w:top w:val="none" w:sz="0" w:space="0" w:color="auto"/>
            <w:left w:val="none" w:sz="0" w:space="0" w:color="auto"/>
            <w:bottom w:val="none" w:sz="0" w:space="0" w:color="auto"/>
            <w:right w:val="none" w:sz="0" w:space="0" w:color="auto"/>
          </w:divBdr>
        </w:div>
        <w:div w:id="801001063">
          <w:marLeft w:val="446"/>
          <w:marRight w:val="0"/>
          <w:marTop w:val="0"/>
          <w:marBottom w:val="0"/>
          <w:divBdr>
            <w:top w:val="none" w:sz="0" w:space="0" w:color="auto"/>
            <w:left w:val="none" w:sz="0" w:space="0" w:color="auto"/>
            <w:bottom w:val="none" w:sz="0" w:space="0" w:color="auto"/>
            <w:right w:val="none" w:sz="0" w:space="0" w:color="auto"/>
          </w:divBdr>
        </w:div>
      </w:divsChild>
    </w:div>
    <w:div w:id="1650790435">
      <w:bodyDiv w:val="1"/>
      <w:marLeft w:val="0"/>
      <w:marRight w:val="0"/>
      <w:marTop w:val="0"/>
      <w:marBottom w:val="0"/>
      <w:divBdr>
        <w:top w:val="none" w:sz="0" w:space="0" w:color="auto"/>
        <w:left w:val="none" w:sz="0" w:space="0" w:color="auto"/>
        <w:bottom w:val="none" w:sz="0" w:space="0" w:color="auto"/>
        <w:right w:val="none" w:sz="0" w:space="0" w:color="auto"/>
      </w:divBdr>
    </w:div>
    <w:div w:id="1651639149">
      <w:bodyDiv w:val="1"/>
      <w:marLeft w:val="0"/>
      <w:marRight w:val="0"/>
      <w:marTop w:val="0"/>
      <w:marBottom w:val="0"/>
      <w:divBdr>
        <w:top w:val="none" w:sz="0" w:space="0" w:color="auto"/>
        <w:left w:val="none" w:sz="0" w:space="0" w:color="auto"/>
        <w:bottom w:val="none" w:sz="0" w:space="0" w:color="auto"/>
        <w:right w:val="none" w:sz="0" w:space="0" w:color="auto"/>
      </w:divBdr>
    </w:div>
    <w:div w:id="1724711515">
      <w:bodyDiv w:val="1"/>
      <w:marLeft w:val="0"/>
      <w:marRight w:val="0"/>
      <w:marTop w:val="0"/>
      <w:marBottom w:val="0"/>
      <w:divBdr>
        <w:top w:val="none" w:sz="0" w:space="0" w:color="auto"/>
        <w:left w:val="none" w:sz="0" w:space="0" w:color="auto"/>
        <w:bottom w:val="none" w:sz="0" w:space="0" w:color="auto"/>
        <w:right w:val="none" w:sz="0" w:space="0" w:color="auto"/>
      </w:divBdr>
      <w:divsChild>
        <w:div w:id="668992041">
          <w:marLeft w:val="0"/>
          <w:marRight w:val="0"/>
          <w:marTop w:val="0"/>
          <w:marBottom w:val="166"/>
          <w:divBdr>
            <w:top w:val="none" w:sz="0" w:space="0" w:color="auto"/>
            <w:left w:val="none" w:sz="0" w:space="0" w:color="auto"/>
            <w:bottom w:val="none" w:sz="0" w:space="0" w:color="auto"/>
            <w:right w:val="none" w:sz="0" w:space="0" w:color="auto"/>
          </w:divBdr>
          <w:divsChild>
            <w:div w:id="434055182">
              <w:marLeft w:val="0"/>
              <w:marRight w:val="0"/>
              <w:marTop w:val="0"/>
              <w:marBottom w:val="0"/>
              <w:divBdr>
                <w:top w:val="none" w:sz="0" w:space="0" w:color="auto"/>
                <w:left w:val="none" w:sz="0" w:space="0" w:color="auto"/>
                <w:bottom w:val="none" w:sz="0" w:space="0" w:color="auto"/>
                <w:right w:val="none" w:sz="0" w:space="0" w:color="auto"/>
              </w:divBdr>
              <w:divsChild>
                <w:div w:id="444732563">
                  <w:marLeft w:val="0"/>
                  <w:marRight w:val="0"/>
                  <w:marTop w:val="0"/>
                  <w:marBottom w:val="0"/>
                  <w:divBdr>
                    <w:top w:val="none" w:sz="0" w:space="0" w:color="auto"/>
                    <w:left w:val="none" w:sz="0" w:space="0" w:color="auto"/>
                    <w:bottom w:val="none" w:sz="0" w:space="0" w:color="auto"/>
                    <w:right w:val="none" w:sz="0" w:space="0" w:color="auto"/>
                  </w:divBdr>
                  <w:divsChild>
                    <w:div w:id="1866554492">
                      <w:marLeft w:val="240"/>
                      <w:marRight w:val="0"/>
                      <w:marTop w:val="0"/>
                      <w:marBottom w:val="0"/>
                      <w:divBdr>
                        <w:top w:val="none" w:sz="0" w:space="0" w:color="auto"/>
                        <w:left w:val="none" w:sz="0" w:space="0" w:color="auto"/>
                        <w:bottom w:val="none" w:sz="0" w:space="0" w:color="auto"/>
                        <w:right w:val="none" w:sz="0" w:space="0" w:color="auto"/>
                      </w:divBdr>
                      <w:divsChild>
                        <w:div w:id="14109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094">
                  <w:marLeft w:val="0"/>
                  <w:marRight w:val="0"/>
                  <w:marTop w:val="0"/>
                  <w:marBottom w:val="0"/>
                  <w:divBdr>
                    <w:top w:val="none" w:sz="0" w:space="0" w:color="auto"/>
                    <w:left w:val="none" w:sz="0" w:space="0" w:color="auto"/>
                    <w:bottom w:val="none" w:sz="0" w:space="0" w:color="auto"/>
                    <w:right w:val="none" w:sz="0" w:space="0" w:color="auto"/>
                  </w:divBdr>
                  <w:divsChild>
                    <w:div w:id="1422608419">
                      <w:marLeft w:val="0"/>
                      <w:marRight w:val="0"/>
                      <w:marTop w:val="0"/>
                      <w:marBottom w:val="0"/>
                      <w:divBdr>
                        <w:top w:val="none" w:sz="0" w:space="0" w:color="auto"/>
                        <w:left w:val="none" w:sz="0" w:space="0" w:color="auto"/>
                        <w:bottom w:val="none" w:sz="0" w:space="0" w:color="auto"/>
                        <w:right w:val="none" w:sz="0" w:space="0" w:color="auto"/>
                      </w:divBdr>
                    </w:div>
                    <w:div w:id="2066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3086">
          <w:marLeft w:val="0"/>
          <w:marRight w:val="0"/>
          <w:marTop w:val="166"/>
          <w:marBottom w:val="166"/>
          <w:divBdr>
            <w:top w:val="none" w:sz="0" w:space="0" w:color="auto"/>
            <w:left w:val="none" w:sz="0" w:space="0" w:color="auto"/>
            <w:bottom w:val="none" w:sz="0" w:space="0" w:color="auto"/>
            <w:right w:val="none" w:sz="0" w:space="0" w:color="auto"/>
          </w:divBdr>
          <w:divsChild>
            <w:div w:id="15972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8914">
      <w:bodyDiv w:val="1"/>
      <w:marLeft w:val="0"/>
      <w:marRight w:val="0"/>
      <w:marTop w:val="0"/>
      <w:marBottom w:val="0"/>
      <w:divBdr>
        <w:top w:val="none" w:sz="0" w:space="0" w:color="auto"/>
        <w:left w:val="none" w:sz="0" w:space="0" w:color="auto"/>
        <w:bottom w:val="none" w:sz="0" w:space="0" w:color="auto"/>
        <w:right w:val="none" w:sz="0" w:space="0" w:color="auto"/>
      </w:divBdr>
      <w:divsChild>
        <w:div w:id="1825391924">
          <w:marLeft w:val="0"/>
          <w:marRight w:val="0"/>
          <w:marTop w:val="0"/>
          <w:marBottom w:val="135"/>
          <w:divBdr>
            <w:top w:val="none" w:sz="0" w:space="0" w:color="auto"/>
            <w:left w:val="none" w:sz="0" w:space="0" w:color="auto"/>
            <w:bottom w:val="single" w:sz="12" w:space="9" w:color="EBEBEB"/>
            <w:right w:val="none" w:sz="0" w:space="0" w:color="auto"/>
          </w:divBdr>
          <w:divsChild>
            <w:div w:id="1845590304">
              <w:marLeft w:val="0"/>
              <w:marRight w:val="0"/>
              <w:marTop w:val="0"/>
              <w:marBottom w:val="0"/>
              <w:divBdr>
                <w:top w:val="none" w:sz="0" w:space="0" w:color="auto"/>
                <w:left w:val="none" w:sz="0" w:space="0" w:color="auto"/>
                <w:bottom w:val="none" w:sz="0" w:space="0" w:color="auto"/>
                <w:right w:val="none" w:sz="0" w:space="0" w:color="auto"/>
              </w:divBdr>
            </w:div>
          </w:divsChild>
        </w:div>
        <w:div w:id="2141730005">
          <w:marLeft w:val="0"/>
          <w:marRight w:val="0"/>
          <w:marTop w:val="0"/>
          <w:marBottom w:val="0"/>
          <w:divBdr>
            <w:top w:val="none" w:sz="0" w:space="0" w:color="auto"/>
            <w:left w:val="none" w:sz="0" w:space="0" w:color="auto"/>
            <w:bottom w:val="none" w:sz="0" w:space="0" w:color="auto"/>
            <w:right w:val="none" w:sz="0" w:space="0" w:color="auto"/>
          </w:divBdr>
          <w:divsChild>
            <w:div w:id="21142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221">
      <w:bodyDiv w:val="1"/>
      <w:marLeft w:val="0"/>
      <w:marRight w:val="0"/>
      <w:marTop w:val="0"/>
      <w:marBottom w:val="0"/>
      <w:divBdr>
        <w:top w:val="none" w:sz="0" w:space="0" w:color="auto"/>
        <w:left w:val="none" w:sz="0" w:space="0" w:color="auto"/>
        <w:bottom w:val="none" w:sz="0" w:space="0" w:color="auto"/>
        <w:right w:val="none" w:sz="0" w:space="0" w:color="auto"/>
      </w:divBdr>
    </w:div>
    <w:div w:id="1821266213">
      <w:bodyDiv w:val="1"/>
      <w:marLeft w:val="0"/>
      <w:marRight w:val="0"/>
      <w:marTop w:val="0"/>
      <w:marBottom w:val="0"/>
      <w:divBdr>
        <w:top w:val="none" w:sz="0" w:space="0" w:color="auto"/>
        <w:left w:val="none" w:sz="0" w:space="0" w:color="auto"/>
        <w:bottom w:val="none" w:sz="0" w:space="0" w:color="auto"/>
        <w:right w:val="none" w:sz="0" w:space="0" w:color="auto"/>
      </w:divBdr>
    </w:div>
    <w:div w:id="1843086766">
      <w:bodyDiv w:val="1"/>
      <w:marLeft w:val="0"/>
      <w:marRight w:val="0"/>
      <w:marTop w:val="0"/>
      <w:marBottom w:val="0"/>
      <w:divBdr>
        <w:top w:val="none" w:sz="0" w:space="0" w:color="auto"/>
        <w:left w:val="none" w:sz="0" w:space="0" w:color="auto"/>
        <w:bottom w:val="none" w:sz="0" w:space="0" w:color="auto"/>
        <w:right w:val="none" w:sz="0" w:space="0" w:color="auto"/>
      </w:divBdr>
      <w:divsChild>
        <w:div w:id="1275750191">
          <w:marLeft w:val="0"/>
          <w:marRight w:val="0"/>
          <w:marTop w:val="225"/>
          <w:marBottom w:val="180"/>
          <w:divBdr>
            <w:top w:val="single" w:sz="6" w:space="0" w:color="D7D7D7"/>
            <w:left w:val="none" w:sz="0" w:space="0" w:color="auto"/>
            <w:bottom w:val="single" w:sz="6" w:space="0" w:color="D7D7D7"/>
            <w:right w:val="none" w:sz="0" w:space="0" w:color="auto"/>
          </w:divBdr>
          <w:divsChild>
            <w:div w:id="1282682936">
              <w:marLeft w:val="0"/>
              <w:marRight w:val="0"/>
              <w:marTop w:val="0"/>
              <w:marBottom w:val="0"/>
              <w:divBdr>
                <w:top w:val="none" w:sz="0" w:space="0" w:color="auto"/>
                <w:left w:val="none" w:sz="0" w:space="0" w:color="auto"/>
                <w:bottom w:val="none" w:sz="0" w:space="0" w:color="auto"/>
                <w:right w:val="none" w:sz="0" w:space="0" w:color="auto"/>
              </w:divBdr>
            </w:div>
            <w:div w:id="1487697660">
              <w:marLeft w:val="0"/>
              <w:marRight w:val="0"/>
              <w:marTop w:val="0"/>
              <w:marBottom w:val="0"/>
              <w:divBdr>
                <w:top w:val="none" w:sz="0" w:space="0" w:color="auto"/>
                <w:left w:val="none" w:sz="0" w:space="0" w:color="auto"/>
                <w:bottom w:val="none" w:sz="0" w:space="0" w:color="auto"/>
                <w:right w:val="none" w:sz="0" w:space="0" w:color="auto"/>
              </w:divBdr>
            </w:div>
          </w:divsChild>
        </w:div>
        <w:div w:id="204679704">
          <w:marLeft w:val="0"/>
          <w:marRight w:val="0"/>
          <w:marTop w:val="0"/>
          <w:marBottom w:val="0"/>
          <w:divBdr>
            <w:top w:val="none" w:sz="0" w:space="0" w:color="auto"/>
            <w:left w:val="none" w:sz="0" w:space="0" w:color="auto"/>
            <w:bottom w:val="none" w:sz="0" w:space="0" w:color="auto"/>
            <w:right w:val="none" w:sz="0" w:space="0" w:color="auto"/>
          </w:divBdr>
        </w:div>
      </w:divsChild>
    </w:div>
    <w:div w:id="1873810239">
      <w:bodyDiv w:val="1"/>
      <w:marLeft w:val="0"/>
      <w:marRight w:val="0"/>
      <w:marTop w:val="0"/>
      <w:marBottom w:val="0"/>
      <w:divBdr>
        <w:top w:val="none" w:sz="0" w:space="0" w:color="auto"/>
        <w:left w:val="none" w:sz="0" w:space="0" w:color="auto"/>
        <w:bottom w:val="none" w:sz="0" w:space="0" w:color="auto"/>
        <w:right w:val="none" w:sz="0" w:space="0" w:color="auto"/>
      </w:divBdr>
    </w:div>
    <w:div w:id="1948467780">
      <w:bodyDiv w:val="1"/>
      <w:marLeft w:val="0"/>
      <w:marRight w:val="0"/>
      <w:marTop w:val="0"/>
      <w:marBottom w:val="0"/>
      <w:divBdr>
        <w:top w:val="none" w:sz="0" w:space="0" w:color="auto"/>
        <w:left w:val="none" w:sz="0" w:space="0" w:color="auto"/>
        <w:bottom w:val="none" w:sz="0" w:space="0" w:color="auto"/>
        <w:right w:val="none" w:sz="0" w:space="0" w:color="auto"/>
      </w:divBdr>
      <w:divsChild>
        <w:div w:id="1319648462">
          <w:marLeft w:val="0"/>
          <w:marRight w:val="0"/>
          <w:marTop w:val="0"/>
          <w:marBottom w:val="0"/>
          <w:divBdr>
            <w:top w:val="none" w:sz="0" w:space="0" w:color="auto"/>
            <w:left w:val="none" w:sz="0" w:space="0" w:color="auto"/>
            <w:bottom w:val="none" w:sz="0" w:space="0" w:color="auto"/>
            <w:right w:val="none" w:sz="0" w:space="0" w:color="auto"/>
          </w:divBdr>
        </w:div>
        <w:div w:id="922295037">
          <w:marLeft w:val="0"/>
          <w:marRight w:val="0"/>
          <w:marTop w:val="0"/>
          <w:marBottom w:val="0"/>
          <w:divBdr>
            <w:top w:val="none" w:sz="0" w:space="0" w:color="auto"/>
            <w:left w:val="none" w:sz="0" w:space="0" w:color="auto"/>
            <w:bottom w:val="none" w:sz="0" w:space="0" w:color="auto"/>
            <w:right w:val="none" w:sz="0" w:space="0" w:color="auto"/>
          </w:divBdr>
        </w:div>
      </w:divsChild>
    </w:div>
    <w:div w:id="2101834328">
      <w:bodyDiv w:val="1"/>
      <w:marLeft w:val="0"/>
      <w:marRight w:val="0"/>
      <w:marTop w:val="0"/>
      <w:marBottom w:val="0"/>
      <w:divBdr>
        <w:top w:val="none" w:sz="0" w:space="0" w:color="auto"/>
        <w:left w:val="none" w:sz="0" w:space="0" w:color="auto"/>
        <w:bottom w:val="none" w:sz="0" w:space="0" w:color="auto"/>
        <w:right w:val="none" w:sz="0" w:space="0" w:color="auto"/>
      </w:divBdr>
      <w:divsChild>
        <w:div w:id="2127700787">
          <w:marLeft w:val="0"/>
          <w:marRight w:val="0"/>
          <w:marTop w:val="0"/>
          <w:marBottom w:val="0"/>
          <w:divBdr>
            <w:top w:val="none" w:sz="0" w:space="0" w:color="auto"/>
            <w:left w:val="none" w:sz="0" w:space="0" w:color="auto"/>
            <w:bottom w:val="none" w:sz="0" w:space="0" w:color="auto"/>
            <w:right w:val="none" w:sz="0" w:space="0" w:color="auto"/>
          </w:divBdr>
          <w:divsChild>
            <w:div w:id="1581326808">
              <w:marLeft w:val="0"/>
              <w:marRight w:val="0"/>
              <w:marTop w:val="0"/>
              <w:marBottom w:val="0"/>
              <w:divBdr>
                <w:top w:val="none" w:sz="0" w:space="0" w:color="auto"/>
                <w:left w:val="none" w:sz="0" w:space="0" w:color="auto"/>
                <w:bottom w:val="none" w:sz="0" w:space="0" w:color="auto"/>
                <w:right w:val="none" w:sz="0" w:space="0" w:color="auto"/>
              </w:divBdr>
              <w:divsChild>
                <w:div w:id="1760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j.co.uk/topics/workforce/revealed-the-hospitals-with-the-worst-nurse-staffing/7014906.article" TargetMode="External"/><Relationship Id="rId18" Type="http://schemas.openxmlformats.org/officeDocument/2006/relationships/hyperlink" Target="https://www.nursingtimes.net/news/workforce/nursing-workforce-experts-question-new-staffing-metric/7002226.article" TargetMode="External"/><Relationship Id="rId26" Type="http://schemas.openxmlformats.org/officeDocument/2006/relationships/hyperlink" Target="https://www.rcn.org.uk/professional-development/publications/pub-005779%20" TargetMode="External"/><Relationship Id="rId3" Type="http://schemas.openxmlformats.org/officeDocument/2006/relationships/styles" Target="styles.xml"/><Relationship Id="rId21" Type="http://schemas.openxmlformats.org/officeDocument/2006/relationships/hyperlink" Target="http://www.oecd.org/officialdocuments/publicdisplaydocumentpdf/?cote=DELSA/HEA/WD/HWP(2010)5&amp;doclanguage=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mjopen.bmj.com/content/6/2/e008751" TargetMode="External"/><Relationship Id="rId17" Type="http://schemas.openxmlformats.org/officeDocument/2006/relationships/hyperlink" Target="https://www.kingsfund.org.uk/publications/quality-district-nursing" TargetMode="External"/><Relationship Id="rId25" Type="http://schemas.openxmlformats.org/officeDocument/2006/relationships/hyperlink" Target="http://blogs.bmj.com/bmj/2016/05/24/anne-marie-rafferty-whose-responsibility-is-the-workforce-anywa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ingsfund.org.uk/publications/thinking-about-rationing" TargetMode="External"/><Relationship Id="rId20" Type="http://schemas.openxmlformats.org/officeDocument/2006/relationships/hyperlink" Target="http://www.nejm.org/doi/full/10.1056/NEJMsa1001025" TargetMode="External"/><Relationship Id="rId29" Type="http://schemas.openxmlformats.org/officeDocument/2006/relationships/hyperlink" Target="http://www.euro.who.int/__data/assets/pdf_file/0004/287356/Nurses-midwives-Vital-Resource-Health-Compendium.pdf?u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policy.org.uk/wordpress/wp-content/uploads/2015/04/16_bennett.pdf" TargetMode="External"/><Relationship Id="rId24" Type="http://schemas.openxmlformats.org/officeDocument/2006/relationships/hyperlink" Target="file:///C:\Users\k1517513\AppData\Local\Microsoft\Windows\INetCache\Content.Outlook\N9ML2UQ7\www.ons.gov.uk\employmentandlabourmarket\peoplenotinwork\unemployment\datasets\%20vacanciesbyindustryvacs02%5d"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cademic.oup.com/eurpub/article-abstract/26/6/927/2616280/Task-shifting-from-physicians-to-nurses-in-primary" TargetMode="External"/><Relationship Id="rId23" Type="http://schemas.openxmlformats.org/officeDocument/2006/relationships/hyperlink" Target="http://www.oecd.org/health/health-at-a-glance-europe-23056088.htm" TargetMode="External"/><Relationship Id="rId28" Type="http://schemas.openxmlformats.org/officeDocument/2006/relationships/hyperlink" Target="https://www.mysciencework.com/publication/show/39dd8232a6a1457aed3ecb31afb856e8" TargetMode="External"/><Relationship Id="rId36" Type="http://schemas.microsoft.com/office/2011/relationships/people" Target="people.xml"/><Relationship Id="rId10" Type="http://schemas.openxmlformats.org/officeDocument/2006/relationships/hyperlink" Target="file:///C:\Users\k1517513\AppData\Local\Microsoft\Windows\INetCache\Content.Outlook\N9ML2UQ7\www.safestaffingalliance.org.uk" TargetMode="External"/><Relationship Id="rId19" Type="http://schemas.openxmlformats.org/officeDocument/2006/relationships/hyperlink" Target="http://www.nsinursingsolutions.com/Files/assets/library/retention-institute/NationalHealthcareRNRetentionReport2016.pdf" TargetMode="External"/><Relationship Id="rId31" Type="http://schemas.openxmlformats.org/officeDocument/2006/relationships/image" Target="cid:image001.png@01D2E5EF.A1F41C80" TargetMode="External"/><Relationship Id="rId4" Type="http://schemas.microsoft.com/office/2007/relationships/stylesWithEffects" Target="stylesWithEffects.xml"/><Relationship Id="rId9" Type="http://schemas.openxmlformats.org/officeDocument/2006/relationships/hyperlink" Target="http://www.nationalacademies.org/hmd/Reports/2015/Assessing-Progress-on-the-IOM-Report-The-Future-of-Nursing.aspx.The" TargetMode="External"/><Relationship Id="rId14" Type="http://schemas.openxmlformats.org/officeDocument/2006/relationships/hyperlink" Target="http://journals.lww.com/jonajournal/Abstract/2017/05000/Impact_of_Professional_Nursing_Practices_on.8.aspx" TargetMode="External"/><Relationship Id="rId22" Type="http://schemas.openxmlformats.org/officeDocument/2006/relationships/hyperlink" Target="http://www.oecd.org/publications/health-workforce-policies-in-oecd-countries-9789264239517-en.htm" TargetMode="External"/><Relationship Id="rId27" Type="http://schemas.openxmlformats.org/officeDocument/2006/relationships/hyperlink" Target="https://www.rcplondon.ac.uk/guidelines-policy/underfunded-underdoctored-overstretched-nhs-2016"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00CC5-7B0B-430D-9617-38193190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7933</Words>
  <Characters>45221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Rafferty, Anne Marie</dc:creator>
  <cp:lastModifiedBy>Joann </cp:lastModifiedBy>
  <cp:revision>2</cp:revision>
  <dcterms:created xsi:type="dcterms:W3CDTF">2017-08-02T21:18:00Z</dcterms:created>
  <dcterms:modified xsi:type="dcterms:W3CDTF">2017-08-02T21:18:00Z</dcterms:modified>
</cp:coreProperties>
</file>