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F5FB1" w14:textId="6B75EFB3" w:rsidR="00975F27" w:rsidRDefault="003670AA" w:rsidP="003670AA">
      <w:pPr>
        <w:jc w:val="center"/>
      </w:pPr>
      <w:r w:rsidRPr="003670AA">
        <w:rPr>
          <w:b/>
        </w:rPr>
        <w:t>Can</w:t>
      </w:r>
      <w:r>
        <w:rPr>
          <w:b/>
        </w:rPr>
        <w:t xml:space="preserve"> History Improve </w:t>
      </w:r>
      <w:r w:rsidR="00444AE8">
        <w:rPr>
          <w:b/>
        </w:rPr>
        <w:t>Big bang</w:t>
      </w:r>
      <w:r w:rsidR="001A7FE7">
        <w:rPr>
          <w:b/>
        </w:rPr>
        <w:t xml:space="preserve"> Health Reform</w:t>
      </w:r>
      <w:r>
        <w:rPr>
          <w:b/>
        </w:rPr>
        <w:t>?</w:t>
      </w:r>
      <w:r w:rsidR="00395B3D">
        <w:rPr>
          <w:b/>
        </w:rPr>
        <w:t xml:space="preserve"> Commentary</w:t>
      </w:r>
      <w:r>
        <w:rPr>
          <w:b/>
        </w:rPr>
        <w:t xml:space="preserve"> </w:t>
      </w:r>
    </w:p>
    <w:p w14:paraId="3C9708AE" w14:textId="77777777" w:rsidR="003670AA" w:rsidRPr="008B7B8C" w:rsidRDefault="003670AA" w:rsidP="003670AA"/>
    <w:p w14:paraId="38AE9096" w14:textId="0754C1CC" w:rsidR="008B7B8C" w:rsidRPr="008B7B8C" w:rsidRDefault="008B7B8C" w:rsidP="008B7B8C">
      <w:pPr>
        <w:pStyle w:val="Font11"/>
        <w:rPr>
          <w:sz w:val="24"/>
          <w:szCs w:val="24"/>
        </w:rPr>
      </w:pPr>
      <w:r w:rsidRPr="008B7B8C">
        <w:rPr>
          <w:sz w:val="24"/>
          <w:szCs w:val="24"/>
        </w:rPr>
        <w:t xml:space="preserve">Gregory </w:t>
      </w:r>
      <w:proofErr w:type="spellStart"/>
      <w:r w:rsidRPr="008B7B8C">
        <w:rPr>
          <w:sz w:val="24"/>
          <w:szCs w:val="24"/>
        </w:rPr>
        <w:t>Marchildon</w:t>
      </w:r>
      <w:proofErr w:type="spellEnd"/>
      <w:r w:rsidRPr="008B7B8C">
        <w:rPr>
          <w:sz w:val="24"/>
          <w:szCs w:val="24"/>
        </w:rPr>
        <w:t xml:space="preserve">, </w:t>
      </w:r>
      <w:r w:rsidRPr="008B7B8C">
        <w:rPr>
          <w:sz w:val="24"/>
          <w:szCs w:val="24"/>
        </w:rPr>
        <w:t>Professor, Institute of Health Policy, Management and Evaluation, University of Toronto and Ontario Research Chair in Health Policy and System Design</w:t>
      </w:r>
      <w:bookmarkStart w:id="0" w:name="_GoBack"/>
      <w:bookmarkEnd w:id="0"/>
    </w:p>
    <w:p w14:paraId="0934CCF6" w14:textId="77777777" w:rsidR="00095286" w:rsidRDefault="00095286" w:rsidP="003670AA"/>
    <w:p w14:paraId="49A7B35D" w14:textId="47595DF6" w:rsidR="00095286" w:rsidRDefault="00095286" w:rsidP="003670AA">
      <w:r w:rsidRPr="00095286">
        <w:rPr>
          <w:b/>
        </w:rPr>
        <w:t xml:space="preserve">Abstract: </w:t>
      </w:r>
      <w:r>
        <w:t>At present, the professional skills of the his</w:t>
      </w:r>
      <w:r w:rsidR="00395B3D">
        <w:t xml:space="preserve">torian are rarely relied upon when </w:t>
      </w:r>
      <w:r w:rsidR="00256CBE">
        <w:t xml:space="preserve">health </w:t>
      </w:r>
      <w:r w:rsidR="00395B3D">
        <w:t>policies are being formulated</w:t>
      </w:r>
      <w:r>
        <w:t>. There are numerous reasons for this</w:t>
      </w:r>
      <w:r w:rsidR="00395B3D">
        <w:t xml:space="preserve">, one of which is </w:t>
      </w:r>
      <w:r>
        <w:t>the natural desire of decision-makers to break with</w:t>
      </w:r>
      <w:r w:rsidR="00395B3D">
        <w:t xml:space="preserve"> the past when enacting </w:t>
      </w:r>
      <w:r w:rsidR="00444AE8">
        <w:rPr>
          <w:i/>
        </w:rPr>
        <w:t>big bang</w:t>
      </w:r>
      <w:r>
        <w:t xml:space="preserve"> policy change. </w:t>
      </w:r>
      <w:r w:rsidR="00395B3D">
        <w:t>This article identifies the strengths professional historians bring to bear on policy development using the establishment and subsequent reform of</w:t>
      </w:r>
      <w:r>
        <w:t xml:space="preserve"> universal health coverage </w:t>
      </w:r>
      <w:r w:rsidR="00395B3D">
        <w:t>as an example. Historians provide</w:t>
      </w:r>
      <w:r>
        <w:t xml:space="preserve"> pertinent and historic</w:t>
      </w:r>
      <w:r w:rsidR="00395B3D">
        <w:t>ally informed context; isolate</w:t>
      </w:r>
      <w:r>
        <w:t xml:space="preserve"> the forces that have historically allowed for m</w:t>
      </w:r>
      <w:r w:rsidR="00395B3D">
        <w:t xml:space="preserve">ajor reform; and </w:t>
      </w:r>
      <w:r>
        <w:t>separate the truly novel reforms from those attempted or implemented in the past. In addition, the</w:t>
      </w:r>
      <w:r w:rsidR="00395B3D">
        <w:t xml:space="preserve"> historian’s</w:t>
      </w:r>
      <w:r>
        <w:t xml:space="preserve"> use of primary sources allows </w:t>
      </w:r>
      <w:r w:rsidR="00395B3D">
        <w:t xml:space="preserve">potentially </w:t>
      </w:r>
      <w:r>
        <w:t xml:space="preserve">new and highly salient facts </w:t>
      </w:r>
      <w:r w:rsidR="00395B3D">
        <w:t>to guide the framing of the</w:t>
      </w:r>
      <w:r>
        <w:t xml:space="preserve"> policy pro</w:t>
      </w:r>
      <w:r w:rsidR="00395B3D">
        <w:t>blem and its solution</w:t>
      </w:r>
      <w:r>
        <w:t>.</w:t>
      </w:r>
      <w:r w:rsidR="0061351F">
        <w:t xml:space="preserve"> </w:t>
      </w:r>
      <w:r w:rsidR="00395B3D">
        <w:t>This paper argues that historians are critical for</w:t>
      </w:r>
      <w:r w:rsidR="0061351F">
        <w:t xml:space="preserve"> constructing a viable narrative of the establishment and evolution of universal healt</w:t>
      </w:r>
      <w:r w:rsidR="00395B3D">
        <w:t xml:space="preserve">h coverage policies. The lack of this narrative makes it difficult to achieve an accurate assessment of systemic gaps in coverage and access, and the design or redesign of universal health coverage that can successfully close these gaps. </w:t>
      </w:r>
    </w:p>
    <w:p w14:paraId="4198C0E4" w14:textId="77777777" w:rsidR="0061351F" w:rsidRDefault="0061351F" w:rsidP="003670AA"/>
    <w:p w14:paraId="1C2CB6F5" w14:textId="77777777" w:rsidR="0061351F" w:rsidRPr="0061351F" w:rsidRDefault="0061351F" w:rsidP="003670AA">
      <w:r>
        <w:rPr>
          <w:b/>
        </w:rPr>
        <w:t xml:space="preserve">Key Words: </w:t>
      </w:r>
      <w:r>
        <w:t>universal health coverage; policy change; historians; historiography; health reform; Canadian Medicare; National Health Service;</w:t>
      </w:r>
    </w:p>
    <w:p w14:paraId="7A739D75" w14:textId="77777777" w:rsidR="00095286" w:rsidRDefault="00095286" w:rsidP="003670AA"/>
    <w:p w14:paraId="406C8425" w14:textId="77777777" w:rsidR="00095286" w:rsidRDefault="00095286" w:rsidP="003670AA"/>
    <w:p w14:paraId="1E1655FC" w14:textId="77777777" w:rsidR="00C57930" w:rsidRDefault="00C57930" w:rsidP="003670AA"/>
    <w:p w14:paraId="579015E9" w14:textId="145B2D37" w:rsidR="00064FD8" w:rsidRDefault="00E97FFE" w:rsidP="001A7FE7">
      <w:pPr>
        <w:spacing w:line="480" w:lineRule="auto"/>
        <w:ind w:firstLine="720"/>
      </w:pPr>
      <w:r>
        <w:t>Professional historians have long argued that a more comprehensive yet nuanced understanding of history can, and should, make a major contribution to better policy formulation by governments.</w:t>
      </w:r>
      <w:r w:rsidR="00AE1AF9">
        <w:t xml:space="preserve"> </w:t>
      </w:r>
      <w:r>
        <w:t>However,</w:t>
      </w:r>
      <w:r w:rsidR="00064FD8">
        <w:t xml:space="preserve"> </w:t>
      </w:r>
      <w:r w:rsidR="00BA222F">
        <w:t>the</w:t>
      </w:r>
      <w:r w:rsidR="00064FD8">
        <w:t>se</w:t>
      </w:r>
      <w:r w:rsidR="00BA222F">
        <w:t xml:space="preserve"> cl</w:t>
      </w:r>
      <w:r w:rsidR="00064FD8">
        <w:t xml:space="preserve">aims </w:t>
      </w:r>
      <w:r w:rsidR="00BA222F">
        <w:t>often seem quaint or beside the point to</w:t>
      </w:r>
      <w:r w:rsidR="002A36C9">
        <w:t xml:space="preserve"> </w:t>
      </w:r>
      <w:r w:rsidR="008F3087">
        <w:t>public administrators and politicians</w:t>
      </w:r>
      <w:r w:rsidR="00BA222F">
        <w:t>.</w:t>
      </w:r>
      <w:r w:rsidR="00B72485">
        <w:rPr>
          <w:rStyle w:val="EndnoteReference"/>
        </w:rPr>
        <w:endnoteReference w:id="1"/>
      </w:r>
      <w:r w:rsidR="00BA222F">
        <w:t xml:space="preserve"> </w:t>
      </w:r>
    </w:p>
    <w:p w14:paraId="59ED7684" w14:textId="4322A2EB" w:rsidR="00724877" w:rsidRDefault="00064FD8" w:rsidP="001A7FE7">
      <w:pPr>
        <w:spacing w:line="480" w:lineRule="auto"/>
        <w:ind w:firstLine="720"/>
      </w:pPr>
      <w:r>
        <w:t>First, the historian’s reliance on concepts drawn from the humanities and methods based on time-consuming and patient primary research seem far removed from the practical demands and urgent pressures faced by g</w:t>
      </w:r>
      <w:r w:rsidR="008F3087">
        <w:t>overnment</w:t>
      </w:r>
      <w:r>
        <w:t>s. D</w:t>
      </w:r>
      <w:r w:rsidR="008F3087">
        <w:t>ecision-makers and their expert advisors</w:t>
      </w:r>
      <w:r w:rsidR="00BA222F">
        <w:t xml:space="preserve"> rely mainly on the concepts and methods of social science disciplines such as economics and polit</w:t>
      </w:r>
      <w:r w:rsidR="00496B50">
        <w:t xml:space="preserve">ical science; moreover, they </w:t>
      </w:r>
      <w:r w:rsidR="00496B50">
        <w:lastRenderedPageBreak/>
        <w:t>generally</w:t>
      </w:r>
      <w:r w:rsidR="0069113E">
        <w:t xml:space="preserve"> prefer ‘harder’</w:t>
      </w:r>
      <w:r w:rsidR="00BA222F">
        <w:t xml:space="preserve"> quantitative analyses to</w:t>
      </w:r>
      <w:r>
        <w:t xml:space="preserve"> the</w:t>
      </w:r>
      <w:r w:rsidR="00BA222F">
        <w:t xml:space="preserve"> </w:t>
      </w:r>
      <w:r w:rsidR="0069113E">
        <w:t>‘</w:t>
      </w:r>
      <w:r w:rsidR="00BA222F">
        <w:t>softer</w:t>
      </w:r>
      <w:r w:rsidR="0069113E">
        <w:t>’</w:t>
      </w:r>
      <w:r w:rsidR="00BA222F">
        <w:t xml:space="preserve"> qualitative</w:t>
      </w:r>
      <w:r w:rsidR="00E97FFE">
        <w:t xml:space="preserve"> </w:t>
      </w:r>
      <w:r w:rsidR="00BA222F">
        <w:t>approaches</w:t>
      </w:r>
      <w:r>
        <w:t xml:space="preserve"> dominant in many branches of professional history</w:t>
      </w:r>
      <w:r w:rsidR="00BA222F">
        <w:t xml:space="preserve"> (Head 2010). </w:t>
      </w:r>
    </w:p>
    <w:p w14:paraId="22D0DA6E" w14:textId="54785121" w:rsidR="00064FD8" w:rsidRDefault="00BA222F" w:rsidP="001A7FE7">
      <w:pPr>
        <w:spacing w:line="480" w:lineRule="auto"/>
        <w:ind w:firstLine="720"/>
      </w:pPr>
      <w:r>
        <w:t xml:space="preserve">This </w:t>
      </w:r>
      <w:r w:rsidR="00724877">
        <w:t xml:space="preserve">is reflected in the preference for social science </w:t>
      </w:r>
      <w:r>
        <w:t>disciplines and methods</w:t>
      </w:r>
      <w:r w:rsidR="00724877">
        <w:t xml:space="preserve"> rather than history</w:t>
      </w:r>
      <w:r>
        <w:t xml:space="preserve"> in specialized graduate schools of public policy</w:t>
      </w:r>
      <w:r w:rsidR="00A72366">
        <w:t xml:space="preserve"> as they have evolved</w:t>
      </w:r>
      <w:r w:rsidR="00724877">
        <w:t xml:space="preserve"> in the United States and Can</w:t>
      </w:r>
      <w:r w:rsidR="00FC2E8C">
        <w:t>ada</w:t>
      </w:r>
      <w:r w:rsidR="00724877">
        <w:t>. Even with the development of public pol</w:t>
      </w:r>
      <w:r w:rsidR="00EE10DB">
        <w:t>icy as an academic</w:t>
      </w:r>
      <w:r w:rsidR="00724877">
        <w:t xml:space="preserve"> field of its own, the tendency has been to</w:t>
      </w:r>
      <w:r w:rsidR="00E90B4E">
        <w:t xml:space="preserve"> neglect history relative to </w:t>
      </w:r>
      <w:r w:rsidR="00724877">
        <w:t>economi</w:t>
      </w:r>
      <w:r w:rsidR="00EE10DB">
        <w:t>c</w:t>
      </w:r>
      <w:r w:rsidR="0050459A">
        <w:t>s, political science,</w:t>
      </w:r>
      <w:r w:rsidR="00FC2E8C">
        <w:t xml:space="preserve"> and law</w:t>
      </w:r>
      <w:r w:rsidR="004A1870">
        <w:t xml:space="preserve"> in what is necessaril</w:t>
      </w:r>
      <w:r w:rsidR="000F70B6">
        <w:t>y a</w:t>
      </w:r>
      <w:r w:rsidR="00FC2E8C">
        <w:t xml:space="preserve"> multi</w:t>
      </w:r>
      <w:r w:rsidR="004A1870">
        <w:t>disciplinary field of study</w:t>
      </w:r>
      <w:r w:rsidR="00724877">
        <w:t xml:space="preserve"> (</w:t>
      </w:r>
      <w:proofErr w:type="spellStart"/>
      <w:r w:rsidR="00724877">
        <w:t>DeL</w:t>
      </w:r>
      <w:r w:rsidR="001A5ADD">
        <w:t>eon</w:t>
      </w:r>
      <w:proofErr w:type="spellEnd"/>
      <w:r w:rsidR="001A5ADD">
        <w:t xml:space="preserve"> 2006; Smith and </w:t>
      </w:r>
      <w:proofErr w:type="spellStart"/>
      <w:r w:rsidR="001A5ADD">
        <w:t>Larimer</w:t>
      </w:r>
      <w:proofErr w:type="spellEnd"/>
      <w:r w:rsidR="001A5ADD">
        <w:t xml:space="preserve"> 2016</w:t>
      </w:r>
      <w:r w:rsidR="00724877">
        <w:t xml:space="preserve">). </w:t>
      </w:r>
    </w:p>
    <w:p w14:paraId="17DA263F" w14:textId="40ADC4DA" w:rsidR="007A593E" w:rsidRDefault="00064FD8" w:rsidP="00256CBE">
      <w:pPr>
        <w:spacing w:line="480" w:lineRule="auto"/>
        <w:ind w:firstLine="720"/>
      </w:pPr>
      <w:r>
        <w:t xml:space="preserve">The natural gravity of policy-making is to minimize both history and the advice of professional historians. As senior public servant in Canada in the 1990s, I never once saw sophisticated historical research or interpretation integrated in the policy advice to cabinet in the lengthy cabinet memoranda intended to set out the arguments and evidence in favour of policy change. On occasion, these memoranda included highly simplified historical time lines and chronologies but </w:t>
      </w:r>
      <w:r w:rsidR="00256CBE">
        <w:t>always absent a</w:t>
      </w:r>
      <w:r>
        <w:t xml:space="preserve"> rigorous historical analysis and interpretation. The policy experts preparing the advice were drawn from many academic disciplines, including </w:t>
      </w:r>
      <w:r w:rsidR="00B72485">
        <w:t xml:space="preserve">a few from </w:t>
      </w:r>
      <w:r>
        <w:t>history, b</w:t>
      </w:r>
      <w:r w:rsidR="00256CBE">
        <w:t>ut they did not consider historical research, analysis and interpretation</w:t>
      </w:r>
      <w:r>
        <w:t xml:space="preserve"> as directly germane to the policy decisions of the days.</w:t>
      </w:r>
    </w:p>
    <w:p w14:paraId="26F9FCC8" w14:textId="0A77028D" w:rsidR="007F506D" w:rsidRDefault="00256CBE" w:rsidP="001A7FE7">
      <w:pPr>
        <w:spacing w:line="480" w:lineRule="auto"/>
        <w:ind w:firstLine="720"/>
      </w:pPr>
      <w:r>
        <w:t>As secretary to the</w:t>
      </w:r>
      <w:r w:rsidR="004A1870">
        <w:t xml:space="preserve"> provincial government cabinet</w:t>
      </w:r>
      <w:r>
        <w:t xml:space="preserve"> in Saskatchewan in the 1990s</w:t>
      </w:r>
      <w:r w:rsidR="004A1870">
        <w:t>, I was accountable for the q</w:t>
      </w:r>
      <w:r w:rsidR="00496B50">
        <w:t>uality of cabinet memoranda. On one occasion</w:t>
      </w:r>
      <w:r w:rsidR="004A1870">
        <w:t>, the cabinet</w:t>
      </w:r>
      <w:r w:rsidR="002614FC">
        <w:t xml:space="preserve"> was on the precipice of making yet another major structural change to regional health authorities</w:t>
      </w:r>
      <w:r w:rsidR="007A593E">
        <w:t xml:space="preserve"> based on a highly technical analysis of the administrative efficiencies associated with greater centralization</w:t>
      </w:r>
      <w:r w:rsidR="004A1870">
        <w:t xml:space="preserve">. I was concerned because of the </w:t>
      </w:r>
      <w:r w:rsidR="004A1870">
        <w:lastRenderedPageBreak/>
        <w:t>lack of historical and comparative context so</w:t>
      </w:r>
      <w:r w:rsidR="002614FC">
        <w:t xml:space="preserve"> I provided a</w:t>
      </w:r>
      <w:r w:rsidR="004A1870">
        <w:t xml:space="preserve"> personal</w:t>
      </w:r>
      <w:r w:rsidR="002614FC">
        <w:t xml:space="preserve"> memorandum </w:t>
      </w:r>
      <w:r w:rsidR="004A1870">
        <w:t xml:space="preserve">to the Premier of the province </w:t>
      </w:r>
      <w:r w:rsidR="002614FC">
        <w:t xml:space="preserve">on the lessons to be drawn from the </w:t>
      </w:r>
      <w:r>
        <w:t xml:space="preserve">history of the </w:t>
      </w:r>
      <w:r w:rsidR="002614FC">
        <w:t>National Health Service (NHS)</w:t>
      </w:r>
      <w:r w:rsidR="004A1870">
        <w:t>. This analysis was</w:t>
      </w:r>
      <w:r w:rsidR="002614FC">
        <w:t xml:space="preserve"> based </w:t>
      </w:r>
      <w:r w:rsidR="004A1870">
        <w:t xml:space="preserve">in part </w:t>
      </w:r>
      <w:r w:rsidR="002614FC">
        <w:t xml:space="preserve">on Charles Webster’s </w:t>
      </w:r>
      <w:r w:rsidR="00FC2E8C">
        <w:t>(2002</w:t>
      </w:r>
      <w:r w:rsidR="004E3D62">
        <w:t xml:space="preserve">) </w:t>
      </w:r>
      <w:r w:rsidR="007A593E">
        <w:t xml:space="preserve">historical </w:t>
      </w:r>
      <w:r w:rsidR="002614FC">
        <w:t>assessment of the impact of contin</w:t>
      </w:r>
      <w:r w:rsidR="004E3D62">
        <w:t>ual restru</w:t>
      </w:r>
      <w:r w:rsidR="007F506D">
        <w:t xml:space="preserve">cturing, what </w:t>
      </w:r>
      <w:r w:rsidR="0069113E">
        <w:t xml:space="preserve">health economist </w:t>
      </w:r>
      <w:r w:rsidR="007F506D">
        <w:t>Alan Maynard (2015</w:t>
      </w:r>
      <w:r w:rsidR="004E3D62">
        <w:t xml:space="preserve">) has labelled the </w:t>
      </w:r>
      <w:r w:rsidR="007F506D">
        <w:t xml:space="preserve">English </w:t>
      </w:r>
      <w:r w:rsidR="004E3D62">
        <w:t>penchant for re-disorganizing</w:t>
      </w:r>
      <w:r w:rsidR="002614FC">
        <w:t>.</w:t>
      </w:r>
      <w:r w:rsidR="00496B50">
        <w:t xml:space="preserve"> I was fortunate in that the Premier I served was receptive to this comparative</w:t>
      </w:r>
      <w:r w:rsidR="004E3D62">
        <w:t xml:space="preserve"> historical analysis and </w:t>
      </w:r>
      <w:r w:rsidR="00496B50">
        <w:t>accepted its potential</w:t>
      </w:r>
      <w:r w:rsidR="00223D31">
        <w:t xml:space="preserve"> </w:t>
      </w:r>
      <w:r w:rsidR="004E3D62">
        <w:t>relevance</w:t>
      </w:r>
      <w:r w:rsidR="00223D31">
        <w:t xml:space="preserve"> to the problem at hand</w:t>
      </w:r>
      <w:r w:rsidR="004E3D62">
        <w:t xml:space="preserve">. </w:t>
      </w:r>
      <w:r w:rsidR="004A1870">
        <w:t>We had a long discussion a</w:t>
      </w:r>
      <w:r w:rsidR="00104335">
        <w:t>bout the broader evidence required</w:t>
      </w:r>
      <w:r w:rsidR="004A1870">
        <w:t xml:space="preserve"> to justify such</w:t>
      </w:r>
      <w:r w:rsidR="00104335">
        <w:t xml:space="preserve"> a potentially disruptive reorganization. This led to the creation of an external commission that then analysed the issue for almost a year, compiling and weighing the evidence in favour of structural change thereby providing a future cabinet (under a new Premier and a new secretary to the cabinet) with the appropriate evidence to make a better</w:t>
      </w:r>
      <w:r>
        <w:t xml:space="preserve"> informed</w:t>
      </w:r>
      <w:r w:rsidR="00104335">
        <w:t xml:space="preserve"> decision. </w:t>
      </w:r>
    </w:p>
    <w:p w14:paraId="5F63397B" w14:textId="7A64B7A4" w:rsidR="00496B50" w:rsidRDefault="00256CBE" w:rsidP="00496B50">
      <w:pPr>
        <w:spacing w:line="480" w:lineRule="auto"/>
        <w:ind w:firstLine="720"/>
      </w:pPr>
      <w:r>
        <w:t>T</w:t>
      </w:r>
      <w:r w:rsidR="00104335">
        <w:t>his case was the rare exception to t</w:t>
      </w:r>
      <w:r w:rsidR="003423E2">
        <w:t>he rule. More often I have found the opposite: policy experts and political decision makers are impatient with, and sometimes intolerant</w:t>
      </w:r>
      <w:r w:rsidR="001167BE">
        <w:t xml:space="preserve"> of</w:t>
      </w:r>
      <w:r>
        <w:t>,</w:t>
      </w:r>
      <w:r w:rsidR="004E3D62">
        <w:t xml:space="preserve"> history. </w:t>
      </w:r>
      <w:r w:rsidR="00433EB9">
        <w:t>Given h</w:t>
      </w:r>
      <w:r w:rsidR="001167BE">
        <w:t>ow useful I have found history as a policy practitioner and scholar</w:t>
      </w:r>
      <w:r w:rsidR="00433EB9">
        <w:t xml:space="preserve">, I have been perplexed by this attitude for some time. Some of it can be explained by </w:t>
      </w:r>
      <w:r w:rsidR="000A1522">
        <w:t>the desire</w:t>
      </w:r>
      <w:r w:rsidR="0004338A">
        <w:t xml:space="preserve"> by some policy experts</w:t>
      </w:r>
      <w:r w:rsidR="000A1522">
        <w:t xml:space="preserve"> for</w:t>
      </w:r>
      <w:r w:rsidR="0004338A">
        <w:t xml:space="preserve"> the perfect policy blueprint and can be</w:t>
      </w:r>
      <w:r w:rsidR="000A1522">
        <w:t xml:space="preserve"> summarized</w:t>
      </w:r>
      <w:r w:rsidR="007F506D">
        <w:t xml:space="preserve"> in the oft-repeated </w:t>
      </w:r>
      <w:r w:rsidR="000A1522">
        <w:t xml:space="preserve">question: “If we were starting from scratch, would we build a </w:t>
      </w:r>
      <w:r w:rsidR="0004338A">
        <w:t xml:space="preserve">health </w:t>
      </w:r>
      <w:r w:rsidR="000A1522">
        <w:t>syste</w:t>
      </w:r>
      <w:r w:rsidR="0004338A">
        <w:t xml:space="preserve">m like the one we have now?” </w:t>
      </w:r>
      <w:r w:rsidR="007F506D">
        <w:t>Of course, t</w:t>
      </w:r>
      <w:r w:rsidR="0004338A">
        <w:t>he</w:t>
      </w:r>
      <w:r w:rsidR="00FB7C1E">
        <w:t xml:space="preserve"> answer expected </w:t>
      </w:r>
      <w:r w:rsidR="007F506D">
        <w:t xml:space="preserve">of this rhetorical question is a resounding </w:t>
      </w:r>
      <w:r w:rsidR="00FB7C1E">
        <w:t>no</w:t>
      </w:r>
      <w:r>
        <w:t xml:space="preserve"> but this</w:t>
      </w:r>
      <w:r w:rsidR="007F506D">
        <w:t xml:space="preserve"> is a shallow </w:t>
      </w:r>
      <w:r w:rsidR="00496B50">
        <w:t xml:space="preserve">and highly problematic response if for no other reason than the fact that it is impossible to excise </w:t>
      </w:r>
      <w:r w:rsidR="00FB7C1E">
        <w:t xml:space="preserve">history in this way. </w:t>
      </w:r>
    </w:p>
    <w:p w14:paraId="7CA0FFB1" w14:textId="26CD2F63" w:rsidR="001A0481" w:rsidRDefault="00FB7C1E" w:rsidP="00496B50">
      <w:pPr>
        <w:spacing w:line="480" w:lineRule="auto"/>
        <w:ind w:firstLine="720"/>
      </w:pPr>
      <w:r>
        <w:lastRenderedPageBreak/>
        <w:t xml:space="preserve">Policies and the programs, laws, regulations, and even the values and political cultures with which they are associated, are built over historical time. New </w:t>
      </w:r>
      <w:r w:rsidR="00496B50">
        <w:t xml:space="preserve">health </w:t>
      </w:r>
      <w:r>
        <w:t xml:space="preserve">policies </w:t>
      </w:r>
      <w:r w:rsidR="00496B50">
        <w:t xml:space="preserve">must either build upon or replace </w:t>
      </w:r>
      <w:r>
        <w:t>existing</w:t>
      </w:r>
      <w:r w:rsidR="00496B50">
        <w:t xml:space="preserve"> policies which themselves are embedded within a structure and institutions that are themselves the results of generations of evolution. </w:t>
      </w:r>
      <w:r w:rsidR="00045037">
        <w:t>Even if it seems desirable in certain circumstances, it is never possible to</w:t>
      </w:r>
      <w:r>
        <w:t xml:space="preserve"> start from scratch.</w:t>
      </w:r>
      <w:r w:rsidR="00045037">
        <w:t xml:space="preserve"> </w:t>
      </w:r>
      <w:r w:rsidR="00496B50">
        <w:t xml:space="preserve">One way or the other, we must deal with the health system structures </w:t>
      </w:r>
      <w:r w:rsidR="00E90B4E">
        <w:t xml:space="preserve">and </w:t>
      </w:r>
      <w:r w:rsidR="00496B50">
        <w:t>policies that are the product of history.</w:t>
      </w:r>
      <w:r w:rsidR="001167BE">
        <w:t xml:space="preserve"> </w:t>
      </w:r>
    </w:p>
    <w:p w14:paraId="477E2B9A" w14:textId="0A75B739" w:rsidR="00CE4C68" w:rsidRDefault="00CE4C68" w:rsidP="001A7FE7">
      <w:pPr>
        <w:spacing w:line="480" w:lineRule="auto"/>
        <w:ind w:firstLine="720"/>
      </w:pPr>
      <w:r>
        <w:t>But this reality is in tension with the nature of momen</w:t>
      </w:r>
      <w:r w:rsidR="00496B50">
        <w:t>tous policy change requiring</w:t>
      </w:r>
      <w:r>
        <w:t xml:space="preserve"> a major departure with the past. </w:t>
      </w:r>
      <w:r w:rsidR="00256CBE">
        <w:t>This is certainly the case when d</w:t>
      </w:r>
      <w:r>
        <w:t>ecision</w:t>
      </w:r>
      <w:r w:rsidR="00256CBE">
        <w:t>-</w:t>
      </w:r>
      <w:r>
        <w:t xml:space="preserve">makers </w:t>
      </w:r>
      <w:r w:rsidR="00256CBE">
        <w:t xml:space="preserve">are establishing a policy of universal health coverage (UHC) for the first time or </w:t>
      </w:r>
      <w:r>
        <w:t>attempting to</w:t>
      </w:r>
      <w:r w:rsidR="00256CBE">
        <w:t xml:space="preserve"> make structural reform to their existing UHC systems. Whether the policy is called Medicare, Obamacare or the NHS, major change has been, and will continue to be, extremely difficult. </w:t>
      </w:r>
      <w:r w:rsidR="003504DD">
        <w:t>As President Trump observed when he first att</w:t>
      </w:r>
      <w:r w:rsidR="0097295E">
        <w:t>empted to revamp Obamacare: “N</w:t>
      </w:r>
      <w:r w:rsidR="003504DD">
        <w:t>obody knew health care could be so complicated” (Hellman 2017).</w:t>
      </w:r>
      <w:r>
        <w:t xml:space="preserve"> </w:t>
      </w:r>
      <w:r w:rsidR="0097295E">
        <w:t xml:space="preserve">The stakes are enormous, both for those who benefit from the status quo and therefore are likely to oppose major change, and for those whose interests are poorly served by the status quo and have some incentive to be part of a coalition advocating major change. </w:t>
      </w:r>
    </w:p>
    <w:p w14:paraId="12514AF2" w14:textId="3104898F" w:rsidR="000243B1" w:rsidRDefault="000243B1" w:rsidP="00556EC3">
      <w:pPr>
        <w:spacing w:line="480" w:lineRule="auto"/>
        <w:ind w:firstLine="720"/>
      </w:pPr>
      <w:r>
        <w:t xml:space="preserve">It should be of no surprise that decision-makers and their advisors who are intent on introducing or reforming UHC think of themselves as breaking with history. They see the past as creating a web of policies, structures, laws, relationships, and incentives that reinforce the path dependency of a given policy. The significant investment made by stakeholders in the policy status means that </w:t>
      </w:r>
      <w:r>
        <w:lastRenderedPageBreak/>
        <w:t>they are likely to oppose major change. This explains the paradox of why societies put up with suboptimal and even dysfunctional policy regimes for long periods of time. In this sense, history can understandably be seen as a major obstacle to change</w:t>
      </w:r>
      <w:r w:rsidR="00CD759B">
        <w:t xml:space="preserve"> (Pierson 2000</w:t>
      </w:r>
      <w:r w:rsidR="00556EC3">
        <w:t>)</w:t>
      </w:r>
      <w:r>
        <w:t xml:space="preserve">.  </w:t>
      </w:r>
    </w:p>
    <w:p w14:paraId="287CD4F8" w14:textId="0C928D58" w:rsidR="008D40D0" w:rsidRDefault="003A7669" w:rsidP="001A7FE7">
      <w:pPr>
        <w:spacing w:line="480" w:lineRule="auto"/>
        <w:ind w:firstLine="720"/>
      </w:pPr>
      <w:r>
        <w:t>But how can</w:t>
      </w:r>
      <w:r w:rsidR="002A3795">
        <w:t xml:space="preserve"> we</w:t>
      </w:r>
      <w:r w:rsidR="009E11F6">
        <w:t xml:space="preserve"> conceptually distinguish</w:t>
      </w:r>
      <w:r w:rsidR="002A3795">
        <w:t xml:space="preserve"> between major and more incremental change? </w:t>
      </w:r>
      <w:r w:rsidR="00AE1AF9">
        <w:t>Decades ago, political scientist Peter Hall</w:t>
      </w:r>
      <w:r w:rsidR="00AB3CC6">
        <w:t xml:space="preserve"> posited the idea of first order, second order and third order change. </w:t>
      </w:r>
      <w:r w:rsidR="00FF41AE">
        <w:t>First-order change is the most common and incremental of policy change</w:t>
      </w:r>
      <w:r w:rsidR="00DD3A2B">
        <w:t>: using the metaphor of a machin</w:t>
      </w:r>
      <w:r w:rsidR="009E11F6">
        <w:t>e room, only the settings on existing</w:t>
      </w:r>
      <w:r w:rsidR="00DD3A2B">
        <w:t xml:space="preserve"> </w:t>
      </w:r>
      <w:r w:rsidR="009E11F6">
        <w:t xml:space="preserve">policy </w:t>
      </w:r>
      <w:r w:rsidR="00DD3A2B">
        <w:t>instruments</w:t>
      </w:r>
      <w:r w:rsidR="009E11F6">
        <w:t xml:space="preserve"> – laws, regulations, policy directives, public bureaucracies and their structures – are </w:t>
      </w:r>
      <w:r w:rsidR="00DD3A2B">
        <w:t>changed to achieve a policy goal. Second-orde</w:t>
      </w:r>
      <w:r w:rsidR="009E11F6">
        <w:t>r change involves modifying a few</w:t>
      </w:r>
      <w:r w:rsidR="00DD3A2B">
        <w:t xml:space="preserve"> of the</w:t>
      </w:r>
      <w:r w:rsidR="00D61223">
        <w:t xml:space="preserve"> instruments while changing</w:t>
      </w:r>
      <w:r w:rsidR="009E11F6">
        <w:t xml:space="preserve"> the settings on other existing</w:t>
      </w:r>
      <w:r w:rsidR="00DD3A2B">
        <w:t xml:space="preserve"> instruments to achieve the same goal. Third-o</w:t>
      </w:r>
      <w:r w:rsidR="00D61223">
        <w:t>rder change involves modifying</w:t>
      </w:r>
      <w:r w:rsidR="00DD3A2B">
        <w:t xml:space="preserve"> the policy goal itself and this can require more radical changes to instrument</w:t>
      </w:r>
      <w:r w:rsidR="009E11F6">
        <w:t>s and their settings (</w:t>
      </w:r>
      <w:r>
        <w:t>Hall</w:t>
      </w:r>
      <w:r w:rsidR="00094A33">
        <w:t xml:space="preserve"> 1993</w:t>
      </w:r>
      <w:r w:rsidR="00DD3A2B">
        <w:t>).</w:t>
      </w:r>
      <w:r w:rsidR="00094A33">
        <w:t xml:space="preserve"> This type of policy change is often described as discontinuous because of its departure from the policy and institutional status quo (</w:t>
      </w:r>
      <w:proofErr w:type="spellStart"/>
      <w:r w:rsidR="00094A33">
        <w:t>Thelen</w:t>
      </w:r>
      <w:proofErr w:type="spellEnd"/>
      <w:r w:rsidR="00094A33">
        <w:t xml:space="preserve"> 2009).</w:t>
      </w:r>
      <w:r w:rsidR="009E11F6">
        <w:t xml:space="preserve"> </w:t>
      </w:r>
    </w:p>
    <w:p w14:paraId="580302B0" w14:textId="13C17E32" w:rsidR="00D61223" w:rsidRDefault="001A7FE7" w:rsidP="008D40D0">
      <w:pPr>
        <w:spacing w:line="480" w:lineRule="auto"/>
        <w:ind w:firstLine="720"/>
      </w:pPr>
      <w:r>
        <w:t>Hall’s analytical framework has since been expanded to four categories by Carol</w:t>
      </w:r>
      <w:r w:rsidR="00D61223">
        <w:t xml:space="preserve">yn Tuohy, </w:t>
      </w:r>
      <w:r w:rsidR="00E90B4E">
        <w:t xml:space="preserve">adding </w:t>
      </w:r>
      <w:r w:rsidR="00D61223">
        <w:t>what she explicitly calls ‘</w:t>
      </w:r>
      <w:r w:rsidR="00444AE8">
        <w:t>big bang</w:t>
      </w:r>
      <w:r w:rsidR="008D40D0">
        <w:t xml:space="preserve"> change</w:t>
      </w:r>
      <w:r w:rsidR="00D61223">
        <w:t xml:space="preserve">’ (Tuohy forthcoming). Tuohy’s </w:t>
      </w:r>
      <w:r w:rsidR="00444AE8">
        <w:t>big bang</w:t>
      </w:r>
      <w:r w:rsidR="00D61223">
        <w:t xml:space="preserve"> change is</w:t>
      </w:r>
      <w:r>
        <w:t xml:space="preserve"> restricted to</w:t>
      </w:r>
      <w:r w:rsidR="008D40D0">
        <w:t xml:space="preserve"> policy shifts which </w:t>
      </w:r>
      <w:r w:rsidR="00D61223">
        <w:t xml:space="preserve">she defines as </w:t>
      </w:r>
      <w:r w:rsidR="008D40D0">
        <w:t>both</w:t>
      </w:r>
      <w:r>
        <w:t xml:space="preserve"> large-scale </w:t>
      </w:r>
      <w:r>
        <w:rPr>
          <w:i/>
        </w:rPr>
        <w:t>and</w:t>
      </w:r>
      <w:r w:rsidR="008D40D0">
        <w:t xml:space="preserve"> fast-paced</w:t>
      </w:r>
      <w:r>
        <w:t>.</w:t>
      </w:r>
      <w:r w:rsidR="008D40D0">
        <w:t xml:space="preserve"> </w:t>
      </w:r>
      <w:r w:rsidR="00444AE8">
        <w:t>Big bang</w:t>
      </w:r>
      <w:r w:rsidR="008D40D0">
        <w:t xml:space="preserve"> change therefore</w:t>
      </w:r>
      <w:r w:rsidR="009E11F6">
        <w:t xml:space="preserve"> involves </w:t>
      </w:r>
      <w:r w:rsidR="008D40D0">
        <w:t xml:space="preserve">not only </w:t>
      </w:r>
      <w:r w:rsidR="009E11F6">
        <w:t>setting a new policy direction</w:t>
      </w:r>
      <w:r w:rsidR="008D40D0">
        <w:t xml:space="preserve"> but doing so within a relatively short period of time.</w:t>
      </w:r>
      <w:r w:rsidR="009E11F6">
        <w:t xml:space="preserve"> </w:t>
      </w:r>
    </w:p>
    <w:p w14:paraId="65654630" w14:textId="136E911B" w:rsidR="0014727C" w:rsidRDefault="00223063" w:rsidP="006273DC">
      <w:pPr>
        <w:spacing w:line="480" w:lineRule="auto"/>
        <w:ind w:firstLine="720"/>
      </w:pPr>
      <w:r>
        <w:lastRenderedPageBreak/>
        <w:t>Without question, the in</w:t>
      </w:r>
      <w:r w:rsidR="004D52A6">
        <w:t>troduction of UHC</w:t>
      </w:r>
      <w:r>
        <w:t xml:space="preserve"> constitute</w:t>
      </w:r>
      <w:r w:rsidR="003423E2">
        <w:t>s</w:t>
      </w:r>
      <w:r w:rsidR="00D61223">
        <w:t xml:space="preserve"> major</w:t>
      </w:r>
      <w:r w:rsidR="00CC0E3A">
        <w:t xml:space="preserve"> policy</w:t>
      </w:r>
      <w:r>
        <w:t xml:space="preserve"> change</w:t>
      </w:r>
      <w:r w:rsidR="008D40D0">
        <w:t xml:space="preserve"> as defined by Hall</w:t>
      </w:r>
      <w:r w:rsidR="00822F1C">
        <w:t xml:space="preserve"> (</w:t>
      </w:r>
      <w:proofErr w:type="spellStart"/>
      <w:r w:rsidR="00822F1C">
        <w:t>Marchildon</w:t>
      </w:r>
      <w:proofErr w:type="spellEnd"/>
      <w:r w:rsidR="00822F1C">
        <w:t xml:space="preserve"> 2012; </w:t>
      </w:r>
      <w:proofErr w:type="spellStart"/>
      <w:r w:rsidR="00822F1C">
        <w:t>Gauld</w:t>
      </w:r>
      <w:proofErr w:type="spellEnd"/>
      <w:r w:rsidR="00822F1C">
        <w:t xml:space="preserve"> 2000</w:t>
      </w:r>
      <w:r w:rsidR="002A47C9">
        <w:t xml:space="preserve">; Fox and Blanchet 2015; </w:t>
      </w:r>
      <w:proofErr w:type="spellStart"/>
      <w:r w:rsidR="002A47C9">
        <w:t>Kingdon</w:t>
      </w:r>
      <w:proofErr w:type="spellEnd"/>
      <w:r w:rsidR="002A47C9">
        <w:t xml:space="preserve"> 2011</w:t>
      </w:r>
      <w:r w:rsidR="00822F1C">
        <w:t>)</w:t>
      </w:r>
      <w:r w:rsidR="003423E2">
        <w:t xml:space="preserve">, but does it meet Tuohy’s higher standard of </w:t>
      </w:r>
      <w:r w:rsidR="0014727C">
        <w:t xml:space="preserve">change that is both </w:t>
      </w:r>
      <w:r w:rsidR="003423E2">
        <w:t>large</w:t>
      </w:r>
      <w:r w:rsidR="0014727C">
        <w:t>-scale and high velocity</w:t>
      </w:r>
      <w:r w:rsidR="0069113E">
        <w:t>?</w:t>
      </w:r>
      <w:r w:rsidR="00E90B4E">
        <w:t xml:space="preserve"> Canadian Medicare</w:t>
      </w:r>
      <w:r w:rsidR="0014727C">
        <w:t xml:space="preserve">, as UHC is called in Canada, provides </w:t>
      </w:r>
      <w:r w:rsidR="00D61223">
        <w:t>an excellent test case given</w:t>
      </w:r>
      <w:r w:rsidR="008D40D0">
        <w:t xml:space="preserve"> the </w:t>
      </w:r>
      <w:r w:rsidR="0014727C">
        <w:t xml:space="preserve">apparently </w:t>
      </w:r>
      <w:r w:rsidR="008D40D0">
        <w:t xml:space="preserve">gradual nature </w:t>
      </w:r>
      <w:r w:rsidR="006D4B96">
        <w:t xml:space="preserve">in </w:t>
      </w:r>
      <w:r w:rsidR="00D61223">
        <w:t>which Medicare evolved</w:t>
      </w:r>
      <w:r w:rsidR="008D40D0">
        <w:t xml:space="preserve"> – first through the implementation of universal hospital coverage in Saskatchewan (1947) and then in the rest of the country through the federal spending power (1958-61), and again with universal medical care coverage in Saskat</w:t>
      </w:r>
      <w:r w:rsidR="006D4B96">
        <w:t>chewan (1</w:t>
      </w:r>
      <w:r w:rsidR="00D61223">
        <w:t>962) and</w:t>
      </w:r>
      <w:r w:rsidR="008D40D0">
        <w:t xml:space="preserve"> Canada (1</w:t>
      </w:r>
      <w:r w:rsidR="00D61223">
        <w:t>968-72)</w:t>
      </w:r>
      <w:r w:rsidR="006273DC">
        <w:t xml:space="preserve">. </w:t>
      </w:r>
    </w:p>
    <w:p w14:paraId="068AF68D" w14:textId="4E4438A2" w:rsidR="006273DC" w:rsidRDefault="006273DC" w:rsidP="006273DC">
      <w:pPr>
        <w:spacing w:line="480" w:lineRule="auto"/>
        <w:ind w:firstLine="720"/>
      </w:pPr>
      <w:r>
        <w:t xml:space="preserve">On closer historical examination, however, </w:t>
      </w:r>
      <w:r w:rsidR="00D32192">
        <w:t xml:space="preserve">the introduction of single-payer universal </w:t>
      </w:r>
      <w:r w:rsidR="0014727C">
        <w:t xml:space="preserve">hospital </w:t>
      </w:r>
      <w:r w:rsidR="00D32192">
        <w:t>cove</w:t>
      </w:r>
      <w:r w:rsidR="0014727C">
        <w:t xml:space="preserve">rage </w:t>
      </w:r>
      <w:r w:rsidR="006D4B96">
        <w:t>in the provinces (</w:t>
      </w:r>
      <w:r w:rsidR="00D32192">
        <w:t xml:space="preserve">and </w:t>
      </w:r>
      <w:r w:rsidR="0014727C">
        <w:t>this is where it really counted</w:t>
      </w:r>
      <w:r w:rsidR="006D4B96">
        <w:t>)</w:t>
      </w:r>
      <w:r w:rsidR="00D32192">
        <w:t xml:space="preserve"> was both large-scale and rapid.</w:t>
      </w:r>
      <w:r w:rsidR="006D4B96">
        <w:t xml:space="preserve"> Implementation time was short in each jurisdiction and the degree of change – for hospitals, health insurers and patients – was profound. The second phase of implementing </w:t>
      </w:r>
      <w:r w:rsidR="0014727C">
        <w:t>physician</w:t>
      </w:r>
      <w:r w:rsidR="00D32192">
        <w:t xml:space="preserve"> coverage</w:t>
      </w:r>
      <w:r w:rsidR="006D4B96">
        <w:t xml:space="preserve"> was similarly larg</w:t>
      </w:r>
      <w:r w:rsidR="0014727C">
        <w:t>e-scale and high-velocity</w:t>
      </w:r>
      <w:r w:rsidR="006D4B96">
        <w:t>. This phase was also one of the most turbulent in the postwar policy history of Canada</w:t>
      </w:r>
      <w:r w:rsidR="00D32192">
        <w:t xml:space="preserve"> in that it involved </w:t>
      </w:r>
      <w:r w:rsidR="0014727C">
        <w:t xml:space="preserve">a </w:t>
      </w:r>
      <w:r w:rsidR="00D32192">
        <w:t>ma</w:t>
      </w:r>
      <w:r w:rsidR="0014727C">
        <w:t>jor standoff</w:t>
      </w:r>
      <w:r w:rsidR="00D32192">
        <w:t xml:space="preserve"> between government and the medical profession as well as within and among federal and provincial governments (</w:t>
      </w:r>
      <w:proofErr w:type="spellStart"/>
      <w:r w:rsidR="00AD649B">
        <w:t>Badgely</w:t>
      </w:r>
      <w:proofErr w:type="spellEnd"/>
      <w:r w:rsidR="00AD649B">
        <w:t xml:space="preserve"> and Wolfe 1967; </w:t>
      </w:r>
      <w:r w:rsidR="0083540D">
        <w:t xml:space="preserve">Naylor 1986; </w:t>
      </w:r>
      <w:r w:rsidR="008500DB">
        <w:t xml:space="preserve">Taylor 1987; </w:t>
      </w:r>
      <w:proofErr w:type="spellStart"/>
      <w:r w:rsidR="0083540D">
        <w:t>Bryden</w:t>
      </w:r>
      <w:proofErr w:type="spellEnd"/>
      <w:r w:rsidR="0083540D">
        <w:t xml:space="preserve"> 2009; </w:t>
      </w:r>
      <w:proofErr w:type="spellStart"/>
      <w:r w:rsidR="00D32192">
        <w:t>Marchildon</w:t>
      </w:r>
      <w:proofErr w:type="spellEnd"/>
      <w:r w:rsidR="00D32192">
        <w:t xml:space="preserve"> and </w:t>
      </w:r>
      <w:proofErr w:type="spellStart"/>
      <w:r w:rsidR="001B1AF5">
        <w:t>Schrijvers</w:t>
      </w:r>
      <w:proofErr w:type="spellEnd"/>
      <w:r w:rsidR="001B1AF5">
        <w:t xml:space="preserve"> 2011)</w:t>
      </w:r>
      <w:r w:rsidR="003423E2">
        <w:t>.</w:t>
      </w:r>
      <w:r w:rsidR="008500DB">
        <w:t xml:space="preserve"> </w:t>
      </w:r>
    </w:p>
    <w:p w14:paraId="1C21462F" w14:textId="0733ABE9" w:rsidR="008D40D0" w:rsidRDefault="003D15B2" w:rsidP="006273DC">
      <w:pPr>
        <w:spacing w:line="480" w:lineRule="auto"/>
        <w:ind w:firstLine="720"/>
      </w:pPr>
      <w:r>
        <w:t>The</w:t>
      </w:r>
      <w:r w:rsidR="006273DC">
        <w:t xml:space="preserve"> confrontation</w:t>
      </w:r>
      <w:r>
        <w:t xml:space="preserve"> between interest groups and the state – particularly the medical profession and provincial governments – diminished </w:t>
      </w:r>
      <w:r w:rsidR="006273DC">
        <w:t xml:space="preserve">after Medicare was implemented but </w:t>
      </w:r>
      <w:r>
        <w:t xml:space="preserve">in recent years, </w:t>
      </w:r>
      <w:r w:rsidR="006273DC">
        <w:t xml:space="preserve">has </w:t>
      </w:r>
      <w:r>
        <w:t xml:space="preserve">flared up again. The main venue for this conflict has gone beyond the traditional political arena and entered the courts. </w:t>
      </w:r>
      <w:r w:rsidR="008500DB">
        <w:lastRenderedPageBreak/>
        <w:t>Although gover</w:t>
      </w:r>
      <w:r w:rsidR="00D554F1">
        <w:t>nments in Canada have shown limited interest in expanding or structurally reforming</w:t>
      </w:r>
      <w:r w:rsidR="008500DB">
        <w:t xml:space="preserve"> Medicare for almost a half century, </w:t>
      </w:r>
      <w:r w:rsidR="00D554F1">
        <w:t>in</w:t>
      </w:r>
      <w:r>
        <w:t xml:space="preserve"> recent years, private physician litigant</w:t>
      </w:r>
      <w:r w:rsidR="00D554F1">
        <w:t>s</w:t>
      </w:r>
      <w:r>
        <w:t xml:space="preserve"> such as Dr. Jacques </w:t>
      </w:r>
      <w:proofErr w:type="spellStart"/>
      <w:r>
        <w:t>Chaoulli</w:t>
      </w:r>
      <w:proofErr w:type="spellEnd"/>
      <w:r>
        <w:t xml:space="preserve"> and Dr. Brian Day </w:t>
      </w:r>
      <w:r w:rsidR="00D554F1">
        <w:t xml:space="preserve">have attempted to use the </w:t>
      </w:r>
      <w:r w:rsidRPr="00E90B4E">
        <w:rPr>
          <w:i/>
        </w:rPr>
        <w:t>Canadian Charter of Rights and Freedoms</w:t>
      </w:r>
      <w:r>
        <w:t xml:space="preserve"> </w:t>
      </w:r>
      <w:r w:rsidR="00D554F1">
        <w:t>to</w:t>
      </w:r>
      <w:r>
        <w:t xml:space="preserve"> alter the Canadian model of Medicare (Flood and Thomas 2017)</w:t>
      </w:r>
      <w:r w:rsidR="00D554F1">
        <w:t xml:space="preserve">. </w:t>
      </w:r>
      <w:r w:rsidR="008500DB">
        <w:t xml:space="preserve">  </w:t>
      </w:r>
    </w:p>
    <w:p w14:paraId="438E2D13" w14:textId="25B1E567" w:rsidR="000A1522" w:rsidRDefault="00223063" w:rsidP="001A7FE7">
      <w:pPr>
        <w:spacing w:line="480" w:lineRule="auto"/>
        <w:ind w:firstLine="720"/>
      </w:pPr>
      <w:r>
        <w:t xml:space="preserve">The key objective </w:t>
      </w:r>
      <w:r w:rsidR="008500DB">
        <w:t xml:space="preserve">of UHC </w:t>
      </w:r>
      <w:r>
        <w:t xml:space="preserve">– that of ensuring an entire population has a right of access to a defined basket of health services based </w:t>
      </w:r>
      <w:r w:rsidR="0082535D">
        <w:t>on need</w:t>
      </w:r>
      <w:r>
        <w:t xml:space="preserve"> </w:t>
      </w:r>
      <w:r w:rsidR="0082535D">
        <w:t>–</w:t>
      </w:r>
      <w:r>
        <w:t xml:space="preserve"> </w:t>
      </w:r>
      <w:r w:rsidR="0082535D">
        <w:t xml:space="preserve">fundamentally alters the status quo where ability to pay has been the main determinant of access. </w:t>
      </w:r>
      <w:r w:rsidR="00556EC3">
        <w:t xml:space="preserve">No different than most UHC systems, Canadian Medicare redistributes from the healthy and wealthy to the ill and the poor. </w:t>
      </w:r>
      <w:r w:rsidR="008500DB">
        <w:t xml:space="preserve">This redistribution creates winners and losers and is the underlying reason why introducing, extending or structurally reforming UHC is necessarily </w:t>
      </w:r>
      <w:r w:rsidR="00444AE8">
        <w:t>big bang</w:t>
      </w:r>
      <w:r w:rsidR="008500DB">
        <w:t xml:space="preserve"> reform. Such large-scale reform</w:t>
      </w:r>
      <w:r w:rsidR="0082535D">
        <w:t xml:space="preserve"> requires new laws and associated regulations, new organizations, an expansion in the stewardship responsibilities of government, and new set of dynamics and relations between the health professions and the state.</w:t>
      </w:r>
    </w:p>
    <w:p w14:paraId="597985D0" w14:textId="77777777" w:rsidR="004C6B55" w:rsidRDefault="00165CFC" w:rsidP="001A7FE7">
      <w:pPr>
        <w:spacing w:line="480" w:lineRule="auto"/>
        <w:ind w:firstLine="720"/>
      </w:pPr>
      <w:r>
        <w:t>Those trying to break these policy impa</w:t>
      </w:r>
      <w:r w:rsidR="004C6B55">
        <w:t xml:space="preserve">sses can be very impatient with </w:t>
      </w:r>
      <w:r>
        <w:t>professional h</w:t>
      </w:r>
      <w:r w:rsidR="00DD3A2B">
        <w:t xml:space="preserve">istorians whose </w:t>
      </w:r>
      <w:r>
        <w:t>job it is reconstruct the arcane detail of the past</w:t>
      </w:r>
      <w:r w:rsidR="00094A33">
        <w:t>, thereby</w:t>
      </w:r>
      <w:r w:rsidR="00DD3A2B">
        <w:t xml:space="preserve"> explain</w:t>
      </w:r>
      <w:r w:rsidR="00094A33">
        <w:t>ing</w:t>
      </w:r>
      <w:r w:rsidR="00DD3A2B">
        <w:t xml:space="preserve"> why things are the way they are</w:t>
      </w:r>
      <w:r>
        <w:t>.</w:t>
      </w:r>
      <w:r w:rsidR="00094A33">
        <w:t xml:space="preserve"> Ironically, the greater appreciation of what policy theorists call the “lock-in” of a given policy in a particular institutional environment – the details of which professional historians excel at describing – can make major change appear even more insurmountable to decision-makers.</w:t>
      </w:r>
      <w:r w:rsidR="004C6B55">
        <w:t xml:space="preserve"> They know such changes are both difficult, that in the mandate of any particular government, the opportunity to achieve major change comes rarely.</w:t>
      </w:r>
    </w:p>
    <w:p w14:paraId="260F73C6" w14:textId="77777777" w:rsidR="003D3B1F" w:rsidRDefault="004C6B55" w:rsidP="001A7FE7">
      <w:pPr>
        <w:spacing w:line="480" w:lineRule="auto"/>
        <w:ind w:firstLine="720"/>
      </w:pPr>
      <w:r>
        <w:lastRenderedPageBreak/>
        <w:t>The stars must align in the sense that the government has the necessary political capital to convince a majority of the population of the need for major change and the strength to incur the wrath of a minority who benefit directly from the status quo. Such occasions generally occur after an election at the beginning of the government’s term where the major policy change – the establishment or fundamental reform of UHC – was a prominent platform promise. This political opportunity is generally preceded by a cause and effect narrative tha</w:t>
      </w:r>
      <w:r w:rsidR="003D3B1F">
        <w:t>t identifies the status quo as the problem with a new</w:t>
      </w:r>
      <w:r>
        <w:t xml:space="preserve"> UHC</w:t>
      </w:r>
      <w:r w:rsidR="003D3B1F">
        <w:t xml:space="preserve"> policy or the</w:t>
      </w:r>
      <w:r>
        <w:t xml:space="preserve"> major reform </w:t>
      </w:r>
      <w:r w:rsidR="003D3B1F">
        <w:t xml:space="preserve">of an existing UHC policy </w:t>
      </w:r>
      <w:r>
        <w:t xml:space="preserve">as the solution. </w:t>
      </w:r>
    </w:p>
    <w:p w14:paraId="39D94C65" w14:textId="38C9207E" w:rsidR="00FB7012" w:rsidRDefault="003D3B1F" w:rsidP="00444AE8">
      <w:pPr>
        <w:spacing w:line="480" w:lineRule="auto"/>
        <w:ind w:firstLine="720"/>
      </w:pPr>
      <w:r>
        <w:t xml:space="preserve">Of course, the more precise policy solution in terms of its design features must also be on offer and acceptable to a critical mass within </w:t>
      </w:r>
      <w:r w:rsidR="00E90B4E">
        <w:t xml:space="preserve">the population. </w:t>
      </w:r>
      <w:proofErr w:type="spellStart"/>
      <w:r>
        <w:t>Kingdon</w:t>
      </w:r>
      <w:proofErr w:type="spellEnd"/>
      <w:r>
        <w:t xml:space="preserve"> (2011) </w:t>
      </w:r>
      <w:r w:rsidR="00E90B4E">
        <w:t>described</w:t>
      </w:r>
      <w:r w:rsidR="00D554F1">
        <w:t xml:space="preserve"> three streams – political, </w:t>
      </w:r>
      <w:r w:rsidR="005A334C">
        <w:t>problem and policy –</w:t>
      </w:r>
      <w:r w:rsidR="00E90B4E">
        <w:t xml:space="preserve"> based upon case studies of major policy shifts in the United States. The streams</w:t>
      </w:r>
      <w:r w:rsidR="005A334C">
        <w:t xml:space="preserve"> are normally separate</w:t>
      </w:r>
      <w:r>
        <w:t xml:space="preserve">, </w:t>
      </w:r>
      <w:r w:rsidR="00444AE8">
        <w:t xml:space="preserve">but </w:t>
      </w:r>
      <w:r w:rsidR="005A334C">
        <w:t xml:space="preserve">very occasionally </w:t>
      </w:r>
      <w:r>
        <w:t>converge</w:t>
      </w:r>
      <w:r w:rsidR="00D554F1">
        <w:t>,</w:t>
      </w:r>
      <w:r>
        <w:t xml:space="preserve"> offer</w:t>
      </w:r>
      <w:r w:rsidR="00444AE8">
        <w:t>ing a rare</w:t>
      </w:r>
      <w:r w:rsidR="00D554F1">
        <w:t xml:space="preserve"> opportunity for</w:t>
      </w:r>
      <w:r>
        <w:t xml:space="preserve"> momentous policy shift</w:t>
      </w:r>
      <w:r w:rsidR="00D554F1">
        <w:t>s</w:t>
      </w:r>
      <w:r>
        <w:t>.</w:t>
      </w:r>
      <w:r w:rsidR="00D554F1">
        <w:t xml:space="preserve"> </w:t>
      </w:r>
      <w:r>
        <w:t xml:space="preserve">These critical junctures are associated with policy entrepreneurs who are active in orchestrating the winning advocacy coalitions. </w:t>
      </w:r>
      <w:r w:rsidR="00444AE8">
        <w:t xml:space="preserve">Unsurprisingly, </w:t>
      </w:r>
      <w:proofErr w:type="spellStart"/>
      <w:r w:rsidR="005A334C">
        <w:t>Kingdon</w:t>
      </w:r>
      <w:proofErr w:type="spellEnd"/>
      <w:r w:rsidR="005A334C">
        <w:t xml:space="preserve"> (2011) </w:t>
      </w:r>
      <w:r w:rsidR="00444AE8">
        <w:t>was able to apply</w:t>
      </w:r>
      <w:r w:rsidR="005A334C">
        <w:t xml:space="preserve"> his analytical framework to UHC eff</w:t>
      </w:r>
      <w:r w:rsidR="00444AE8">
        <w:t>orts in the United States to explain</w:t>
      </w:r>
      <w:r w:rsidR="005A334C">
        <w:t xml:space="preserve"> why President </w:t>
      </w:r>
      <w:r w:rsidR="001D0C0C">
        <w:t xml:space="preserve">Bill </w:t>
      </w:r>
      <w:r w:rsidR="005A334C">
        <w:t>Clinton</w:t>
      </w:r>
      <w:r w:rsidR="00444AE8">
        <w:t>’s</w:t>
      </w:r>
      <w:r w:rsidR="00FB7012">
        <w:t xml:space="preserve"> reforms failed in the 1990s and</w:t>
      </w:r>
      <w:r w:rsidR="005A334C">
        <w:t xml:space="preserve"> President </w:t>
      </w:r>
      <w:r w:rsidR="001D0C0C">
        <w:t xml:space="preserve">Barrack </w:t>
      </w:r>
      <w:r w:rsidR="005A334C">
        <w:t xml:space="preserve">Obama’s Affordable Care Act was passed </w:t>
      </w:r>
      <w:r w:rsidR="00FB7012">
        <w:t xml:space="preserve">in 2010. </w:t>
      </w:r>
    </w:p>
    <w:p w14:paraId="605493E2" w14:textId="39FF3BBD" w:rsidR="00596831" w:rsidRDefault="00FB7012" w:rsidP="00596831">
      <w:pPr>
        <w:spacing w:line="480" w:lineRule="auto"/>
        <w:ind w:firstLine="720"/>
      </w:pPr>
      <w:proofErr w:type="spellStart"/>
      <w:r>
        <w:t>Kingdon’s</w:t>
      </w:r>
      <w:proofErr w:type="spellEnd"/>
      <w:r>
        <w:t xml:space="preserve"> analytical approach invites the kind of nuanced and historically contextualized narrative that is the natural e</w:t>
      </w:r>
      <w:r w:rsidR="002B0A04">
        <w:t xml:space="preserve">xpertise of historians. Although there is no study of this, I suspect that </w:t>
      </w:r>
      <w:r>
        <w:t>historic</w:t>
      </w:r>
      <w:r w:rsidR="00DC5F61">
        <w:t>ally trained scholars have been central to establishing dominant narratives on the implementation and</w:t>
      </w:r>
      <w:r w:rsidR="002B0A04">
        <w:t xml:space="preserve"> major reform of UHC </w:t>
      </w:r>
      <w:r w:rsidR="002B0A04">
        <w:lastRenderedPageBreak/>
        <w:t>in a number of</w:t>
      </w:r>
      <w:r w:rsidR="00DC5F61">
        <w:t xml:space="preserve"> countries. Britain’s NHS has its own official historian (Webster 1988 and 1996) as well as narratives by historically trained scholars such as </w:t>
      </w:r>
      <w:r w:rsidR="00556EC3">
        <w:t xml:space="preserve">Daniel </w:t>
      </w:r>
      <w:r w:rsidR="00DC5F61">
        <w:t>Fox</w:t>
      </w:r>
      <w:r w:rsidR="007A5140">
        <w:t xml:space="preserve"> (1986)</w:t>
      </w:r>
      <w:r w:rsidR="00DC5F61">
        <w:t xml:space="preserve"> and </w:t>
      </w:r>
      <w:r w:rsidR="00556EC3">
        <w:t xml:space="preserve">Rudolf </w:t>
      </w:r>
      <w:r w:rsidR="00DC5F61">
        <w:t>Klein</w:t>
      </w:r>
      <w:r w:rsidR="007A5140">
        <w:t xml:space="preserve"> (2013). These and other authors have produced a rich historiography that is marked by competing interpretations (</w:t>
      </w:r>
      <w:proofErr w:type="spellStart"/>
      <w:r w:rsidR="007A5140">
        <w:t>Gorsky</w:t>
      </w:r>
      <w:proofErr w:type="spellEnd"/>
      <w:r w:rsidR="007A5140">
        <w:t xml:space="preserve"> 2008). </w:t>
      </w:r>
      <w:r w:rsidR="00DC5F61">
        <w:t xml:space="preserve"> </w:t>
      </w:r>
      <w:r w:rsidR="00014EB1">
        <w:t>One of the authors of a recent history of UHC in Australia was trained as an historian (Boxall and Gillespie</w:t>
      </w:r>
      <w:r w:rsidR="003D3B1F">
        <w:t xml:space="preserve"> 2013). </w:t>
      </w:r>
      <w:r w:rsidR="00B70FFB">
        <w:t xml:space="preserve">As for Canada, </w:t>
      </w:r>
      <w:r w:rsidR="002B0A04">
        <w:t xml:space="preserve">I have previously commented on the limited contributions by </w:t>
      </w:r>
      <w:r w:rsidR="00B70FFB">
        <w:t xml:space="preserve">professional </w:t>
      </w:r>
      <w:r w:rsidR="002B0A04">
        <w:t>historians in establishing or contesting the dominant narrative of Canadian Medicare (Marchildon 2012)</w:t>
      </w:r>
      <w:r w:rsidR="00596831">
        <w:t>. However, even</w:t>
      </w:r>
      <w:r w:rsidR="00556EC3">
        <w:t xml:space="preserve"> the</w:t>
      </w:r>
      <w:r w:rsidR="00596831">
        <w:t xml:space="preserve"> </w:t>
      </w:r>
      <w:r w:rsidR="00556EC3">
        <w:t>medical and social scientists</w:t>
      </w:r>
      <w:r w:rsidR="002B0A04">
        <w:t xml:space="preserve"> </w:t>
      </w:r>
      <w:r w:rsidR="00556EC3">
        <w:t xml:space="preserve">whose accounts have become the dominant narrative of Canadian Medicare </w:t>
      </w:r>
      <w:r w:rsidR="002B0A04">
        <w:t>have used historical methods and primary sources</w:t>
      </w:r>
      <w:r w:rsidR="00556EC3">
        <w:t xml:space="preserve"> (Naylor 19</w:t>
      </w:r>
      <w:r w:rsidR="00CD759B">
        <w:t xml:space="preserve">86; Taylor 1987; and </w:t>
      </w:r>
      <w:proofErr w:type="spellStart"/>
      <w:r w:rsidR="00CD759B">
        <w:t>Maioni</w:t>
      </w:r>
      <w:proofErr w:type="spellEnd"/>
      <w:r w:rsidR="00CD759B">
        <w:t xml:space="preserve"> 1998</w:t>
      </w:r>
      <w:r w:rsidR="00556EC3">
        <w:t>)</w:t>
      </w:r>
      <w:r w:rsidR="002B0A04">
        <w:t xml:space="preserve">. </w:t>
      </w:r>
    </w:p>
    <w:p w14:paraId="27BA3319" w14:textId="632F6AB5" w:rsidR="003D3B1F" w:rsidRDefault="00B70FFB" w:rsidP="00596831">
      <w:pPr>
        <w:spacing w:line="480" w:lineRule="auto"/>
        <w:ind w:firstLine="720"/>
      </w:pPr>
      <w:r>
        <w:t xml:space="preserve">Admittedly, </w:t>
      </w:r>
      <w:r w:rsidR="00BD57E0">
        <w:t>UHC will always be a subject</w:t>
      </w:r>
      <w:r w:rsidR="00596831">
        <w:t xml:space="preserve"> that cal</w:t>
      </w:r>
      <w:r w:rsidR="00BD57E0">
        <w:t xml:space="preserve">ls for </w:t>
      </w:r>
      <w:proofErr w:type="spellStart"/>
      <w:r w:rsidR="00BD57E0">
        <w:t>multidisciplinarity</w:t>
      </w:r>
      <w:proofErr w:type="spellEnd"/>
      <w:r w:rsidR="00596831">
        <w:t>. T</w:t>
      </w:r>
      <w:r w:rsidR="003D3B1F">
        <w:t>he extensive – indeed often overwhelming –</w:t>
      </w:r>
      <w:r w:rsidR="00596831">
        <w:t xml:space="preserve"> archival record upon which UHC narratives are</w:t>
      </w:r>
      <w:r w:rsidR="003D3B1F">
        <w:t xml:space="preserve"> based require an intimate knowledge of government organization and state bureaucracies generally better known to policy scholars and (some) political scientists than to professional historians.</w:t>
      </w:r>
      <w:r w:rsidR="00782F23">
        <w:t xml:space="preserve"> Such changes generate tonnes</w:t>
      </w:r>
      <w:r w:rsidR="008B4089">
        <w:t xml:space="preserve"> (terabytes) of documentation by governments and stakeholders that must eventually be navigated and parsed by scholars.</w:t>
      </w:r>
      <w:r w:rsidR="00782F23">
        <w:t xml:space="preserve"> </w:t>
      </w:r>
      <w:r w:rsidR="003D3B1F">
        <w:t xml:space="preserve"> Finally, at least in the ca</w:t>
      </w:r>
      <w:r w:rsidR="008B4089">
        <w:t>se of</w:t>
      </w:r>
      <w:r w:rsidR="003D3B1F">
        <w:t xml:space="preserve"> federation</w:t>
      </w:r>
      <w:r w:rsidR="008B4089">
        <w:t xml:space="preserve">s, especially highly decentralized </w:t>
      </w:r>
      <w:r w:rsidR="00596831">
        <w:t>federations such as Canada, there may not be a national</w:t>
      </w:r>
      <w:r w:rsidR="008B4089">
        <w:t xml:space="preserve"> history</w:t>
      </w:r>
      <w:r w:rsidR="00596831">
        <w:t>.  In these cases, financing, regulation and administration of UHC can be</w:t>
      </w:r>
      <w:r w:rsidR="003D3B1F">
        <w:t xml:space="preserve"> highly fragmented among sub-national gov</w:t>
      </w:r>
      <w:r w:rsidR="008B4089">
        <w:t xml:space="preserve">ernments and health systems. This presents unique challenges because it requires highly distributed, </w:t>
      </w:r>
      <w:r w:rsidR="008B4089">
        <w:lastRenderedPageBreak/>
        <w:t>time-c</w:t>
      </w:r>
      <w:r w:rsidR="003D3B1F">
        <w:t>onsuming research</w:t>
      </w:r>
      <w:r w:rsidR="008B4089">
        <w:t>. It also puts a premium on the</w:t>
      </w:r>
      <w:r w:rsidR="003D3B1F">
        <w:t xml:space="preserve"> creat</w:t>
      </w:r>
      <w:r w:rsidR="00596831">
        <w:t>ive skills to organize within an overarching</w:t>
      </w:r>
      <w:r w:rsidR="003D3B1F">
        <w:t xml:space="preserve"> narrative. </w:t>
      </w:r>
    </w:p>
    <w:p w14:paraId="2D47126F" w14:textId="566A68F6" w:rsidR="003D3B1F" w:rsidRDefault="00596831" w:rsidP="00596831">
      <w:pPr>
        <w:spacing w:line="480" w:lineRule="auto"/>
        <w:ind w:firstLine="720"/>
      </w:pPr>
      <w:r>
        <w:t>Given this, how might professional historians</w:t>
      </w:r>
      <w:r w:rsidR="003D3B1F">
        <w:t xml:space="preserve"> contribute to a better policy understanding by policy makers as well as better decisions when reforming universal health</w:t>
      </w:r>
      <w:r>
        <w:t xml:space="preserve"> coverage programs and policies? </w:t>
      </w:r>
      <w:r w:rsidR="00BD57E0">
        <w:t>I have been a lawyer, a public administr</w:t>
      </w:r>
      <w:r w:rsidR="001D617B">
        <w:t>ator, an academic historian, as well as</w:t>
      </w:r>
      <w:r w:rsidR="00BD57E0">
        <w:t xml:space="preserve"> a policy scholar</w:t>
      </w:r>
      <w:r w:rsidR="001D617B">
        <w:t xml:space="preserve"> and advisor</w:t>
      </w:r>
      <w:r w:rsidR="00BD57E0">
        <w:t>.</w:t>
      </w:r>
      <w:r w:rsidR="003D3B1F">
        <w:t xml:space="preserve"> Based on this experience, I would like to suggest what I think are the competencies, capacities and qualities policy practitioners would like to see in professional historians so that they can meaningfully contribute to developing better health systems and policies. These include the ability to: </w:t>
      </w:r>
    </w:p>
    <w:p w14:paraId="1A9B09B0" w14:textId="77777777" w:rsidR="003D3B1F" w:rsidRDefault="003D3B1F" w:rsidP="001D617B">
      <w:pPr>
        <w:pStyle w:val="ListParagraph"/>
        <w:numPr>
          <w:ilvl w:val="0"/>
          <w:numId w:val="2"/>
        </w:numPr>
        <w:spacing w:line="480" w:lineRule="auto"/>
      </w:pPr>
      <w:r>
        <w:t>Provide pertinent context, in particular by placing a given UHC policy and structure into a historically informed – in terms of both sources and interpretation – trend and the corresponding logic for the trend;</w:t>
      </w:r>
    </w:p>
    <w:p w14:paraId="48CF64DA" w14:textId="77777777" w:rsidR="003D3B1F" w:rsidRDefault="003D3B1F" w:rsidP="001D617B">
      <w:pPr>
        <w:pStyle w:val="ListParagraph"/>
        <w:numPr>
          <w:ilvl w:val="0"/>
          <w:numId w:val="2"/>
        </w:numPr>
        <w:spacing w:line="480" w:lineRule="auto"/>
      </w:pPr>
      <w:r>
        <w:t>Separate the truly unique elements of existing or proposed UHC policies and structures from those elements which not novel; and</w:t>
      </w:r>
    </w:p>
    <w:p w14:paraId="575CD6B6" w14:textId="77777777" w:rsidR="003D3B1F" w:rsidRDefault="003D3B1F" w:rsidP="001D617B">
      <w:pPr>
        <w:pStyle w:val="ListParagraph"/>
        <w:numPr>
          <w:ilvl w:val="0"/>
          <w:numId w:val="2"/>
        </w:numPr>
        <w:spacing w:line="480" w:lineRule="auto"/>
      </w:pPr>
      <w:r>
        <w:t>Isolate the key forces that produced critical junctures allowing for the introduction or major reform of UHC policies and structures in the past and the relevant (as well as non-relevant) policy lessons to be drawn from history.</w:t>
      </w:r>
    </w:p>
    <w:p w14:paraId="1FA5E3F4" w14:textId="39188EA3" w:rsidR="003D3B1F" w:rsidRDefault="003D3B1F" w:rsidP="001A7FE7">
      <w:pPr>
        <w:spacing w:line="480" w:lineRule="auto"/>
        <w:ind w:firstLine="360"/>
      </w:pPr>
      <w:r>
        <w:t>Most policy historians would have little difficulty with my first two</w:t>
      </w:r>
      <w:r w:rsidR="001D617B">
        <w:t xml:space="preserve"> points. However, I suspect some</w:t>
      </w:r>
      <w:r>
        <w:t xml:space="preserve"> will ob</w:t>
      </w:r>
      <w:r w:rsidR="00BD57E0">
        <w:t>ject to the</w:t>
      </w:r>
      <w:r w:rsidR="001D617B">
        <w:t xml:space="preserve"> third point</w:t>
      </w:r>
      <w:r w:rsidR="00BD57E0">
        <w:t xml:space="preserve">. </w:t>
      </w:r>
      <w:r>
        <w:t>In 2002, Lynn Hunt, the president of the American Historical Association warned he</w:t>
      </w:r>
      <w:r w:rsidR="001D617B">
        <w:t>r members against</w:t>
      </w:r>
      <w:r w:rsidR="00090DA2">
        <w:t xml:space="preserve"> ‘</w:t>
      </w:r>
      <w:r>
        <w:t xml:space="preserve">the tendency to interpret the past in </w:t>
      </w:r>
      <w:proofErr w:type="spellStart"/>
      <w:r>
        <w:t>presentist</w:t>
      </w:r>
      <w:proofErr w:type="spellEnd"/>
      <w:r>
        <w:t xml:space="preserve"> terms</w:t>
      </w:r>
      <w:r w:rsidR="001D617B">
        <w:t xml:space="preserve">’. I think that </w:t>
      </w:r>
      <w:r>
        <w:t xml:space="preserve">the fear of that </w:t>
      </w:r>
      <w:r>
        <w:lastRenderedPageBreak/>
        <w:t>accusation seems to keep many otherwise qualified historians from engaging in contemporary policy analysis</w:t>
      </w:r>
      <w:r w:rsidR="00C3178D">
        <w:t>.</w:t>
      </w:r>
      <w:r w:rsidR="00E5602D">
        <w:rPr>
          <w:rStyle w:val="EndnoteReference"/>
        </w:rPr>
        <w:endnoteReference w:id="2"/>
      </w:r>
    </w:p>
    <w:p w14:paraId="3A26C755" w14:textId="1DE068BE" w:rsidR="00B259C7" w:rsidRDefault="00BF3BF4" w:rsidP="001A7FE7">
      <w:pPr>
        <w:spacing w:line="480" w:lineRule="auto"/>
        <w:ind w:firstLine="360"/>
      </w:pPr>
      <w:r>
        <w:t xml:space="preserve">The past is always, necessarily, viewed through the lens of the present. This explains why historical interpretation – historiography – shifts with time and with each new generation of historians. </w:t>
      </w:r>
      <w:r w:rsidR="001D617B">
        <w:t xml:space="preserve">As </w:t>
      </w:r>
      <w:r>
        <w:t xml:space="preserve">Giselle Byrnes, an historian and author-editor of </w:t>
      </w:r>
      <w:r>
        <w:rPr>
          <w:i/>
        </w:rPr>
        <w:t>The New Oxford History of New Zealand</w:t>
      </w:r>
      <w:r w:rsidR="001D617B">
        <w:t xml:space="preserve"> puts it</w:t>
      </w:r>
      <w:r>
        <w:t xml:space="preserve"> </w:t>
      </w:r>
      <w:r w:rsidR="001D617B">
        <w:t>so eloquently:</w:t>
      </w:r>
      <w:r>
        <w:t xml:space="preserve"> ‘our present-day values and attitudes’ inevitably ‘inform how we look back and review what has gone before’</w:t>
      </w:r>
      <w:r w:rsidR="00D93511">
        <w:t xml:space="preserve"> and even ‘the questions we put to the past’</w:t>
      </w:r>
      <w:r>
        <w:t xml:space="preserve"> (Byrnes 2012, 2). </w:t>
      </w:r>
      <w:r w:rsidR="00D93511">
        <w:t>For this reason alone, there can not be a single standard of objectivity and any history, including the history o</w:t>
      </w:r>
      <w:r w:rsidR="00E5602D">
        <w:t>f the NHS in the United Kingdom</w:t>
      </w:r>
      <w:r w:rsidR="00E90B4E">
        <w:t xml:space="preserve"> or the h</w:t>
      </w:r>
      <w:r w:rsidR="00D93511">
        <w:t>istory of UHC in any other country is fated to be, as Byrnes describes, ‘a constant conversation with the past</w:t>
      </w:r>
      <w:r w:rsidR="001D617B">
        <w:t>’</w:t>
      </w:r>
      <w:r w:rsidR="00D93511">
        <w:t xml:space="preserve"> (Byrnes 2012, 2). </w:t>
      </w:r>
    </w:p>
    <w:p w14:paraId="7CB9CA7D" w14:textId="54762C0B" w:rsidR="003D3B1F" w:rsidRPr="00BF3BF4" w:rsidRDefault="001D617B" w:rsidP="001A7FE7">
      <w:pPr>
        <w:spacing w:line="480" w:lineRule="auto"/>
        <w:ind w:firstLine="360"/>
      </w:pPr>
      <w:r>
        <w:t>O</w:t>
      </w:r>
      <w:r w:rsidR="00B259C7">
        <w:t xml:space="preserve">ne of the greatest strengths of </w:t>
      </w:r>
      <w:r w:rsidR="00E90B4E">
        <w:t>professional historians</w:t>
      </w:r>
      <w:r w:rsidR="000C5C58">
        <w:t xml:space="preserve"> is their</w:t>
      </w:r>
      <w:r w:rsidR="00B259C7">
        <w:t xml:space="preserve"> skill in accessing and using primary sources in order </w:t>
      </w:r>
      <w:r w:rsidR="00E5602D">
        <w:t xml:space="preserve">to </w:t>
      </w:r>
      <w:r w:rsidR="00B259C7">
        <w:t>find new or corroborating facts</w:t>
      </w:r>
      <w:r w:rsidR="000C5C58">
        <w:t xml:space="preserve">, </w:t>
      </w:r>
      <w:r w:rsidR="00B259C7">
        <w:t xml:space="preserve">and their </w:t>
      </w:r>
      <w:r w:rsidR="000C5C58">
        <w:t>ability in weighing and judging these facts. The challenge is that the closer you ge</w:t>
      </w:r>
      <w:r w:rsidR="00EC057A">
        <w:t xml:space="preserve">t to the present, the fewer the </w:t>
      </w:r>
      <w:r w:rsidR="000C5C58">
        <w:t>primary sources</w:t>
      </w:r>
      <w:r w:rsidR="00EC057A">
        <w:t xml:space="preserve"> in part due to the 25-year rule on access to government documentation</w:t>
      </w:r>
      <w:r w:rsidR="000C5C58">
        <w:t xml:space="preserve">. Most professional historians avoid the very recent past for this reason. However, in addition to providing decision-makers with the historiography of the past establishment or reform of UHC policies, they can use their ability in judging </w:t>
      </w:r>
      <w:r w:rsidR="00B278C8">
        <w:t>sources to evaluate facts and beliefs about current UHC policies in the context of the longer-term historical development of these same policies. If this is pr</w:t>
      </w:r>
      <w:r w:rsidR="0085702D">
        <w:t>esentism, then I fail to see its danger</w:t>
      </w:r>
      <w:r w:rsidR="00B278C8">
        <w:t xml:space="preserve">. </w:t>
      </w:r>
    </w:p>
    <w:p w14:paraId="2356CF82" w14:textId="0FA68958" w:rsidR="0065015B" w:rsidRDefault="001D617B" w:rsidP="001A7FE7">
      <w:pPr>
        <w:spacing w:line="480" w:lineRule="auto"/>
        <w:ind w:firstLine="360"/>
      </w:pPr>
      <w:r>
        <w:lastRenderedPageBreak/>
        <w:t>P</w:t>
      </w:r>
      <w:r w:rsidR="00B278C8">
        <w:t>rofessional historians trained i</w:t>
      </w:r>
      <w:r w:rsidR="00E90B4E">
        <w:t>n the methods of social history</w:t>
      </w:r>
      <w:r w:rsidR="00B278C8">
        <w:t xml:space="preserve"> are well placed to deal with the attributes of policy often overlooked by policy technocrats. Whether UHC is established or structurally ref</w:t>
      </w:r>
      <w:r w:rsidR="00FD42A5">
        <w:t>ormed in any given jurisdiction</w:t>
      </w:r>
      <w:r w:rsidR="00B278C8">
        <w:t xml:space="preserve"> is more a product of power and money than the administrative capacity of the government or the logic of the policy’s design</w:t>
      </w:r>
      <w:r>
        <w:t>. This is</w:t>
      </w:r>
      <w:r w:rsidR="00FD42A5">
        <w:t xml:space="preserve"> something which any experienced politician or senior public administrator knows (Fox 1985)</w:t>
      </w:r>
      <w:r w:rsidR="00B278C8">
        <w:t xml:space="preserve">. </w:t>
      </w:r>
    </w:p>
    <w:p w14:paraId="7E9A099A" w14:textId="42318BA7" w:rsidR="003D3B1F" w:rsidRDefault="00B278C8" w:rsidP="001A7FE7">
      <w:pPr>
        <w:spacing w:line="480" w:lineRule="auto"/>
        <w:ind w:firstLine="360"/>
      </w:pPr>
      <w:r>
        <w:t>Here, it is the</w:t>
      </w:r>
      <w:r w:rsidR="00FD42A5">
        <w:t xml:space="preserve"> health policy experts, with their deep belief in rational decision-making and design, who have the disadvantage. </w:t>
      </w:r>
      <w:r w:rsidR="00233400">
        <w:t>Contemporary social h</w:t>
      </w:r>
      <w:r w:rsidR="00FD42A5">
        <w:t>istorians are accustomed to s</w:t>
      </w:r>
      <w:r w:rsidR="00233400">
        <w:t>tudying non-state</w:t>
      </w:r>
      <w:r w:rsidR="00FD42A5">
        <w:t xml:space="preserve"> actors – and the power differentials among t</w:t>
      </w:r>
      <w:r w:rsidR="00E90B4E">
        <w:t>hem – and their ability (or in</w:t>
      </w:r>
      <w:r w:rsidR="00FD42A5">
        <w:t>ability) to influence state action. Here again, historians have much to contribute in terms of explaining why and how UHC is introduced or structurally reformed in some jurisdictions and not in others.</w:t>
      </w:r>
    </w:p>
    <w:p w14:paraId="766F643C" w14:textId="56188463" w:rsidR="00070D16" w:rsidRDefault="003D3B1F" w:rsidP="001A7FE7">
      <w:pPr>
        <w:spacing w:line="480" w:lineRule="auto"/>
        <w:ind w:firstLine="360"/>
      </w:pPr>
      <w:r>
        <w:t xml:space="preserve">      </w:t>
      </w:r>
      <w:r w:rsidR="00070D16">
        <w:t xml:space="preserve">By its very nature, UHC is contested policy. </w:t>
      </w:r>
      <w:r w:rsidR="00C43232">
        <w:t xml:space="preserve">UHC </w:t>
      </w:r>
      <w:r w:rsidR="00223D31">
        <w:t>policies vary</w:t>
      </w:r>
      <w:r w:rsidR="00C43232">
        <w:t xml:space="preserve"> considerably in terms of the extent, depth</w:t>
      </w:r>
      <w:r w:rsidR="001D6799">
        <w:t xml:space="preserve"> and breadth of coverage. They</w:t>
      </w:r>
      <w:r w:rsidR="00E90B4E">
        <w:t xml:space="preserve"> also differ</w:t>
      </w:r>
      <w:r w:rsidR="00223D31">
        <w:t xml:space="preserve"> substantially in </w:t>
      </w:r>
      <w:r w:rsidR="001D6799">
        <w:t>terms of their</w:t>
      </w:r>
      <w:r w:rsidR="00223D31">
        <w:t xml:space="preserve"> design features</w:t>
      </w:r>
      <w:r w:rsidR="001D6799">
        <w:t>. I</w:t>
      </w:r>
      <w:r w:rsidR="00223D31">
        <w:t>t is a truism to say that every UHC system is unique – differences abound between countries in terms of financing, administration, regulation and delivery. The only com</w:t>
      </w:r>
      <w:r w:rsidR="001733CA">
        <w:t xml:space="preserve">mon connection is the policy goal </w:t>
      </w:r>
      <w:r w:rsidR="00223D31">
        <w:t>of</w:t>
      </w:r>
      <w:r w:rsidR="001733CA">
        <w:t xml:space="preserve"> facilitating access to necessary health services by all citizens through public subsidy, coverage or direct services (WHO 2010; Marchildon 2014). </w:t>
      </w:r>
      <w:r w:rsidR="0085702D">
        <w:t>Historians are well placed to identify t</w:t>
      </w:r>
      <w:r w:rsidR="001733CA">
        <w:t>hese differences and the unique social, political and economic contexts that prod</w:t>
      </w:r>
      <w:r w:rsidR="0085702D">
        <w:t xml:space="preserve">uced them. </w:t>
      </w:r>
    </w:p>
    <w:p w14:paraId="2A65456A" w14:textId="7994180E" w:rsidR="00070D16" w:rsidRDefault="0085702D" w:rsidP="001A7FE7">
      <w:pPr>
        <w:spacing w:line="480" w:lineRule="auto"/>
        <w:ind w:firstLine="360"/>
      </w:pPr>
      <w:r>
        <w:t xml:space="preserve">Except in the United States where the </w:t>
      </w:r>
      <w:r w:rsidRPr="001D6799">
        <w:rPr>
          <w:i/>
        </w:rPr>
        <w:t>Affordable Care Act</w:t>
      </w:r>
      <w:r>
        <w:t xml:space="preserve"> is of more recen</w:t>
      </w:r>
      <w:r w:rsidR="00B6796B">
        <w:t>t and fragile</w:t>
      </w:r>
      <w:r>
        <w:t xml:space="preserve"> vintage, UHC has been part of the policy l</w:t>
      </w:r>
      <w:r w:rsidR="0065015B">
        <w:t xml:space="preserve">andscape of many OECD countries </w:t>
      </w:r>
      <w:r w:rsidR="0065015B">
        <w:lastRenderedPageBreak/>
        <w:t xml:space="preserve">for decades. The contemporary policy issue is whether </w:t>
      </w:r>
      <w:r>
        <w:t xml:space="preserve">existing UHC </w:t>
      </w:r>
      <w:r w:rsidR="0065015B">
        <w:t xml:space="preserve">systems and policies are </w:t>
      </w:r>
      <w:r>
        <w:t>in need of major structural reform. There are two key issues involved here</w:t>
      </w:r>
      <w:r w:rsidR="001D6799">
        <w:t>. The first is how a particular model of UHC</w:t>
      </w:r>
      <w:r w:rsidR="00B6796B">
        <w:t xml:space="preserve"> has been</w:t>
      </w:r>
      <w:r>
        <w:t xml:space="preserve"> characterized or</w:t>
      </w:r>
      <w:r w:rsidR="00B6796B">
        <w:t xml:space="preserve"> </w:t>
      </w:r>
      <w:r>
        <w:t>mischaracterized as part of the pursuit of major reform or in defence of the status quo. The second is how the cont</w:t>
      </w:r>
      <w:r w:rsidR="00B6796B">
        <w:t>emporary</w:t>
      </w:r>
      <w:r>
        <w:t xml:space="preserve"> problem is framed and therefore what </w:t>
      </w:r>
      <w:r w:rsidR="00B6796B">
        <w:t xml:space="preserve">policy solution or range of solutions might be effective in addressing the problem. </w:t>
      </w:r>
      <w:r w:rsidR="00E90B4E">
        <w:t xml:space="preserve"> Historians are particularly well equipped to address the first issue and have been, and should be, key actors in the interpretation and criticism of the way in which we have come to understand the evolution of UHC in any given country. </w:t>
      </w:r>
    </w:p>
    <w:p w14:paraId="0A24B17A" w14:textId="58A60945" w:rsidR="00C70BA4" w:rsidRDefault="00C70BA4" w:rsidP="001A7FE7">
      <w:pPr>
        <w:spacing w:line="480" w:lineRule="auto"/>
        <w:ind w:firstLine="360"/>
      </w:pPr>
      <w:r>
        <w:t>The characterization of the evolution of a particular UHC policy is what I would call a cause and effect narrative, or what policy theorist Debra Stone r</w:t>
      </w:r>
      <w:r w:rsidR="0065015B">
        <w:t>efers to as causal stories. These stories</w:t>
      </w:r>
      <w:r>
        <w:t xml:space="preserve"> establish what most of us believe when evaluating whether structural UHC reform is required. </w:t>
      </w:r>
      <w:r w:rsidR="0065015B">
        <w:t xml:space="preserve">These narratives isolate </w:t>
      </w:r>
      <w:r>
        <w:t>the fact</w:t>
      </w:r>
      <w:r w:rsidR="0065015B">
        <w:t>ors that are at the root of a</w:t>
      </w:r>
      <w:r>
        <w:t xml:space="preserve"> particular problem</w:t>
      </w:r>
      <w:r w:rsidR="0065015B">
        <w:t>, and then convert</w:t>
      </w:r>
      <w:r>
        <w:t xml:space="preserve"> the problem into a policy-amendable solution requiring a shift in policy direction (Stone 1989). </w:t>
      </w:r>
    </w:p>
    <w:p w14:paraId="3CB9511D" w14:textId="5DB69352" w:rsidR="003D3B1F" w:rsidRDefault="00FD42A5" w:rsidP="001A7FE7">
      <w:pPr>
        <w:spacing w:line="480" w:lineRule="auto"/>
        <w:ind w:firstLine="360"/>
      </w:pPr>
      <w:r>
        <w:t>A</w:t>
      </w:r>
      <w:r w:rsidR="003D3B1F">
        <w:t xml:space="preserve"> historical understanding</w:t>
      </w:r>
      <w:r w:rsidR="00B6796B">
        <w:t xml:space="preserve"> that is relatively true to the facts</w:t>
      </w:r>
      <w:r w:rsidR="003D3B1F">
        <w:t xml:space="preserve"> can potentially prevent serious errors in how policy problems are framed and</w:t>
      </w:r>
      <w:r w:rsidR="001D6799">
        <w:t xml:space="preserve"> in</w:t>
      </w:r>
      <w:r w:rsidR="003D3B1F">
        <w:t xml:space="preserve"> the alleged reforms that are regularly advocated to address such problems.</w:t>
      </w:r>
      <w:r w:rsidR="00B6796B">
        <w:t xml:space="preserve"> This means that, to the greatest extent possible, the dominant historical narrativ</w:t>
      </w:r>
      <w:r w:rsidR="0065015B">
        <w:t>e should be sound. Such</w:t>
      </w:r>
      <w:r w:rsidR="00B6796B">
        <w:t xml:space="preserve"> narrative</w:t>
      </w:r>
      <w:r w:rsidR="0065015B">
        <w:t xml:space="preserve">s necessarily omit considerable detail so they must be sound in the selection of </w:t>
      </w:r>
      <w:r w:rsidR="00B6796B">
        <w:t xml:space="preserve">key facts, </w:t>
      </w:r>
      <w:r w:rsidR="0065015B">
        <w:t>events and forces. Causal UHC narratives</w:t>
      </w:r>
      <w:r w:rsidR="00E90B4E">
        <w:t xml:space="preserve"> need</w:t>
      </w:r>
      <w:r w:rsidR="00B6796B">
        <w:t xml:space="preserve"> to be regularly tested and probed</w:t>
      </w:r>
      <w:r w:rsidR="00C70BA4">
        <w:t xml:space="preserve"> for weaknesses and </w:t>
      </w:r>
      <w:r w:rsidR="0065015B">
        <w:t xml:space="preserve">should </w:t>
      </w:r>
      <w:r w:rsidR="00C70BA4">
        <w:t>be the subject of active debate by scholars</w:t>
      </w:r>
      <w:r w:rsidR="0065015B">
        <w:t>, especially historians</w:t>
      </w:r>
      <w:r w:rsidR="00C70BA4">
        <w:t xml:space="preserve">. </w:t>
      </w:r>
    </w:p>
    <w:p w14:paraId="2C699D6D" w14:textId="54153AEA" w:rsidR="003D3B1F" w:rsidRDefault="001D6799" w:rsidP="001A7FE7">
      <w:pPr>
        <w:spacing w:line="480" w:lineRule="auto"/>
        <w:ind w:firstLine="720"/>
      </w:pPr>
      <w:r>
        <w:lastRenderedPageBreak/>
        <w:t>For example, in the domina</w:t>
      </w:r>
      <w:r w:rsidR="003D3B1F">
        <w:t xml:space="preserve">nt </w:t>
      </w:r>
      <w:r>
        <w:t xml:space="preserve">historical </w:t>
      </w:r>
      <w:r w:rsidR="003D3B1F">
        <w:t>narrative</w:t>
      </w:r>
      <w:r>
        <w:t xml:space="preserve"> of the NHS, there was little to suggest that from its inception, the NHS was a corporatist accommodation</w:t>
      </w:r>
      <w:r w:rsidR="003D3B1F">
        <w:t xml:space="preserve"> with organized medicine (Greener and Powell 2008).  Challenging the founding myth perpetuated by historians of the NHS, Rudolf Klein colourfully described this critical feature as the ‘politics of the double bed</w:t>
      </w:r>
      <w:r w:rsidR="00C70BA4">
        <w:t>’</w:t>
      </w:r>
      <w:r>
        <w:t xml:space="preserve"> shared by physicians and the British government</w:t>
      </w:r>
      <w:r w:rsidR="00C70BA4">
        <w:t xml:space="preserve"> (Klein 1990).</w:t>
      </w:r>
      <w:r w:rsidR="003D3B1F">
        <w:t xml:space="preserve"> For Klei</w:t>
      </w:r>
      <w:r w:rsidR="00C0184D">
        <w:t>n</w:t>
      </w:r>
      <w:r w:rsidR="003D3B1F">
        <w:t>, this feature of the NHS was essential to its founding and essential to any proper diagnosis</w:t>
      </w:r>
      <w:r w:rsidR="00C0184D">
        <w:t xml:space="preserve"> of problems in its development. This is the same point made by historian Sally </w:t>
      </w:r>
      <w:proofErr w:type="spellStart"/>
      <w:r w:rsidR="00C0184D">
        <w:t>Sheard</w:t>
      </w:r>
      <w:proofErr w:type="spellEnd"/>
      <w:r w:rsidR="00C0184D">
        <w:t xml:space="preserve"> in her study of the failure of successive postwar reforms to address unreasonably long wait times in the NHS. </w:t>
      </w:r>
      <w:r w:rsidR="00895209">
        <w:t>The fact that successive administrations have never recognized the extent to which physician management of elective wait times on behalf of their patients is the co</w:t>
      </w:r>
      <w:r w:rsidR="008F3087">
        <w:t>re of the problem has produced</w:t>
      </w:r>
      <w:r w:rsidR="00895209">
        <w:t xml:space="preserve"> a series of reforms that have</w:t>
      </w:r>
      <w:r w:rsidR="00E90B4E">
        <w:t xml:space="preserve"> never been able to supplant more</w:t>
      </w:r>
      <w:r w:rsidR="008F3087">
        <w:t xml:space="preserve"> individual and</w:t>
      </w:r>
      <w:r w:rsidR="00895209">
        <w:t xml:space="preserve"> subjective </w:t>
      </w:r>
      <w:r w:rsidR="008F3087">
        <w:t xml:space="preserve">judgments with a more </w:t>
      </w:r>
      <w:r w:rsidR="00E90B4E">
        <w:t xml:space="preserve">collective and </w:t>
      </w:r>
      <w:r w:rsidR="008F3087">
        <w:t>objective method of ordering wait time patients (</w:t>
      </w:r>
      <w:proofErr w:type="spellStart"/>
      <w:r w:rsidR="008F3087">
        <w:t>Sheard</w:t>
      </w:r>
      <w:proofErr w:type="spellEnd"/>
      <w:r w:rsidR="008F3087">
        <w:t xml:space="preserve"> 2017). </w:t>
      </w:r>
    </w:p>
    <w:p w14:paraId="6AC93AE8" w14:textId="4D81FF8B" w:rsidR="00231ABD" w:rsidRDefault="0065015B" w:rsidP="00606322">
      <w:pPr>
        <w:spacing w:line="480" w:lineRule="auto"/>
        <w:ind w:firstLine="720"/>
      </w:pPr>
      <w:r>
        <w:t xml:space="preserve">The importance of the causal narrative can be illustrated in a contemporary court case involving Canadian Medicare. </w:t>
      </w:r>
      <w:r w:rsidR="00606322">
        <w:t>Since September 2016, the British Columbia Supre</w:t>
      </w:r>
      <w:r>
        <w:t>me Court has been hearing a trial</w:t>
      </w:r>
      <w:r w:rsidR="00606322">
        <w:t xml:space="preserve"> in which two key </w:t>
      </w:r>
      <w:r w:rsidR="000F70B6">
        <w:t>aspects of the Canadian model of Medicare</w:t>
      </w:r>
      <w:r w:rsidR="00606322">
        <w:t>, as implemented in provincial law and policy,</w:t>
      </w:r>
      <w:r w:rsidR="000F70B6">
        <w:t xml:space="preserve"> </w:t>
      </w:r>
      <w:r w:rsidR="00606322">
        <w:t xml:space="preserve">are alleged to have </w:t>
      </w:r>
      <w:r w:rsidR="000F70B6">
        <w:t>contravene</w:t>
      </w:r>
      <w:r w:rsidR="00606322">
        <w:t>d</w:t>
      </w:r>
      <w:r w:rsidR="000F70B6">
        <w:t xml:space="preserve"> the provisions of the </w:t>
      </w:r>
      <w:r w:rsidR="000F70B6" w:rsidRPr="00E90B4E">
        <w:rPr>
          <w:i/>
        </w:rPr>
        <w:t>Canadian Charter of Rights and Freedoms</w:t>
      </w:r>
      <w:r w:rsidR="000F70B6">
        <w:t xml:space="preserve"> and therefore should be eliminated. </w:t>
      </w:r>
      <w:r w:rsidR="0009237A">
        <w:t xml:space="preserve">One involves </w:t>
      </w:r>
      <w:r w:rsidR="00606322">
        <w:t>British Columbia’s prohibition on</w:t>
      </w:r>
      <w:r w:rsidR="0009237A">
        <w:t xml:space="preserve"> the sale of pr</w:t>
      </w:r>
      <w:r w:rsidR="00335A63">
        <w:t>ivate</w:t>
      </w:r>
      <w:r w:rsidR="0009237A">
        <w:t xml:space="preserve"> insurance for UHC services</w:t>
      </w:r>
      <w:r w:rsidR="00335A63">
        <w:t>, generally referred to as duplicate</w:t>
      </w:r>
      <w:r w:rsidR="00E90B4E">
        <w:t xml:space="preserve"> or parallel</w:t>
      </w:r>
      <w:r w:rsidR="00335A63">
        <w:t xml:space="preserve"> private health insurance (Flood and Archibald 2001; </w:t>
      </w:r>
      <w:proofErr w:type="spellStart"/>
      <w:r w:rsidR="00335A63">
        <w:t>Madore</w:t>
      </w:r>
      <w:proofErr w:type="spellEnd"/>
      <w:r w:rsidR="00335A63">
        <w:t xml:space="preserve"> 2006</w:t>
      </w:r>
      <w:r w:rsidR="00231ABD">
        <w:t xml:space="preserve">; </w:t>
      </w:r>
      <w:proofErr w:type="spellStart"/>
      <w:r w:rsidR="00231ABD">
        <w:t>Marchildon</w:t>
      </w:r>
      <w:proofErr w:type="spellEnd"/>
      <w:r w:rsidR="00231ABD">
        <w:t xml:space="preserve"> 2005</w:t>
      </w:r>
      <w:r w:rsidR="00335A63">
        <w:t>).  T</w:t>
      </w:r>
      <w:r w:rsidR="00606322">
        <w:t>he second involves</w:t>
      </w:r>
      <w:r w:rsidR="0009237A">
        <w:t xml:space="preserve"> the </w:t>
      </w:r>
      <w:r w:rsidR="00606322">
        <w:t xml:space="preserve">provincial </w:t>
      </w:r>
      <w:r w:rsidR="0009237A">
        <w:t xml:space="preserve">laws, regulations and </w:t>
      </w:r>
      <w:r w:rsidR="0009237A">
        <w:lastRenderedPageBreak/>
        <w:t>policies that discourage physicians from providing</w:t>
      </w:r>
      <w:r w:rsidR="00606322">
        <w:t xml:space="preserve"> private services to patients while providing Medicare</w:t>
      </w:r>
      <w:r w:rsidR="0009237A">
        <w:t xml:space="preserve"> services</w:t>
      </w:r>
      <w:r w:rsidR="00606322">
        <w:t xml:space="preserve"> to patients who are exempt from paying at the point of service</w:t>
      </w:r>
      <w:r w:rsidR="006764A3">
        <w:t xml:space="preserve">, commonly known as dual practice (Eggleston and </w:t>
      </w:r>
      <w:proofErr w:type="spellStart"/>
      <w:r w:rsidR="006764A3">
        <w:t>Bir</w:t>
      </w:r>
      <w:proofErr w:type="spellEnd"/>
      <w:r w:rsidR="006764A3">
        <w:t xml:space="preserve"> 2006</w:t>
      </w:r>
      <w:r w:rsidR="00335A63">
        <w:t xml:space="preserve">; </w:t>
      </w:r>
      <w:proofErr w:type="spellStart"/>
      <w:r w:rsidR="00335A63">
        <w:t>García</w:t>
      </w:r>
      <w:proofErr w:type="spellEnd"/>
      <w:r w:rsidR="00335A63">
        <w:t>-Prado and González 2011</w:t>
      </w:r>
      <w:r w:rsidR="006764A3">
        <w:t>)</w:t>
      </w:r>
      <w:r w:rsidR="0009237A">
        <w:t xml:space="preserve">. </w:t>
      </w:r>
      <w:r w:rsidR="00444AE8">
        <w:t>If the courts find that these two aspects of Canadian Medicare are unconstitutional, this could trigger big ban policy change, and produce UHC that is neither single-tier nor single-payer.</w:t>
      </w:r>
    </w:p>
    <w:p w14:paraId="44E5CE17" w14:textId="0F355DDA" w:rsidR="008B08A6" w:rsidRDefault="0009237A" w:rsidP="00606322">
      <w:pPr>
        <w:spacing w:line="480" w:lineRule="auto"/>
        <w:ind w:firstLine="720"/>
      </w:pPr>
      <w:r>
        <w:t>Numerous experts on both sides have prepared extensive affidavits on the nature of Canadian M</w:t>
      </w:r>
      <w:r w:rsidR="00606322">
        <w:t>edicare and many of these documents are interesting exercises in the differential framing of Medicare’s problems and</w:t>
      </w:r>
      <w:r w:rsidR="00231ABD">
        <w:t>, ultimately,</w:t>
      </w:r>
      <w:r w:rsidR="00606322">
        <w:t xml:space="preserve"> </w:t>
      </w:r>
      <w:r w:rsidR="00231ABD">
        <w:t>the reforms, both major and minor, that are needed to ‘fix’ Canadi</w:t>
      </w:r>
      <w:r w:rsidR="00E65E50">
        <w:t>an Medicare. While I am only one of dozens of experts involved in thi</w:t>
      </w:r>
      <w:r w:rsidR="00214FE9">
        <w:t xml:space="preserve">s case, </w:t>
      </w:r>
      <w:r w:rsidR="00E65E50">
        <w:t xml:space="preserve">I was </w:t>
      </w:r>
      <w:r w:rsidR="00214FE9">
        <w:t xml:space="preserve">alone in being </w:t>
      </w:r>
      <w:r w:rsidR="00E65E50">
        <w:t>asked to provide a history of Medicare with a focus on the evolution of provincial policies concerning duplicate private health insurance and physician dual practice.</w:t>
      </w:r>
      <w:r w:rsidR="00214FE9">
        <w:t xml:space="preserve"> In reality, however, almost every expert affidavit has an implicit, if not explicit, causal narrative.</w:t>
      </w:r>
      <w:r w:rsidR="00E65E50">
        <w:t xml:space="preserve"> </w:t>
      </w:r>
      <w:r w:rsidR="00214FE9">
        <w:t xml:space="preserve">Of course, they vary in terms of the quality of the research, the sophistication of historical interpretation and the ways in </w:t>
      </w:r>
      <w:r w:rsidR="00E90B4E">
        <w:t xml:space="preserve">which </w:t>
      </w:r>
      <w:r w:rsidR="00214FE9">
        <w:t xml:space="preserve">evidence, including historical evidence, is used and abused. </w:t>
      </w:r>
      <w:r w:rsidR="00E65E50">
        <w:t xml:space="preserve">My narrative makes it clear that there was considerable variability among provincial governments in the manner in which they implemented and regulated Medicare. </w:t>
      </w:r>
    </w:p>
    <w:p w14:paraId="3F203347" w14:textId="0D5E2C52" w:rsidR="00243A5D" w:rsidRDefault="00E65E50" w:rsidP="00606322">
      <w:pPr>
        <w:spacing w:line="480" w:lineRule="auto"/>
        <w:ind w:firstLine="720"/>
      </w:pPr>
      <w:r>
        <w:t xml:space="preserve">This is not to suggest that my historical interpretation or any other single historian’s </w:t>
      </w:r>
      <w:r w:rsidR="008B74E8">
        <w:t xml:space="preserve">selection and </w:t>
      </w:r>
      <w:r>
        <w:t>interpretation of the e</w:t>
      </w:r>
      <w:r w:rsidR="008B74E8">
        <w:t xml:space="preserve">vidence or constructed narrative about the evolution of Canadian Medicare should be treated as the </w:t>
      </w:r>
      <w:r w:rsidR="00624478">
        <w:t xml:space="preserve">only </w:t>
      </w:r>
      <w:r w:rsidR="008B74E8">
        <w:t xml:space="preserve">truth. This could hardly be the case. However, using primary sources to fill in gaps left by, or to </w:t>
      </w:r>
      <w:r w:rsidR="008B74E8">
        <w:lastRenderedPageBreak/>
        <w:t>check the accuracy of, existing accounts, carefully sifting through and then weighing and judging the evidence, providing previously undiscovered facts relevant to current de</w:t>
      </w:r>
      <w:r w:rsidR="00233400">
        <w:t>bates, and exercising caution in</w:t>
      </w:r>
      <w:r w:rsidR="008B74E8">
        <w:t xml:space="preserve"> drawing conclusions, are the daily work of professional historians. Like all scholarship, this work can and should be reviewed, debated and probed for weaknesses by other scholars in the discipline.</w:t>
      </w:r>
      <w:r w:rsidR="00A00210">
        <w:t xml:space="preserve"> Indeed, a Canadian historian who had previously provided his own narrative of Canadian Medicare as part of </w:t>
      </w:r>
      <w:r w:rsidR="00E90B4E">
        <w:t xml:space="preserve">a </w:t>
      </w:r>
      <w:r w:rsidR="00A00210">
        <w:t xml:space="preserve">larger policy prognosis scrutinized my affidavit as well as the historical evidence and interpretation of other expert witnesses called on behalf of the Attorney General of British Columbia </w:t>
      </w:r>
      <w:r w:rsidR="00DE5457">
        <w:t xml:space="preserve">(Bliss 2010). </w:t>
      </w:r>
      <w:r w:rsidR="00A00210">
        <w:t xml:space="preserve">It is now up </w:t>
      </w:r>
      <w:r w:rsidR="00624478">
        <w:t xml:space="preserve">to the trial judge to </w:t>
      </w:r>
      <w:r w:rsidR="00214FE9">
        <w:t>weigh the strength of this mass of expert</w:t>
      </w:r>
      <w:r w:rsidR="00A00210">
        <w:t xml:space="preserve"> evidence and to determine who has the narrative that best and most accurately captures the essence of the development of Medicare in Canada. </w:t>
      </w:r>
    </w:p>
    <w:p w14:paraId="729FEEDE" w14:textId="77777777" w:rsidR="00E90B4E" w:rsidRDefault="00243A5D" w:rsidP="00E90B4E">
      <w:pPr>
        <w:spacing w:line="480" w:lineRule="auto"/>
        <w:ind w:firstLine="720"/>
      </w:pPr>
      <w:r>
        <w:t xml:space="preserve">Based on his experience </w:t>
      </w:r>
      <w:r w:rsidR="00624478">
        <w:t xml:space="preserve">with </w:t>
      </w:r>
      <w:r>
        <w:t xml:space="preserve">the famous </w:t>
      </w:r>
      <w:r>
        <w:rPr>
          <w:i/>
        </w:rPr>
        <w:t>Irving v. Penguin</w:t>
      </w:r>
      <w:r>
        <w:t xml:space="preserve"> libel case involving the weighing of historical evidence as it pertained to the Jewish holocaust in the Second World War, the historian Richard J. Evans has argued ‘the encounter between history and the law in trials of this kind does violence to the principles of both’ (Evans 2002, 32). While I accept that the legal rules of evidence and legal standards of proof do differ from the professional historians rules of evidence and standards of proof</w:t>
      </w:r>
      <w:r w:rsidR="00624478">
        <w:t xml:space="preserve"> in theory</w:t>
      </w:r>
      <w:r>
        <w:t xml:space="preserve">, I do not think they differ </w:t>
      </w:r>
      <w:r w:rsidR="00624478">
        <w:t xml:space="preserve">in actual practice </w:t>
      </w:r>
      <w:r>
        <w:t>as much as Evans suggests</w:t>
      </w:r>
      <w:r w:rsidR="00B6049A">
        <w:t xml:space="preserve"> (</w:t>
      </w:r>
      <w:proofErr w:type="spellStart"/>
      <w:r w:rsidR="00B6049A">
        <w:t>Mulvihill</w:t>
      </w:r>
      <w:proofErr w:type="spellEnd"/>
      <w:r w:rsidR="00B6049A">
        <w:t xml:space="preserve"> 1999)</w:t>
      </w:r>
      <w:r>
        <w:t>. In the end, judges have to sift, weigh and make judgments on evidence in ways that of</w:t>
      </w:r>
      <w:r w:rsidR="00B6049A">
        <w:t>ten parallel that of historians, and I think the court will be much better off for having the benefit of historical evidence including differing historical interpret</w:t>
      </w:r>
      <w:r w:rsidR="00214FE9">
        <w:t>ations. The alternative is to be limited</w:t>
      </w:r>
      <w:r w:rsidR="00B6049A">
        <w:t xml:space="preserve"> to truly </w:t>
      </w:r>
      <w:proofErr w:type="spellStart"/>
      <w:r w:rsidR="00B6049A">
        <w:lastRenderedPageBreak/>
        <w:t>presentist</w:t>
      </w:r>
      <w:proofErr w:type="spellEnd"/>
      <w:r w:rsidR="00B6049A">
        <w:t xml:space="preserve"> expert evidence. Given the court’s new role in potentially triggering </w:t>
      </w:r>
      <w:r w:rsidR="00444AE8">
        <w:t>big bang</w:t>
      </w:r>
      <w:r w:rsidR="00B6049A">
        <w:t xml:space="preserve"> health reform in Canada (and other c</w:t>
      </w:r>
      <w:r w:rsidR="00624478">
        <w:t>ountries), this may lead to a legal decision that both gets the problem wrong and opens the door to structural reforms that undermine rather than improve existing UHC structures and policies</w:t>
      </w:r>
      <w:r w:rsidR="00B6049A">
        <w:t>.</w:t>
      </w:r>
    </w:p>
    <w:p w14:paraId="7C61FA1D" w14:textId="77777777" w:rsidR="00E90B4E" w:rsidRDefault="00E90B4E" w:rsidP="00E90B4E">
      <w:pPr>
        <w:spacing w:line="480" w:lineRule="auto"/>
      </w:pPr>
    </w:p>
    <w:p w14:paraId="2C342259" w14:textId="7C9BB454" w:rsidR="003D3B1F" w:rsidRPr="00E90B4E" w:rsidRDefault="003D3B1F" w:rsidP="00E90B4E">
      <w:pPr>
        <w:spacing w:line="480" w:lineRule="auto"/>
      </w:pPr>
      <w:r>
        <w:rPr>
          <w:b/>
        </w:rPr>
        <w:t>References</w:t>
      </w:r>
    </w:p>
    <w:p w14:paraId="67166BF9" w14:textId="77777777" w:rsidR="003D3B1F" w:rsidRDefault="003D3B1F" w:rsidP="003D3B1F"/>
    <w:p w14:paraId="62391FC6" w14:textId="77777777" w:rsidR="0083540D" w:rsidRDefault="0083540D" w:rsidP="003D3B1F">
      <w:proofErr w:type="spellStart"/>
      <w:r>
        <w:t>Badgley</w:t>
      </w:r>
      <w:proofErr w:type="spellEnd"/>
      <w:r>
        <w:t xml:space="preserve">, R.F., and S. Wolfe (1967). </w:t>
      </w:r>
      <w:r w:rsidRPr="0083540D">
        <w:rPr>
          <w:i/>
        </w:rPr>
        <w:t>Doctors’</w:t>
      </w:r>
      <w:r>
        <w:rPr>
          <w:i/>
        </w:rPr>
        <w:t xml:space="preserve"> strike: medical c</w:t>
      </w:r>
      <w:r w:rsidRPr="0083540D">
        <w:rPr>
          <w:i/>
        </w:rPr>
        <w:t>ar</w:t>
      </w:r>
      <w:r>
        <w:rPr>
          <w:i/>
        </w:rPr>
        <w:t>e and c</w:t>
      </w:r>
      <w:r w:rsidRPr="0083540D">
        <w:rPr>
          <w:i/>
        </w:rPr>
        <w:t>onflict in Saskatchewan</w:t>
      </w:r>
      <w:r>
        <w:t>. New York: Atherton Press.</w:t>
      </w:r>
    </w:p>
    <w:p w14:paraId="4484D37C" w14:textId="77777777" w:rsidR="0083540D" w:rsidRDefault="0083540D" w:rsidP="003D3B1F"/>
    <w:p w14:paraId="36B20CBF" w14:textId="77777777" w:rsidR="00DE5457" w:rsidRDefault="00A00210" w:rsidP="003D3B1F">
      <w:r>
        <w:t xml:space="preserve">Bliss, M. (2010). </w:t>
      </w:r>
      <w:r>
        <w:rPr>
          <w:i/>
        </w:rPr>
        <w:t>Critical condition: a historian’s prognosis on Canada’s aging healthcare system</w:t>
      </w:r>
      <w:r>
        <w:t>. Toronto: C.D. Howe Institute, Benefactors Lecture.</w:t>
      </w:r>
      <w:r w:rsidR="00DE5457">
        <w:t xml:space="preserve">  </w:t>
      </w:r>
    </w:p>
    <w:p w14:paraId="679FC6EA" w14:textId="77777777" w:rsidR="00DE5457" w:rsidRDefault="00DE5457" w:rsidP="003D3B1F"/>
    <w:p w14:paraId="779EDC71" w14:textId="77777777" w:rsidR="00014EB1" w:rsidRDefault="00014EB1" w:rsidP="003D3B1F">
      <w:r>
        <w:t xml:space="preserve">Boxall, A., and J. Gillespie (2013). </w:t>
      </w:r>
      <w:r>
        <w:rPr>
          <w:i/>
        </w:rPr>
        <w:t>Making Medicare: the politics of universal health care in Australia</w:t>
      </w:r>
      <w:r>
        <w:t>. Sydney: University of New South Wales Press.</w:t>
      </w:r>
    </w:p>
    <w:p w14:paraId="247BC84C" w14:textId="77777777" w:rsidR="00014EB1" w:rsidRDefault="00014EB1" w:rsidP="003D3B1F"/>
    <w:p w14:paraId="3BBFDF28" w14:textId="77777777" w:rsidR="00AD649B" w:rsidRPr="00AD649B" w:rsidRDefault="00AD649B" w:rsidP="003D3B1F">
      <w:proofErr w:type="spellStart"/>
      <w:r>
        <w:t>Bryden</w:t>
      </w:r>
      <w:proofErr w:type="spellEnd"/>
      <w:r>
        <w:t xml:space="preserve">, P.E. (2009). ‘The Liberal Party and the Achievement of national Medicare’. </w:t>
      </w:r>
      <w:r>
        <w:rPr>
          <w:i/>
        </w:rPr>
        <w:t>Canadian Bulletin of Medical History</w:t>
      </w:r>
      <w:r>
        <w:t xml:space="preserve"> 26(2): 315-32.</w:t>
      </w:r>
    </w:p>
    <w:p w14:paraId="4AE0C950" w14:textId="77777777" w:rsidR="00AD649B" w:rsidRDefault="00AD649B" w:rsidP="003D3B1F"/>
    <w:p w14:paraId="2C97DC5A" w14:textId="77777777" w:rsidR="00D93511" w:rsidRPr="00D93511" w:rsidRDefault="00D93511" w:rsidP="003D3B1F">
      <w:r>
        <w:t xml:space="preserve">Byrnes, G. (2012). </w:t>
      </w:r>
      <w:r>
        <w:rPr>
          <w:i/>
        </w:rPr>
        <w:t>The myths we live by: reframing history for the 21</w:t>
      </w:r>
      <w:r w:rsidRPr="00D93511">
        <w:rPr>
          <w:i/>
          <w:vertAlign w:val="superscript"/>
        </w:rPr>
        <w:t>st</w:t>
      </w:r>
      <w:r>
        <w:rPr>
          <w:i/>
        </w:rPr>
        <w:t xml:space="preserve"> century</w:t>
      </w:r>
      <w:r w:rsidR="00C43232">
        <w:t>. Sy</w:t>
      </w:r>
      <w:r>
        <w:t>dney: Charles Darwin University, Professorial Lecture Series.</w:t>
      </w:r>
    </w:p>
    <w:p w14:paraId="58ED3DD0" w14:textId="77777777" w:rsidR="003D3B1F" w:rsidRDefault="003D3B1F" w:rsidP="003D3B1F"/>
    <w:p w14:paraId="20693B97" w14:textId="77777777" w:rsidR="006764A3" w:rsidRPr="006764A3" w:rsidRDefault="006764A3" w:rsidP="003D3B1F">
      <w:r>
        <w:t xml:space="preserve">Eggleston, K., and A. </w:t>
      </w:r>
      <w:proofErr w:type="spellStart"/>
      <w:r>
        <w:t>Bir</w:t>
      </w:r>
      <w:proofErr w:type="spellEnd"/>
      <w:r>
        <w:t xml:space="preserve"> (2006). ‘Physician dual practice’. </w:t>
      </w:r>
      <w:r>
        <w:rPr>
          <w:i/>
        </w:rPr>
        <w:t>Health Policy</w:t>
      </w:r>
      <w:r>
        <w:t xml:space="preserve"> 78: 157-66.</w:t>
      </w:r>
    </w:p>
    <w:p w14:paraId="001FE055" w14:textId="77777777" w:rsidR="006764A3" w:rsidRDefault="006764A3" w:rsidP="003D3B1F"/>
    <w:p w14:paraId="61EDD380" w14:textId="77777777" w:rsidR="003D3B1F" w:rsidRPr="00095D26" w:rsidRDefault="003D3B1F" w:rsidP="003D3B1F">
      <w:r>
        <w:t xml:space="preserve">Evans, R.J. (2002). ‘History, memory, and the law: the historian as expert witness’, </w:t>
      </w:r>
      <w:r>
        <w:rPr>
          <w:i/>
        </w:rPr>
        <w:t>History and Theory</w:t>
      </w:r>
      <w:r>
        <w:t xml:space="preserve"> 41 (4): 326-45.</w:t>
      </w:r>
    </w:p>
    <w:p w14:paraId="7BD7BF4C" w14:textId="77777777" w:rsidR="003D3B1F" w:rsidRDefault="003D3B1F" w:rsidP="003D3B1F"/>
    <w:p w14:paraId="1ED2C11F" w14:textId="77777777" w:rsidR="003D3B1F" w:rsidRDefault="003D3B1F" w:rsidP="003D3B1F">
      <w:proofErr w:type="spellStart"/>
      <w:r>
        <w:t>DeLeon</w:t>
      </w:r>
      <w:proofErr w:type="spellEnd"/>
      <w:r>
        <w:t xml:space="preserve">, P. (2006). ‘The historical roots of the field’, in M. Moran, M. Rein, and R.E. </w:t>
      </w:r>
      <w:proofErr w:type="spellStart"/>
      <w:r>
        <w:t>Goodin</w:t>
      </w:r>
      <w:proofErr w:type="spellEnd"/>
      <w:r>
        <w:t xml:space="preserve"> (</w:t>
      </w:r>
      <w:proofErr w:type="spellStart"/>
      <w:r>
        <w:t>Eds</w:t>
      </w:r>
      <w:proofErr w:type="spellEnd"/>
      <w:r>
        <w:t xml:space="preserve">), </w:t>
      </w:r>
      <w:r>
        <w:rPr>
          <w:i/>
        </w:rPr>
        <w:t>The Oxford Handbook of Public Policy</w:t>
      </w:r>
      <w:r>
        <w:t>. New York: Oxford University Press.</w:t>
      </w:r>
    </w:p>
    <w:p w14:paraId="16477524" w14:textId="77777777" w:rsidR="00335A63" w:rsidRDefault="00335A63" w:rsidP="003D3B1F"/>
    <w:p w14:paraId="4E65A65E" w14:textId="77777777" w:rsidR="00335A63" w:rsidRDefault="00335A63" w:rsidP="003D3B1F">
      <w:r>
        <w:t xml:space="preserve">Flood, C.M., and T. Archibald (2001). The illegality of private health care in Canada. </w:t>
      </w:r>
      <w:r>
        <w:rPr>
          <w:i/>
        </w:rPr>
        <w:t>Canadian Medical Association Journal</w:t>
      </w:r>
      <w:r w:rsidR="00231ABD">
        <w:t xml:space="preserve"> 164(6): 825-30.</w:t>
      </w:r>
    </w:p>
    <w:p w14:paraId="7AD16666" w14:textId="77777777" w:rsidR="003D15B2" w:rsidRDefault="003D15B2" w:rsidP="003D3B1F"/>
    <w:p w14:paraId="4E5252E9" w14:textId="47439839" w:rsidR="003D15B2" w:rsidRPr="00335A63" w:rsidRDefault="003D15B2" w:rsidP="003D3B1F">
      <w:r>
        <w:t>Flood, C.M., and B. Thomas (2017). Constitutional challenges to Canadian Medicare: what policy options do provincial governments have in the wake of the successful Charter challenge? Manuscript under review.</w:t>
      </w:r>
    </w:p>
    <w:p w14:paraId="2CAC3825" w14:textId="77777777" w:rsidR="003D3B1F" w:rsidRDefault="003D3B1F" w:rsidP="003D3B1F"/>
    <w:p w14:paraId="65F2AEAB" w14:textId="77777777" w:rsidR="00382C3C" w:rsidRPr="00382C3C" w:rsidRDefault="00382C3C" w:rsidP="003D3B1F">
      <w:r>
        <w:lastRenderedPageBreak/>
        <w:t xml:space="preserve">Fox, A.M., and N.J. Blanchet (2015). ‘The little state that couldn’t could? The politics of “single-payer” health coverage in Vermont. </w:t>
      </w:r>
      <w:r>
        <w:rPr>
          <w:i/>
        </w:rPr>
        <w:t>Journals of Health Politics, Policy and Law</w:t>
      </w:r>
      <w:r>
        <w:t xml:space="preserve"> 40(3): 447-85</w:t>
      </w:r>
    </w:p>
    <w:p w14:paraId="2A23BE0C" w14:textId="77777777" w:rsidR="00382C3C" w:rsidRDefault="00382C3C" w:rsidP="003D3B1F"/>
    <w:p w14:paraId="383EA9BA" w14:textId="77777777" w:rsidR="00382C3C" w:rsidRPr="00ED1AD2" w:rsidRDefault="003D3B1F" w:rsidP="003D3B1F">
      <w:r>
        <w:t>Fox, D.M. (1985). ‘History and health policy</w:t>
      </w:r>
      <w:r w:rsidR="000F70B6">
        <w:t>: an autobiographical note on the decline of historicism</w:t>
      </w:r>
      <w:r>
        <w:t xml:space="preserve">’. </w:t>
      </w:r>
      <w:r>
        <w:rPr>
          <w:i/>
        </w:rPr>
        <w:t>Journal of Social History</w:t>
      </w:r>
      <w:r w:rsidR="00382C3C">
        <w:t xml:space="preserve"> 18(3): 349-364.</w:t>
      </w:r>
    </w:p>
    <w:p w14:paraId="57021677" w14:textId="77777777" w:rsidR="00335A63" w:rsidRDefault="00335A63" w:rsidP="00335A63"/>
    <w:p w14:paraId="0624C187" w14:textId="77777777" w:rsidR="007A5140" w:rsidRPr="00014EB1" w:rsidRDefault="007A5140" w:rsidP="00335A63">
      <w:r>
        <w:t xml:space="preserve">Fox, D.M. (1986). </w:t>
      </w:r>
      <w:r>
        <w:rPr>
          <w:i/>
        </w:rPr>
        <w:t>Health policies, health politics: the British and American experience, 1911-1965</w:t>
      </w:r>
      <w:r w:rsidR="00014EB1">
        <w:t>. Princeton: Princeton University Press.</w:t>
      </w:r>
    </w:p>
    <w:p w14:paraId="4B2119E8" w14:textId="77777777" w:rsidR="007A5140" w:rsidRDefault="007A5140" w:rsidP="00335A63"/>
    <w:p w14:paraId="4FEBA628" w14:textId="77777777" w:rsidR="00335A63" w:rsidRPr="00335A63" w:rsidRDefault="00335A63" w:rsidP="00335A63">
      <w:proofErr w:type="spellStart"/>
      <w:r>
        <w:t>García</w:t>
      </w:r>
      <w:proofErr w:type="spellEnd"/>
      <w:r>
        <w:t xml:space="preserve">-Prado, A., and P. González (2011). ‘Whom do physicians work for? An analysis of dual practice in the health sector’. </w:t>
      </w:r>
      <w:r>
        <w:rPr>
          <w:i/>
        </w:rPr>
        <w:t>Journal of Health Policy, Politics and Law</w:t>
      </w:r>
      <w:r>
        <w:t xml:space="preserve"> 36(2): 266-94.</w:t>
      </w:r>
    </w:p>
    <w:p w14:paraId="1E52344F" w14:textId="77777777" w:rsidR="003D3B1F" w:rsidRDefault="003D3B1F" w:rsidP="003D3B1F"/>
    <w:p w14:paraId="52AD8421" w14:textId="3D8798BE" w:rsidR="00822F1C" w:rsidRPr="00822F1C" w:rsidRDefault="00822F1C" w:rsidP="003D3B1F">
      <w:proofErr w:type="spellStart"/>
      <w:r>
        <w:t>Gauld</w:t>
      </w:r>
      <w:proofErr w:type="spellEnd"/>
      <w:r>
        <w:t>, R.D.C. (2000). ‘</w:t>
      </w:r>
      <w:r w:rsidR="00444AE8">
        <w:t>Big bang</w:t>
      </w:r>
      <w:r>
        <w:t xml:space="preserve"> and the policy prescription: health care meets the market in New Zealand’. </w:t>
      </w:r>
      <w:r>
        <w:rPr>
          <w:i/>
        </w:rPr>
        <w:t>Journal of Health Politics, Policy and Law</w:t>
      </w:r>
      <w:r>
        <w:t xml:space="preserve"> 25(5): 815-44 </w:t>
      </w:r>
    </w:p>
    <w:p w14:paraId="65B2C020" w14:textId="77777777" w:rsidR="00822F1C" w:rsidRDefault="00822F1C" w:rsidP="003D3B1F"/>
    <w:p w14:paraId="1581792C" w14:textId="77777777" w:rsidR="007A5140" w:rsidRPr="007A5140" w:rsidRDefault="007A5140" w:rsidP="003D3B1F">
      <w:proofErr w:type="spellStart"/>
      <w:r>
        <w:t>Gorsky</w:t>
      </w:r>
      <w:proofErr w:type="spellEnd"/>
      <w:r>
        <w:t xml:space="preserve">, M. (2008). ‘The British National Health Service 1948-2008: a review of the historiography’. </w:t>
      </w:r>
      <w:r>
        <w:rPr>
          <w:i/>
        </w:rPr>
        <w:t>Social History of Medicine</w:t>
      </w:r>
      <w:r>
        <w:t xml:space="preserve"> 21(3): 437-60.</w:t>
      </w:r>
    </w:p>
    <w:p w14:paraId="231255E4" w14:textId="77777777" w:rsidR="007A5140" w:rsidRDefault="007A5140" w:rsidP="003D3B1F"/>
    <w:p w14:paraId="1175DB8E" w14:textId="77777777" w:rsidR="003D3B1F" w:rsidRPr="005607DB" w:rsidRDefault="003D3B1F" w:rsidP="003D3B1F">
      <w:r>
        <w:t xml:space="preserve">Green, A. (2016). </w:t>
      </w:r>
      <w:r>
        <w:rPr>
          <w:i/>
        </w:rPr>
        <w:t>History, policy and public purpose: historians and historical thinking in government</w:t>
      </w:r>
      <w:r>
        <w:t>. London: Palgrave MacMillan UK.</w:t>
      </w:r>
    </w:p>
    <w:p w14:paraId="71749440" w14:textId="77777777" w:rsidR="003D3B1F" w:rsidRDefault="003D3B1F" w:rsidP="003D3B1F"/>
    <w:p w14:paraId="206847E6" w14:textId="77777777" w:rsidR="007A5140" w:rsidRPr="00815EDA" w:rsidRDefault="003D3B1F" w:rsidP="003D3B1F">
      <w:r>
        <w:t xml:space="preserve">Greener, I., and M. Powell (2008). ‘The changing governance of the NHS: reform in a post-Keynesian health service’. </w:t>
      </w:r>
      <w:r>
        <w:rPr>
          <w:i/>
        </w:rPr>
        <w:t>Human Relations</w:t>
      </w:r>
      <w:r>
        <w:t xml:space="preserve"> 61(5): 617-36.</w:t>
      </w:r>
    </w:p>
    <w:p w14:paraId="5B9B04B7" w14:textId="77777777" w:rsidR="003D3B1F" w:rsidRDefault="003D3B1F" w:rsidP="003D3B1F"/>
    <w:p w14:paraId="6510C93A" w14:textId="77777777" w:rsidR="003D3B1F" w:rsidRDefault="003D3B1F" w:rsidP="003D3B1F">
      <w:r>
        <w:t xml:space="preserve">Haddon, C., J. </w:t>
      </w:r>
      <w:proofErr w:type="spellStart"/>
      <w:r>
        <w:t>Devanny</w:t>
      </w:r>
      <w:proofErr w:type="spellEnd"/>
      <w:r>
        <w:t xml:space="preserve">, C. </w:t>
      </w:r>
      <w:proofErr w:type="spellStart"/>
      <w:r>
        <w:t>Forsdick</w:t>
      </w:r>
      <w:proofErr w:type="spellEnd"/>
      <w:r>
        <w:t xml:space="preserve"> and A. Thompson (2015). </w:t>
      </w:r>
      <w:r>
        <w:rPr>
          <w:i/>
        </w:rPr>
        <w:t>What is the value of history in policymaking?</w:t>
      </w:r>
      <w:r>
        <w:t xml:space="preserve"> London: Arts &amp; Humanities Research Council and Institute for Government.</w:t>
      </w:r>
    </w:p>
    <w:p w14:paraId="2BED1ACE" w14:textId="77777777" w:rsidR="003A7669" w:rsidRDefault="003A7669" w:rsidP="003D3B1F"/>
    <w:p w14:paraId="422A1027" w14:textId="3740CECB" w:rsidR="003A7669" w:rsidRPr="003A7669" w:rsidRDefault="003A7669" w:rsidP="003D3B1F">
      <w:r>
        <w:t xml:space="preserve">Hall, P.A. (1993). ‘Policy paradigms, social learning and the state: the case of economic policymaking in Britain. </w:t>
      </w:r>
      <w:r>
        <w:rPr>
          <w:i/>
        </w:rPr>
        <w:t>Comparative Politics</w:t>
      </w:r>
      <w:r>
        <w:t xml:space="preserve"> 25(3): 275-96.</w:t>
      </w:r>
    </w:p>
    <w:p w14:paraId="5004B3B9" w14:textId="77777777" w:rsidR="003D3B1F" w:rsidRDefault="003D3B1F" w:rsidP="003D3B1F"/>
    <w:p w14:paraId="5F6FB17F" w14:textId="77777777" w:rsidR="003D3B1F" w:rsidRDefault="003D3B1F" w:rsidP="003D3B1F">
      <w:r>
        <w:t xml:space="preserve">Head, B.W. (2010). ‘Reconsidering evidence-based policy: key issues and challenges’, </w:t>
      </w:r>
      <w:r>
        <w:rPr>
          <w:i/>
        </w:rPr>
        <w:t>Policy and Society</w:t>
      </w:r>
      <w:r>
        <w:t xml:space="preserve"> 29(2): 77-94.</w:t>
      </w:r>
    </w:p>
    <w:p w14:paraId="193EB97C" w14:textId="77777777" w:rsidR="003504DD" w:rsidRDefault="003504DD" w:rsidP="003D3B1F"/>
    <w:p w14:paraId="165E8877" w14:textId="6224D672" w:rsidR="003504DD" w:rsidRPr="003504DD" w:rsidRDefault="003504DD" w:rsidP="003D3B1F">
      <w:r>
        <w:t xml:space="preserve">Hellman, J. (2017). ‘Trump: “Nobody knew that healthcare could be so complicated”, </w:t>
      </w:r>
      <w:r>
        <w:rPr>
          <w:i/>
        </w:rPr>
        <w:t>The Hill</w:t>
      </w:r>
      <w:r>
        <w:t xml:space="preserve">, 2 Feb. 2017, online edition accessed on 8 June 2017 at: </w:t>
      </w:r>
      <w:r w:rsidRPr="003504DD">
        <w:t>http://thehill.com/policy/healthcare/321318-trump-nobody-knew-that-healthcare-could-be-so-complicated</w:t>
      </w:r>
    </w:p>
    <w:p w14:paraId="5AF9478D" w14:textId="77777777" w:rsidR="003D3B1F" w:rsidRDefault="003D3B1F" w:rsidP="003D3B1F"/>
    <w:p w14:paraId="283AD413" w14:textId="77777777" w:rsidR="003D3B1F" w:rsidRDefault="003D3B1F" w:rsidP="003D3B1F">
      <w:r>
        <w:t xml:space="preserve">History and Policy website: </w:t>
      </w:r>
      <w:hyperlink r:id="rId8" w:history="1">
        <w:r w:rsidRPr="003E0FA9">
          <w:rPr>
            <w:rStyle w:val="Hyperlink"/>
          </w:rPr>
          <w:t>http://historyandpolicy.org</w:t>
        </w:r>
      </w:hyperlink>
    </w:p>
    <w:p w14:paraId="73E6AD4C" w14:textId="77777777" w:rsidR="003D3B1F" w:rsidRDefault="003D3B1F" w:rsidP="003D3B1F"/>
    <w:p w14:paraId="739338FD" w14:textId="77777777" w:rsidR="003D3B1F" w:rsidRDefault="003D3B1F" w:rsidP="003D3B1F">
      <w:r>
        <w:t xml:space="preserve">Hunt, L. (2002). ‘Against presentism’, </w:t>
      </w:r>
      <w:r>
        <w:rPr>
          <w:i/>
        </w:rPr>
        <w:t>Perspectives on History: The Newsmagazine of the American Historical Association</w:t>
      </w:r>
      <w:r>
        <w:t xml:space="preserve">, May, online edition accessed on 30 Mar. 2017: </w:t>
      </w:r>
      <w:hyperlink r:id="rId9" w:history="1">
        <w:r w:rsidR="002A47C9" w:rsidRPr="00F51D2B">
          <w:rPr>
            <w:rStyle w:val="Hyperlink"/>
          </w:rPr>
          <w:t>https://www.historians.org/publications-and-directories/perspectives-on-history/may-2002/against-presentism#</w:t>
        </w:r>
      </w:hyperlink>
    </w:p>
    <w:p w14:paraId="71FE2FD4" w14:textId="77777777" w:rsidR="002A47C9" w:rsidRDefault="002A47C9" w:rsidP="003D3B1F"/>
    <w:p w14:paraId="3F7DC3D6" w14:textId="77777777" w:rsidR="002A47C9" w:rsidRPr="002A47C9" w:rsidRDefault="002A47C9" w:rsidP="003D3B1F">
      <w:proofErr w:type="spellStart"/>
      <w:r>
        <w:t>Kingdon</w:t>
      </w:r>
      <w:proofErr w:type="spellEnd"/>
      <w:r>
        <w:t xml:space="preserve">, J.W. (2011). </w:t>
      </w:r>
      <w:r w:rsidR="0083540D">
        <w:rPr>
          <w:i/>
        </w:rPr>
        <w:t>Agendas, alternatives and public p</w:t>
      </w:r>
      <w:r>
        <w:rPr>
          <w:i/>
        </w:rPr>
        <w:t>olicies</w:t>
      </w:r>
      <w:r>
        <w:t>, updated second edition</w:t>
      </w:r>
      <w:r w:rsidR="00382C3C">
        <w:t>. Boston: Longman</w:t>
      </w:r>
    </w:p>
    <w:p w14:paraId="56CED144" w14:textId="77777777" w:rsidR="003D3B1F" w:rsidRDefault="003D3B1F" w:rsidP="003D3B1F"/>
    <w:p w14:paraId="573F0674" w14:textId="77777777" w:rsidR="003D3B1F" w:rsidRDefault="003D3B1F" w:rsidP="003D3B1F">
      <w:r>
        <w:t xml:space="preserve">Klein, R. (1990). ‘The state and the profession: the politics of the double bed’, </w:t>
      </w:r>
      <w:r>
        <w:rPr>
          <w:i/>
        </w:rPr>
        <w:t>BMJ</w:t>
      </w:r>
      <w:r>
        <w:t xml:space="preserve"> 301 (3 Oct.): 700-2.</w:t>
      </w:r>
    </w:p>
    <w:p w14:paraId="27E7676F" w14:textId="77777777" w:rsidR="003D3B1F" w:rsidRDefault="003D3B1F" w:rsidP="003D3B1F"/>
    <w:p w14:paraId="7377D840" w14:textId="77777777" w:rsidR="003D3B1F" w:rsidRPr="00DD4264" w:rsidRDefault="003D3B1F" w:rsidP="003D3B1F">
      <w:r>
        <w:t xml:space="preserve">Klein, R. (2013). </w:t>
      </w:r>
      <w:r>
        <w:rPr>
          <w:i/>
        </w:rPr>
        <w:t>The new politics of the NHS: from creation to reinvention</w:t>
      </w:r>
      <w:r>
        <w:t>. Seve</w:t>
      </w:r>
      <w:r w:rsidR="001A7FE7">
        <w:t>nth edition. London: Radcliffe Publishing</w:t>
      </w:r>
      <w:r>
        <w:t>.</w:t>
      </w:r>
    </w:p>
    <w:p w14:paraId="57B001AA" w14:textId="77777777" w:rsidR="003D3B1F" w:rsidRDefault="003D3B1F" w:rsidP="003D3B1F"/>
    <w:p w14:paraId="163CBEB0" w14:textId="77777777" w:rsidR="003D3B1F" w:rsidRPr="00C65803" w:rsidRDefault="003D3B1F" w:rsidP="003D3B1F">
      <w:proofErr w:type="spellStart"/>
      <w:r>
        <w:t>Maioni</w:t>
      </w:r>
      <w:proofErr w:type="spellEnd"/>
      <w:r>
        <w:t xml:space="preserve">, A. (1998). </w:t>
      </w:r>
      <w:r>
        <w:rPr>
          <w:i/>
        </w:rPr>
        <w:t>Parting at the crossroads: the emergence of health insurance in the United States and Canada</w:t>
      </w:r>
      <w:r>
        <w:t>. Princeton, NJ: Princeton University Press.</w:t>
      </w:r>
    </w:p>
    <w:p w14:paraId="336C16F1" w14:textId="77777777" w:rsidR="003D3B1F" w:rsidRDefault="003D3B1F" w:rsidP="003D3B1F"/>
    <w:p w14:paraId="54B8ED72" w14:textId="77777777" w:rsidR="00335A63" w:rsidRDefault="00335A63" w:rsidP="003D3B1F">
      <w:proofErr w:type="spellStart"/>
      <w:r>
        <w:t>Madore</w:t>
      </w:r>
      <w:proofErr w:type="spellEnd"/>
      <w:r>
        <w:t xml:space="preserve">, O. (2006). </w:t>
      </w:r>
      <w:r>
        <w:rPr>
          <w:i/>
        </w:rPr>
        <w:t>Duplicate private health care insurance: potential implications for Quebec and Canada</w:t>
      </w:r>
      <w:r>
        <w:t>. Ottawa: Parliamentary Information and Research Service, Library of Parliament.</w:t>
      </w:r>
    </w:p>
    <w:p w14:paraId="557A1CB5" w14:textId="77777777" w:rsidR="00231ABD" w:rsidRDefault="00231ABD" w:rsidP="003D3B1F"/>
    <w:p w14:paraId="48AC33FB" w14:textId="77777777" w:rsidR="00231ABD" w:rsidRPr="00231ABD" w:rsidRDefault="00231ABD" w:rsidP="003D3B1F">
      <w:r>
        <w:t xml:space="preserve">Marchildon, G.P. (2005). ‘Private insurance for Medicare: policy history and trajectory in the four western provinces’, in C.M. Flood, K. Roach, and L. </w:t>
      </w:r>
      <w:proofErr w:type="spellStart"/>
      <w:r>
        <w:t>Sossin</w:t>
      </w:r>
      <w:proofErr w:type="spellEnd"/>
      <w:r>
        <w:t xml:space="preserve"> (</w:t>
      </w:r>
      <w:proofErr w:type="spellStart"/>
      <w:r>
        <w:t>Eds</w:t>
      </w:r>
      <w:proofErr w:type="spellEnd"/>
      <w:r>
        <w:t xml:space="preserve">), </w:t>
      </w:r>
      <w:r>
        <w:rPr>
          <w:i/>
        </w:rPr>
        <w:t>Access to care, access to justice: the legal debate over private health insurance in Canada</w:t>
      </w:r>
      <w:r>
        <w:t>. Toronto: University of Toronto Press.</w:t>
      </w:r>
    </w:p>
    <w:p w14:paraId="1152F110" w14:textId="77777777" w:rsidR="00335A63" w:rsidRDefault="00335A63" w:rsidP="003D3B1F"/>
    <w:p w14:paraId="35F6B43A" w14:textId="77777777" w:rsidR="003D3B1F" w:rsidRDefault="003D3B1F" w:rsidP="003D3B1F">
      <w:r>
        <w:t xml:space="preserve">Marchildon, G.P. (2012). ‘Canadian Medicare: why history matters’, in G.P. Marchildon (Ed), </w:t>
      </w:r>
      <w:r>
        <w:rPr>
          <w:i/>
        </w:rPr>
        <w:t>Making Medicare: new perspectives on the history of Medicare in Canada</w:t>
      </w:r>
      <w:r>
        <w:t>. Toronto: University of Toronto Press.</w:t>
      </w:r>
    </w:p>
    <w:p w14:paraId="546CDE80" w14:textId="77777777" w:rsidR="001733CA" w:rsidRDefault="001733CA" w:rsidP="003D3B1F"/>
    <w:p w14:paraId="6FA0AEA3" w14:textId="77777777" w:rsidR="001733CA" w:rsidRPr="001733CA" w:rsidRDefault="00AD649B" w:rsidP="003D3B1F">
      <w:r>
        <w:t>Marchildon, G.P. (2014).</w:t>
      </w:r>
      <w:r w:rsidR="001A7FE7">
        <w:t xml:space="preserve"> ‘</w:t>
      </w:r>
      <w:r w:rsidR="001733CA">
        <w:t xml:space="preserve">The three dimensions of universal Medicare in Canada’. </w:t>
      </w:r>
      <w:r w:rsidR="001733CA">
        <w:rPr>
          <w:i/>
        </w:rPr>
        <w:t>Canadian Public Administration</w:t>
      </w:r>
      <w:r w:rsidR="001733CA">
        <w:t xml:space="preserve"> 57(3): 262-82.</w:t>
      </w:r>
    </w:p>
    <w:p w14:paraId="025890C4" w14:textId="77777777" w:rsidR="003D3B1F" w:rsidRDefault="003D3B1F" w:rsidP="003D3B1F"/>
    <w:p w14:paraId="1AB651E6" w14:textId="77777777" w:rsidR="00AD649B" w:rsidRPr="00AD649B" w:rsidRDefault="00AD649B" w:rsidP="003D3B1F">
      <w:r>
        <w:t xml:space="preserve">Marchildon, G.P., and K. </w:t>
      </w:r>
      <w:proofErr w:type="spellStart"/>
      <w:r>
        <w:t>Schrijvers</w:t>
      </w:r>
      <w:proofErr w:type="spellEnd"/>
      <w:r>
        <w:t xml:space="preserve"> (2011). ‘Physician resistance and the forging of public healthcare: a comparative analysis of the doctors’ strikes in Canada and Belgium in the 1960s’. </w:t>
      </w:r>
      <w:r>
        <w:rPr>
          <w:i/>
        </w:rPr>
        <w:t>Medical History</w:t>
      </w:r>
      <w:r>
        <w:t xml:space="preserve"> 55(2): 203-22.</w:t>
      </w:r>
    </w:p>
    <w:p w14:paraId="5F709BDA" w14:textId="77777777" w:rsidR="00AD649B" w:rsidRDefault="00AD649B" w:rsidP="003D3B1F"/>
    <w:p w14:paraId="7E17ECFB" w14:textId="77777777" w:rsidR="003D3B1F" w:rsidRDefault="003D3B1F" w:rsidP="003D3B1F">
      <w:r>
        <w:t>Maynard, A. (2015). ‘England’, in G.P. Marchildon and L. Di Matteo (</w:t>
      </w:r>
      <w:proofErr w:type="spellStart"/>
      <w:r>
        <w:t>Eds</w:t>
      </w:r>
      <w:proofErr w:type="spellEnd"/>
      <w:r>
        <w:t xml:space="preserve">), </w:t>
      </w:r>
      <w:r>
        <w:rPr>
          <w:i/>
        </w:rPr>
        <w:t>Bending the cost curve in health care: Canada’s provinces in international perspective</w:t>
      </w:r>
      <w:r>
        <w:t>. Toronto: University of Toronto Press.</w:t>
      </w:r>
      <w:r w:rsidR="001733CA">
        <w:t xml:space="preserve"> </w:t>
      </w:r>
    </w:p>
    <w:p w14:paraId="76EB63DF" w14:textId="77777777" w:rsidR="00B6049A" w:rsidRDefault="00B6049A" w:rsidP="003D3B1F"/>
    <w:p w14:paraId="3F636A9B" w14:textId="77777777" w:rsidR="00B6049A" w:rsidRPr="00B6049A" w:rsidRDefault="00B6049A" w:rsidP="003D3B1F">
      <w:proofErr w:type="spellStart"/>
      <w:r>
        <w:t>Mulvihill</w:t>
      </w:r>
      <w:proofErr w:type="spellEnd"/>
      <w:r>
        <w:t>, D. (1999). ‘</w:t>
      </w:r>
      <w:r>
        <w:rPr>
          <w:i/>
        </w:rPr>
        <w:t>Irving v. Penguin:</w:t>
      </w:r>
      <w:r>
        <w:t xml:space="preserve"> historians on trial and the determination of truth under English libel law’. </w:t>
      </w:r>
      <w:r>
        <w:rPr>
          <w:i/>
        </w:rPr>
        <w:t>Fordham Intellectual Property, Media and Entertainment Law Journal</w:t>
      </w:r>
      <w:r>
        <w:t xml:space="preserve"> 11: 217-56.</w:t>
      </w:r>
    </w:p>
    <w:p w14:paraId="63FD9B3E" w14:textId="77777777" w:rsidR="003D3B1F" w:rsidRDefault="003D3B1F" w:rsidP="003D3B1F"/>
    <w:p w14:paraId="133978AF" w14:textId="77777777" w:rsidR="0083540D" w:rsidRDefault="0083540D" w:rsidP="003D3B1F">
      <w:r>
        <w:t xml:space="preserve">Naylor, C.D. (1986). </w:t>
      </w:r>
      <w:r>
        <w:rPr>
          <w:i/>
        </w:rPr>
        <w:t>Private practice, public payment: Canadian medicine and the politics of health insurance, 1911-1966</w:t>
      </w:r>
      <w:r>
        <w:t>. Montreal: McGill-Queen’s University Press.</w:t>
      </w:r>
    </w:p>
    <w:p w14:paraId="161DF8EF" w14:textId="77777777" w:rsidR="00CD759B" w:rsidRDefault="00CD759B" w:rsidP="003D3B1F"/>
    <w:p w14:paraId="16E3B554" w14:textId="3CA45790" w:rsidR="00CD759B" w:rsidRPr="00CD759B" w:rsidRDefault="00CD759B" w:rsidP="003D3B1F">
      <w:r>
        <w:lastRenderedPageBreak/>
        <w:t xml:space="preserve">Pierson, P. (2000). ‘Increasing returns, path dependence, and the study of politics’. </w:t>
      </w:r>
      <w:r>
        <w:rPr>
          <w:i/>
        </w:rPr>
        <w:t>American Political Science Review</w:t>
      </w:r>
      <w:r>
        <w:t xml:space="preserve"> 94(2): 251-67.</w:t>
      </w:r>
    </w:p>
    <w:p w14:paraId="1ED79F47" w14:textId="77777777" w:rsidR="008F3087" w:rsidRDefault="008F3087" w:rsidP="003D3B1F"/>
    <w:p w14:paraId="51062821" w14:textId="77777777" w:rsidR="008F3087" w:rsidRPr="0083540D" w:rsidRDefault="008F3087" w:rsidP="003D3B1F">
      <w:proofErr w:type="spellStart"/>
      <w:r>
        <w:t>Sheard</w:t>
      </w:r>
      <w:proofErr w:type="spellEnd"/>
      <w:r>
        <w:t>, S. (2017). ‘Space, place and (waiting) time: reflections on health policy and politics’. Unpublished manuscript provided to author, 29 March.</w:t>
      </w:r>
    </w:p>
    <w:p w14:paraId="743E62CF" w14:textId="77777777" w:rsidR="0083540D" w:rsidRDefault="0083540D" w:rsidP="003D3B1F"/>
    <w:p w14:paraId="1861A3D3" w14:textId="77777777" w:rsidR="003D3B1F" w:rsidRPr="001A5ADD" w:rsidRDefault="003D3B1F" w:rsidP="003D3B1F">
      <w:r>
        <w:t xml:space="preserve">Smith, K.B. and C.W. </w:t>
      </w:r>
      <w:proofErr w:type="spellStart"/>
      <w:r>
        <w:t>Larimer</w:t>
      </w:r>
      <w:proofErr w:type="spellEnd"/>
      <w:r>
        <w:t xml:space="preserve"> (2016). </w:t>
      </w:r>
      <w:r w:rsidR="0083540D">
        <w:rPr>
          <w:i/>
        </w:rPr>
        <w:t>The public policy theory p</w:t>
      </w:r>
      <w:r>
        <w:rPr>
          <w:i/>
        </w:rPr>
        <w:t>rimer</w:t>
      </w:r>
      <w:r>
        <w:t>, 3</w:t>
      </w:r>
      <w:r w:rsidRPr="001A5ADD">
        <w:rPr>
          <w:vertAlign w:val="superscript"/>
        </w:rPr>
        <w:t>rd</w:t>
      </w:r>
      <w:r>
        <w:t xml:space="preserve"> ed. Boulder, CO: Westview Press.</w:t>
      </w:r>
    </w:p>
    <w:p w14:paraId="74D69C9B" w14:textId="77777777" w:rsidR="003D3B1F" w:rsidRDefault="003D3B1F" w:rsidP="003D3B1F"/>
    <w:p w14:paraId="6842E709" w14:textId="77777777" w:rsidR="003D3B1F" w:rsidRDefault="003D3B1F" w:rsidP="003D3B1F">
      <w:r>
        <w:t xml:space="preserve">Stone, D.A. (1989). ‘Causal stories and the formation of policy agendas.’ </w:t>
      </w:r>
      <w:r>
        <w:rPr>
          <w:i/>
        </w:rPr>
        <w:t>Political Science Quarterly</w:t>
      </w:r>
      <w:r>
        <w:t xml:space="preserve"> 104(2): 281-300.</w:t>
      </w:r>
    </w:p>
    <w:p w14:paraId="69A62081" w14:textId="77777777" w:rsidR="001A7FE7" w:rsidRDefault="001A7FE7" w:rsidP="003D3B1F"/>
    <w:p w14:paraId="2539E5B5" w14:textId="77777777" w:rsidR="009158DC" w:rsidRDefault="009158DC" w:rsidP="003D3B1F">
      <w:r>
        <w:t xml:space="preserve">Taylor, M.G. (1987). </w:t>
      </w:r>
      <w:r>
        <w:rPr>
          <w:i/>
        </w:rPr>
        <w:t>Health insurance and Canadian public policy: the seven decisions that created the Canadian health insurance system</w:t>
      </w:r>
      <w:r>
        <w:t>, 2</w:t>
      </w:r>
      <w:r w:rsidRPr="009158DC">
        <w:rPr>
          <w:vertAlign w:val="superscript"/>
        </w:rPr>
        <w:t>nd</w:t>
      </w:r>
      <w:r>
        <w:t xml:space="preserve"> edition. Montreal: McGill-Queen’s University Press.</w:t>
      </w:r>
    </w:p>
    <w:p w14:paraId="07C01106" w14:textId="77777777" w:rsidR="00CD759B" w:rsidRDefault="00CD759B" w:rsidP="003D3B1F"/>
    <w:p w14:paraId="6E59C142" w14:textId="4D6DEC53" w:rsidR="00CD759B" w:rsidRPr="00CD759B" w:rsidRDefault="00CD759B" w:rsidP="003D3B1F">
      <w:proofErr w:type="spellStart"/>
      <w:r>
        <w:t>Thelen</w:t>
      </w:r>
      <w:proofErr w:type="spellEnd"/>
      <w:r>
        <w:t xml:space="preserve">, K. (2009). ‘Institutional change in advanced political economies’. </w:t>
      </w:r>
      <w:r>
        <w:rPr>
          <w:i/>
        </w:rPr>
        <w:t>British Journal of Industrial Relations</w:t>
      </w:r>
      <w:r>
        <w:t xml:space="preserve"> 47(3): 471-98.</w:t>
      </w:r>
    </w:p>
    <w:p w14:paraId="392E195C" w14:textId="77777777" w:rsidR="009158DC" w:rsidRDefault="009158DC" w:rsidP="003D3B1F"/>
    <w:p w14:paraId="388FB8A3" w14:textId="77777777" w:rsidR="001A7FE7" w:rsidRPr="001A7FE7" w:rsidRDefault="001A7FE7" w:rsidP="003D3B1F">
      <w:r>
        <w:t xml:space="preserve">Tuohy, C.H. (forthcoming). </w:t>
      </w:r>
      <w:r w:rsidR="00AD649B">
        <w:rPr>
          <w:i/>
        </w:rPr>
        <w:t>Remaking policy: scale, pace and political strategy in health care r</w:t>
      </w:r>
      <w:r>
        <w:rPr>
          <w:i/>
        </w:rPr>
        <w:t>eform</w:t>
      </w:r>
      <w:r>
        <w:t>. Toronto: University of Toronto Press.</w:t>
      </w:r>
    </w:p>
    <w:p w14:paraId="7CAB135D" w14:textId="77777777" w:rsidR="003D3B1F" w:rsidRDefault="003D3B1F" w:rsidP="003D3B1F"/>
    <w:p w14:paraId="4A12C1EF" w14:textId="77777777" w:rsidR="00382C3C" w:rsidRDefault="00095FCF" w:rsidP="003D3B1F">
      <w:r>
        <w:t xml:space="preserve">Webster, C. (1988). </w:t>
      </w:r>
      <w:r w:rsidR="00AD649B">
        <w:rPr>
          <w:i/>
        </w:rPr>
        <w:t>The Health Services since the War: volume 1. Problems of health care:</w:t>
      </w:r>
      <w:r>
        <w:rPr>
          <w:i/>
        </w:rPr>
        <w:t xml:space="preserve"> the National Health Service before 1957</w:t>
      </w:r>
      <w:r>
        <w:t>. London: Her Majesty’s Stationary Office.</w:t>
      </w:r>
    </w:p>
    <w:p w14:paraId="4CA6BE12" w14:textId="77777777" w:rsidR="00095FCF" w:rsidRDefault="00095FCF" w:rsidP="003D3B1F"/>
    <w:p w14:paraId="33D6A6FC" w14:textId="77777777" w:rsidR="00095FCF" w:rsidRPr="00095FCF" w:rsidRDefault="00095FCF" w:rsidP="003D3B1F">
      <w:r>
        <w:t xml:space="preserve">Webster, C. (1996). </w:t>
      </w:r>
      <w:r w:rsidR="00AD649B">
        <w:rPr>
          <w:i/>
        </w:rPr>
        <w:t>The Health Services since the War: volume 2. Government and health care:</w:t>
      </w:r>
      <w:r>
        <w:rPr>
          <w:i/>
        </w:rPr>
        <w:t xml:space="preserve"> the National Health Service 1958-1979</w:t>
      </w:r>
      <w:r>
        <w:t>. London: The Stationary Office.</w:t>
      </w:r>
    </w:p>
    <w:p w14:paraId="4CD0E158" w14:textId="77777777" w:rsidR="00382C3C" w:rsidRDefault="00382C3C" w:rsidP="003D3B1F"/>
    <w:p w14:paraId="0461D7F8" w14:textId="77777777" w:rsidR="00382C3C" w:rsidRPr="002614FC" w:rsidRDefault="00382C3C" w:rsidP="003D3B1F">
      <w:r>
        <w:t>Webster, C. (2002</w:t>
      </w:r>
      <w:r w:rsidR="003D3B1F">
        <w:t xml:space="preserve">). </w:t>
      </w:r>
      <w:r w:rsidR="00AD649B">
        <w:rPr>
          <w:i/>
        </w:rPr>
        <w:t>The National Health Service: a p</w:t>
      </w:r>
      <w:r w:rsidR="003D3B1F">
        <w:rPr>
          <w:i/>
        </w:rPr>
        <w:t>oliti</w:t>
      </w:r>
      <w:r w:rsidR="00AD649B">
        <w:rPr>
          <w:i/>
        </w:rPr>
        <w:t>cal h</w:t>
      </w:r>
      <w:r w:rsidR="003D3B1F">
        <w:rPr>
          <w:i/>
        </w:rPr>
        <w:t>istory</w:t>
      </w:r>
      <w:r w:rsidR="003D3B1F">
        <w:t>. Oxford: Oxford University Press.</w:t>
      </w:r>
    </w:p>
    <w:p w14:paraId="38A70742" w14:textId="77777777" w:rsidR="002614FC" w:rsidRDefault="002614FC" w:rsidP="003670AA"/>
    <w:p w14:paraId="7ACE315C" w14:textId="77777777" w:rsidR="001733CA" w:rsidRPr="001733CA" w:rsidRDefault="001733CA" w:rsidP="003670AA">
      <w:r>
        <w:t xml:space="preserve">WHO (2010). </w:t>
      </w:r>
      <w:r w:rsidR="00AD649B">
        <w:rPr>
          <w:i/>
        </w:rPr>
        <w:t>World health report 2010 – health systems financing: the path to universal c</w:t>
      </w:r>
      <w:r>
        <w:rPr>
          <w:i/>
        </w:rPr>
        <w:t>overage</w:t>
      </w:r>
      <w:r>
        <w:t>. Geneva: World Health Organization.</w:t>
      </w:r>
    </w:p>
    <w:sectPr w:rsidR="001733CA" w:rsidRPr="001733CA" w:rsidSect="004F1D84">
      <w:footerReference w:type="even" r:id="rId10"/>
      <w:footerReference w:type="default" r:id="rId11"/>
      <w:endnotePr>
        <w:numFmt w:val="decimal"/>
      </w:endnotePr>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EED35" w14:textId="77777777" w:rsidR="00D45796" w:rsidRDefault="00D45796" w:rsidP="004F1D84">
      <w:r>
        <w:separator/>
      </w:r>
    </w:p>
  </w:endnote>
  <w:endnote w:type="continuationSeparator" w:id="0">
    <w:p w14:paraId="10DA1E52" w14:textId="77777777" w:rsidR="00D45796" w:rsidRDefault="00D45796" w:rsidP="004F1D84">
      <w:r>
        <w:continuationSeparator/>
      </w:r>
    </w:p>
  </w:endnote>
  <w:endnote w:id="1">
    <w:p w14:paraId="08E246CA" w14:textId="0F729D04" w:rsidR="0065015B" w:rsidRPr="0097295E" w:rsidRDefault="0065015B">
      <w:pPr>
        <w:pStyle w:val="EndnoteText"/>
        <w:rPr>
          <w:sz w:val="20"/>
          <w:szCs w:val="20"/>
          <w:lang w:val="en-US"/>
        </w:rPr>
      </w:pPr>
      <w:r w:rsidRPr="0097295E">
        <w:rPr>
          <w:rStyle w:val="EndnoteReference"/>
          <w:sz w:val="20"/>
          <w:szCs w:val="20"/>
        </w:rPr>
        <w:endnoteRef/>
      </w:r>
      <w:r w:rsidRPr="0097295E">
        <w:rPr>
          <w:sz w:val="20"/>
          <w:szCs w:val="20"/>
        </w:rPr>
        <w:t xml:space="preserve"> Of course, some professional historians in various places and ways have tried to buck this trend. In the United Kingdom, for example, historians have addressed discrete policy questions and problems of interest to decision-makers by writing short papers based on their considerable historical research through the History and Policy initiative (History and Policy website). The Arts &amp; Humanities Research Council (AHRC) in conjunction with the London-based Institute for Government has actually made the effort to investigate the value of history in policymaking from the perspective of both professional historians and policy practitioners in Whitehall (Haddon et al. 2015).</w:t>
      </w:r>
    </w:p>
  </w:endnote>
  <w:endnote w:id="2">
    <w:p w14:paraId="22D3F9ED" w14:textId="77777777" w:rsidR="0065015B" w:rsidRPr="00E5602D" w:rsidRDefault="0065015B">
      <w:pPr>
        <w:pStyle w:val="EndnoteText"/>
        <w:rPr>
          <w:lang w:val="en-US"/>
        </w:rPr>
      </w:pPr>
      <w:r w:rsidRPr="0097295E">
        <w:rPr>
          <w:rStyle w:val="EndnoteReference"/>
          <w:sz w:val="20"/>
          <w:szCs w:val="20"/>
        </w:rPr>
        <w:endnoteRef/>
      </w:r>
      <w:r w:rsidRPr="0097295E">
        <w:rPr>
          <w:sz w:val="20"/>
          <w:szCs w:val="20"/>
        </w:rPr>
        <w:t xml:space="preserve"> Over three decades ago, Daniel Fox, wrote a fascinating article on the natural tension between history and health policy. Although he had to that point enjoyed distinguished careers as both a public administrator and academic historian, he had refused to speak out on how the knowledge and skills he gained in both domains support each other for fear that he would be ‘labelled a </w:t>
      </w:r>
      <w:proofErr w:type="spellStart"/>
      <w:r w:rsidRPr="0097295E">
        <w:rPr>
          <w:sz w:val="20"/>
          <w:szCs w:val="20"/>
        </w:rPr>
        <w:t>presentist</w:t>
      </w:r>
      <w:proofErr w:type="spellEnd"/>
      <w:r w:rsidRPr="0097295E">
        <w:rPr>
          <w:sz w:val="20"/>
          <w:szCs w:val="20"/>
        </w:rPr>
        <w:t xml:space="preserve"> by historians and a fool’ by policy practitioners (Fox 1985, p. 349).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D7E4E" w14:textId="77777777" w:rsidR="0065015B" w:rsidRDefault="0065015B" w:rsidP="001E207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B3569F" w14:textId="77777777" w:rsidR="0065015B" w:rsidRDefault="00650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A4BCD" w14:textId="77777777" w:rsidR="0065015B" w:rsidRDefault="0065015B" w:rsidP="001E207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7B8C">
      <w:rPr>
        <w:rStyle w:val="PageNumber"/>
        <w:noProof/>
      </w:rPr>
      <w:t>20</w:t>
    </w:r>
    <w:r>
      <w:rPr>
        <w:rStyle w:val="PageNumber"/>
      </w:rPr>
      <w:fldChar w:fldCharType="end"/>
    </w:r>
  </w:p>
  <w:p w14:paraId="350AE5EB" w14:textId="77777777" w:rsidR="0065015B" w:rsidRDefault="00650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C3644" w14:textId="77777777" w:rsidR="00D45796" w:rsidRDefault="00D45796" w:rsidP="004F1D84">
      <w:r>
        <w:separator/>
      </w:r>
    </w:p>
  </w:footnote>
  <w:footnote w:type="continuationSeparator" w:id="0">
    <w:p w14:paraId="16987A62" w14:textId="77777777" w:rsidR="00D45796" w:rsidRDefault="00D45796" w:rsidP="004F1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73F71"/>
    <w:multiLevelType w:val="hybridMultilevel"/>
    <w:tmpl w:val="0546D0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1B6325"/>
    <w:multiLevelType w:val="hybridMultilevel"/>
    <w:tmpl w:val="B722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AA"/>
    <w:rsid w:val="00014EB1"/>
    <w:rsid w:val="00021C39"/>
    <w:rsid w:val="000243B1"/>
    <w:rsid w:val="0004338A"/>
    <w:rsid w:val="00045037"/>
    <w:rsid w:val="00046487"/>
    <w:rsid w:val="00064FD8"/>
    <w:rsid w:val="00070D16"/>
    <w:rsid w:val="000852AE"/>
    <w:rsid w:val="00090DA2"/>
    <w:rsid w:val="0009237A"/>
    <w:rsid w:val="00094A33"/>
    <w:rsid w:val="00095286"/>
    <w:rsid w:val="00095D26"/>
    <w:rsid w:val="00095FCF"/>
    <w:rsid w:val="000A1522"/>
    <w:rsid w:val="000A6049"/>
    <w:rsid w:val="000B002E"/>
    <w:rsid w:val="000C5C58"/>
    <w:rsid w:val="000D420D"/>
    <w:rsid w:val="000D6537"/>
    <w:rsid w:val="000E0689"/>
    <w:rsid w:val="000E426F"/>
    <w:rsid w:val="000E57A0"/>
    <w:rsid w:val="000F70B6"/>
    <w:rsid w:val="00104335"/>
    <w:rsid w:val="001167BE"/>
    <w:rsid w:val="0014727C"/>
    <w:rsid w:val="0016209A"/>
    <w:rsid w:val="00163A39"/>
    <w:rsid w:val="00165CFC"/>
    <w:rsid w:val="001733CA"/>
    <w:rsid w:val="00175A51"/>
    <w:rsid w:val="001A0481"/>
    <w:rsid w:val="001A5ADD"/>
    <w:rsid w:val="001A7FE7"/>
    <w:rsid w:val="001B0CB1"/>
    <w:rsid w:val="001B1AF5"/>
    <w:rsid w:val="001B35D9"/>
    <w:rsid w:val="001B6B08"/>
    <w:rsid w:val="001C60AA"/>
    <w:rsid w:val="001D0C0C"/>
    <w:rsid w:val="001D4B18"/>
    <w:rsid w:val="001D617B"/>
    <w:rsid w:val="001D6799"/>
    <w:rsid w:val="001E2074"/>
    <w:rsid w:val="00214FE9"/>
    <w:rsid w:val="00223063"/>
    <w:rsid w:val="00223D31"/>
    <w:rsid w:val="00231ABD"/>
    <w:rsid w:val="00233400"/>
    <w:rsid w:val="00243A5D"/>
    <w:rsid w:val="00256CBE"/>
    <w:rsid w:val="002614FC"/>
    <w:rsid w:val="00266FD1"/>
    <w:rsid w:val="002810C2"/>
    <w:rsid w:val="002A36C9"/>
    <w:rsid w:val="002A3795"/>
    <w:rsid w:val="002A47C9"/>
    <w:rsid w:val="002B0A04"/>
    <w:rsid w:val="002D56E9"/>
    <w:rsid w:val="00302E97"/>
    <w:rsid w:val="00317D36"/>
    <w:rsid w:val="00335A63"/>
    <w:rsid w:val="003423E2"/>
    <w:rsid w:val="003504DD"/>
    <w:rsid w:val="003670AA"/>
    <w:rsid w:val="003825FD"/>
    <w:rsid w:val="00382C3C"/>
    <w:rsid w:val="00384FD8"/>
    <w:rsid w:val="00395B3D"/>
    <w:rsid w:val="003A7669"/>
    <w:rsid w:val="003B22B0"/>
    <w:rsid w:val="003D15B2"/>
    <w:rsid w:val="003D3B1F"/>
    <w:rsid w:val="00415F17"/>
    <w:rsid w:val="00433EB9"/>
    <w:rsid w:val="00444AE8"/>
    <w:rsid w:val="00446981"/>
    <w:rsid w:val="0049528A"/>
    <w:rsid w:val="00496B50"/>
    <w:rsid w:val="004A1870"/>
    <w:rsid w:val="004B39EA"/>
    <w:rsid w:val="004C6B55"/>
    <w:rsid w:val="004C7EF0"/>
    <w:rsid w:val="004D52A6"/>
    <w:rsid w:val="004E3D62"/>
    <w:rsid w:val="004F1D84"/>
    <w:rsid w:val="0050459A"/>
    <w:rsid w:val="0050576F"/>
    <w:rsid w:val="00556EC3"/>
    <w:rsid w:val="005607DB"/>
    <w:rsid w:val="00596831"/>
    <w:rsid w:val="005A334C"/>
    <w:rsid w:val="005E3248"/>
    <w:rsid w:val="005E637E"/>
    <w:rsid w:val="00606322"/>
    <w:rsid w:val="0061351F"/>
    <w:rsid w:val="00624300"/>
    <w:rsid w:val="00624478"/>
    <w:rsid w:val="006273DC"/>
    <w:rsid w:val="00642920"/>
    <w:rsid w:val="0065015B"/>
    <w:rsid w:val="006660BE"/>
    <w:rsid w:val="006764A3"/>
    <w:rsid w:val="0069113E"/>
    <w:rsid w:val="006D2AF7"/>
    <w:rsid w:val="006D4B96"/>
    <w:rsid w:val="006D7CEC"/>
    <w:rsid w:val="00711183"/>
    <w:rsid w:val="00724877"/>
    <w:rsid w:val="007266B1"/>
    <w:rsid w:val="00730B80"/>
    <w:rsid w:val="00757DB2"/>
    <w:rsid w:val="00782F23"/>
    <w:rsid w:val="007A5140"/>
    <w:rsid w:val="007A593E"/>
    <w:rsid w:val="007C2E0B"/>
    <w:rsid w:val="007D2AD4"/>
    <w:rsid w:val="007D7852"/>
    <w:rsid w:val="007F506D"/>
    <w:rsid w:val="00815EDA"/>
    <w:rsid w:val="00822F1C"/>
    <w:rsid w:val="0082535D"/>
    <w:rsid w:val="0083540D"/>
    <w:rsid w:val="008500DB"/>
    <w:rsid w:val="00854E82"/>
    <w:rsid w:val="0085702D"/>
    <w:rsid w:val="00876D70"/>
    <w:rsid w:val="00895209"/>
    <w:rsid w:val="008B08A6"/>
    <w:rsid w:val="008B4089"/>
    <w:rsid w:val="008B74E8"/>
    <w:rsid w:val="008B7B8C"/>
    <w:rsid w:val="008D1B1D"/>
    <w:rsid w:val="008D40D0"/>
    <w:rsid w:val="008F3087"/>
    <w:rsid w:val="008F5198"/>
    <w:rsid w:val="009024E3"/>
    <w:rsid w:val="0090686E"/>
    <w:rsid w:val="009158DC"/>
    <w:rsid w:val="00963DA4"/>
    <w:rsid w:val="0097295E"/>
    <w:rsid w:val="0097317B"/>
    <w:rsid w:val="00975F27"/>
    <w:rsid w:val="00990E53"/>
    <w:rsid w:val="009E11F6"/>
    <w:rsid w:val="00A00210"/>
    <w:rsid w:val="00A032C4"/>
    <w:rsid w:val="00A10EBB"/>
    <w:rsid w:val="00A24BEC"/>
    <w:rsid w:val="00A552C1"/>
    <w:rsid w:val="00A72366"/>
    <w:rsid w:val="00A80B2C"/>
    <w:rsid w:val="00A85493"/>
    <w:rsid w:val="00AB3CC6"/>
    <w:rsid w:val="00AD649B"/>
    <w:rsid w:val="00AE1AF9"/>
    <w:rsid w:val="00AE21AD"/>
    <w:rsid w:val="00AF5C47"/>
    <w:rsid w:val="00B02994"/>
    <w:rsid w:val="00B259C7"/>
    <w:rsid w:val="00B278C8"/>
    <w:rsid w:val="00B3157C"/>
    <w:rsid w:val="00B6049A"/>
    <w:rsid w:val="00B6796B"/>
    <w:rsid w:val="00B704F6"/>
    <w:rsid w:val="00B70FFB"/>
    <w:rsid w:val="00B72485"/>
    <w:rsid w:val="00B87B5F"/>
    <w:rsid w:val="00BA222F"/>
    <w:rsid w:val="00BD57E0"/>
    <w:rsid w:val="00BE06D8"/>
    <w:rsid w:val="00BF3BF4"/>
    <w:rsid w:val="00C0184D"/>
    <w:rsid w:val="00C254A5"/>
    <w:rsid w:val="00C3178D"/>
    <w:rsid w:val="00C43232"/>
    <w:rsid w:val="00C52FF4"/>
    <w:rsid w:val="00C57930"/>
    <w:rsid w:val="00C65803"/>
    <w:rsid w:val="00C70BA4"/>
    <w:rsid w:val="00C80A7D"/>
    <w:rsid w:val="00C83AFE"/>
    <w:rsid w:val="00CA606C"/>
    <w:rsid w:val="00CC0E3A"/>
    <w:rsid w:val="00CD759B"/>
    <w:rsid w:val="00CE4C68"/>
    <w:rsid w:val="00D32192"/>
    <w:rsid w:val="00D41358"/>
    <w:rsid w:val="00D45796"/>
    <w:rsid w:val="00D554F1"/>
    <w:rsid w:val="00D61223"/>
    <w:rsid w:val="00D93511"/>
    <w:rsid w:val="00DC5F61"/>
    <w:rsid w:val="00DD3A2B"/>
    <w:rsid w:val="00DD4264"/>
    <w:rsid w:val="00DE3601"/>
    <w:rsid w:val="00DE5457"/>
    <w:rsid w:val="00E06E43"/>
    <w:rsid w:val="00E5602D"/>
    <w:rsid w:val="00E65E50"/>
    <w:rsid w:val="00E90B4E"/>
    <w:rsid w:val="00E97FFE"/>
    <w:rsid w:val="00EC057A"/>
    <w:rsid w:val="00ED2DE9"/>
    <w:rsid w:val="00EE10DB"/>
    <w:rsid w:val="00EF76B2"/>
    <w:rsid w:val="00F1724B"/>
    <w:rsid w:val="00F24B93"/>
    <w:rsid w:val="00F75B3B"/>
    <w:rsid w:val="00F826DB"/>
    <w:rsid w:val="00FB459B"/>
    <w:rsid w:val="00FB7012"/>
    <w:rsid w:val="00FB7C1E"/>
    <w:rsid w:val="00FC2E8C"/>
    <w:rsid w:val="00FC7405"/>
    <w:rsid w:val="00FD42A5"/>
    <w:rsid w:val="00FF41A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C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B3B"/>
    <w:rPr>
      <w:color w:val="0000FF" w:themeColor="hyperlink"/>
      <w:u w:val="single"/>
    </w:rPr>
  </w:style>
  <w:style w:type="paragraph" w:styleId="Footer">
    <w:name w:val="footer"/>
    <w:basedOn w:val="Normal"/>
    <w:link w:val="FooterChar"/>
    <w:uiPriority w:val="99"/>
    <w:unhideWhenUsed/>
    <w:rsid w:val="004F1D84"/>
    <w:pPr>
      <w:tabs>
        <w:tab w:val="center" w:pos="4680"/>
        <w:tab w:val="right" w:pos="9360"/>
      </w:tabs>
    </w:pPr>
  </w:style>
  <w:style w:type="character" w:customStyle="1" w:styleId="FooterChar">
    <w:name w:val="Footer Char"/>
    <w:basedOn w:val="DefaultParagraphFont"/>
    <w:link w:val="Footer"/>
    <w:uiPriority w:val="99"/>
    <w:rsid w:val="004F1D84"/>
  </w:style>
  <w:style w:type="character" w:styleId="PageNumber">
    <w:name w:val="page number"/>
    <w:basedOn w:val="DefaultParagraphFont"/>
    <w:uiPriority w:val="99"/>
    <w:semiHidden/>
    <w:unhideWhenUsed/>
    <w:rsid w:val="004F1D84"/>
  </w:style>
  <w:style w:type="paragraph" w:styleId="ListParagraph">
    <w:name w:val="List Paragraph"/>
    <w:basedOn w:val="Normal"/>
    <w:uiPriority w:val="34"/>
    <w:qFormat/>
    <w:rsid w:val="003D3B1F"/>
    <w:pPr>
      <w:ind w:left="720"/>
      <w:contextualSpacing/>
    </w:pPr>
  </w:style>
  <w:style w:type="paragraph" w:styleId="EndnoteText">
    <w:name w:val="endnote text"/>
    <w:basedOn w:val="Normal"/>
    <w:link w:val="EndnoteTextChar"/>
    <w:uiPriority w:val="99"/>
    <w:unhideWhenUsed/>
    <w:rsid w:val="00E5602D"/>
  </w:style>
  <w:style w:type="character" w:customStyle="1" w:styleId="EndnoteTextChar">
    <w:name w:val="Endnote Text Char"/>
    <w:basedOn w:val="DefaultParagraphFont"/>
    <w:link w:val="EndnoteText"/>
    <w:uiPriority w:val="99"/>
    <w:rsid w:val="00E5602D"/>
  </w:style>
  <w:style w:type="character" w:styleId="EndnoteReference">
    <w:name w:val="endnote reference"/>
    <w:basedOn w:val="DefaultParagraphFont"/>
    <w:uiPriority w:val="99"/>
    <w:unhideWhenUsed/>
    <w:rsid w:val="00E5602D"/>
    <w:rPr>
      <w:vertAlign w:val="superscript"/>
    </w:rPr>
  </w:style>
  <w:style w:type="character" w:styleId="CommentReference">
    <w:name w:val="annotation reference"/>
    <w:basedOn w:val="DefaultParagraphFont"/>
    <w:uiPriority w:val="99"/>
    <w:semiHidden/>
    <w:unhideWhenUsed/>
    <w:rsid w:val="005E637E"/>
    <w:rPr>
      <w:sz w:val="16"/>
      <w:szCs w:val="16"/>
    </w:rPr>
  </w:style>
  <w:style w:type="paragraph" w:styleId="CommentText">
    <w:name w:val="annotation text"/>
    <w:basedOn w:val="Normal"/>
    <w:link w:val="CommentTextChar"/>
    <w:uiPriority w:val="99"/>
    <w:semiHidden/>
    <w:unhideWhenUsed/>
    <w:rsid w:val="005E637E"/>
    <w:rPr>
      <w:sz w:val="20"/>
      <w:szCs w:val="20"/>
    </w:rPr>
  </w:style>
  <w:style w:type="character" w:customStyle="1" w:styleId="CommentTextChar">
    <w:name w:val="Comment Text Char"/>
    <w:basedOn w:val="DefaultParagraphFont"/>
    <w:link w:val="CommentText"/>
    <w:uiPriority w:val="99"/>
    <w:semiHidden/>
    <w:rsid w:val="005E637E"/>
    <w:rPr>
      <w:sz w:val="20"/>
      <w:szCs w:val="20"/>
    </w:rPr>
  </w:style>
  <w:style w:type="paragraph" w:styleId="CommentSubject">
    <w:name w:val="annotation subject"/>
    <w:basedOn w:val="CommentText"/>
    <w:next w:val="CommentText"/>
    <w:link w:val="CommentSubjectChar"/>
    <w:uiPriority w:val="99"/>
    <w:semiHidden/>
    <w:unhideWhenUsed/>
    <w:rsid w:val="005E637E"/>
    <w:rPr>
      <w:b/>
      <w:bCs/>
    </w:rPr>
  </w:style>
  <w:style w:type="character" w:customStyle="1" w:styleId="CommentSubjectChar">
    <w:name w:val="Comment Subject Char"/>
    <w:basedOn w:val="CommentTextChar"/>
    <w:link w:val="CommentSubject"/>
    <w:uiPriority w:val="99"/>
    <w:semiHidden/>
    <w:rsid w:val="005E637E"/>
    <w:rPr>
      <w:b/>
      <w:bCs/>
      <w:sz w:val="20"/>
      <w:szCs w:val="20"/>
    </w:rPr>
  </w:style>
  <w:style w:type="paragraph" w:styleId="BalloonText">
    <w:name w:val="Balloon Text"/>
    <w:basedOn w:val="Normal"/>
    <w:link w:val="BalloonTextChar"/>
    <w:uiPriority w:val="99"/>
    <w:semiHidden/>
    <w:unhideWhenUsed/>
    <w:rsid w:val="005E637E"/>
    <w:rPr>
      <w:rFonts w:ascii="Tahoma" w:hAnsi="Tahoma" w:cs="Tahoma"/>
      <w:sz w:val="16"/>
      <w:szCs w:val="16"/>
    </w:rPr>
  </w:style>
  <w:style w:type="character" w:customStyle="1" w:styleId="BalloonTextChar">
    <w:name w:val="Balloon Text Char"/>
    <w:basedOn w:val="DefaultParagraphFont"/>
    <w:link w:val="BalloonText"/>
    <w:uiPriority w:val="99"/>
    <w:semiHidden/>
    <w:rsid w:val="005E637E"/>
    <w:rPr>
      <w:rFonts w:ascii="Tahoma" w:hAnsi="Tahoma" w:cs="Tahoma"/>
      <w:sz w:val="16"/>
      <w:szCs w:val="16"/>
    </w:rPr>
  </w:style>
  <w:style w:type="paragraph" w:customStyle="1" w:styleId="Font11">
    <w:name w:val="Font 11"/>
    <w:basedOn w:val="Normal"/>
    <w:autoRedefine/>
    <w:qFormat/>
    <w:rsid w:val="008B7B8C"/>
    <w:rPr>
      <w:rFonts w:ascii="Times New Roman" w:eastAsia="Calibri" w:hAnsi="Times New Roman" w:cs="Times New Roman"/>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B3B"/>
    <w:rPr>
      <w:color w:val="0000FF" w:themeColor="hyperlink"/>
      <w:u w:val="single"/>
    </w:rPr>
  </w:style>
  <w:style w:type="paragraph" w:styleId="Footer">
    <w:name w:val="footer"/>
    <w:basedOn w:val="Normal"/>
    <w:link w:val="FooterChar"/>
    <w:uiPriority w:val="99"/>
    <w:unhideWhenUsed/>
    <w:rsid w:val="004F1D84"/>
    <w:pPr>
      <w:tabs>
        <w:tab w:val="center" w:pos="4680"/>
        <w:tab w:val="right" w:pos="9360"/>
      </w:tabs>
    </w:pPr>
  </w:style>
  <w:style w:type="character" w:customStyle="1" w:styleId="FooterChar">
    <w:name w:val="Footer Char"/>
    <w:basedOn w:val="DefaultParagraphFont"/>
    <w:link w:val="Footer"/>
    <w:uiPriority w:val="99"/>
    <w:rsid w:val="004F1D84"/>
  </w:style>
  <w:style w:type="character" w:styleId="PageNumber">
    <w:name w:val="page number"/>
    <w:basedOn w:val="DefaultParagraphFont"/>
    <w:uiPriority w:val="99"/>
    <w:semiHidden/>
    <w:unhideWhenUsed/>
    <w:rsid w:val="004F1D84"/>
  </w:style>
  <w:style w:type="paragraph" w:styleId="ListParagraph">
    <w:name w:val="List Paragraph"/>
    <w:basedOn w:val="Normal"/>
    <w:uiPriority w:val="34"/>
    <w:qFormat/>
    <w:rsid w:val="003D3B1F"/>
    <w:pPr>
      <w:ind w:left="720"/>
      <w:contextualSpacing/>
    </w:pPr>
  </w:style>
  <w:style w:type="paragraph" w:styleId="EndnoteText">
    <w:name w:val="endnote text"/>
    <w:basedOn w:val="Normal"/>
    <w:link w:val="EndnoteTextChar"/>
    <w:uiPriority w:val="99"/>
    <w:unhideWhenUsed/>
    <w:rsid w:val="00E5602D"/>
  </w:style>
  <w:style w:type="character" w:customStyle="1" w:styleId="EndnoteTextChar">
    <w:name w:val="Endnote Text Char"/>
    <w:basedOn w:val="DefaultParagraphFont"/>
    <w:link w:val="EndnoteText"/>
    <w:uiPriority w:val="99"/>
    <w:rsid w:val="00E5602D"/>
  </w:style>
  <w:style w:type="character" w:styleId="EndnoteReference">
    <w:name w:val="endnote reference"/>
    <w:basedOn w:val="DefaultParagraphFont"/>
    <w:uiPriority w:val="99"/>
    <w:unhideWhenUsed/>
    <w:rsid w:val="00E5602D"/>
    <w:rPr>
      <w:vertAlign w:val="superscript"/>
    </w:rPr>
  </w:style>
  <w:style w:type="character" w:styleId="CommentReference">
    <w:name w:val="annotation reference"/>
    <w:basedOn w:val="DefaultParagraphFont"/>
    <w:uiPriority w:val="99"/>
    <w:semiHidden/>
    <w:unhideWhenUsed/>
    <w:rsid w:val="005E637E"/>
    <w:rPr>
      <w:sz w:val="16"/>
      <w:szCs w:val="16"/>
    </w:rPr>
  </w:style>
  <w:style w:type="paragraph" w:styleId="CommentText">
    <w:name w:val="annotation text"/>
    <w:basedOn w:val="Normal"/>
    <w:link w:val="CommentTextChar"/>
    <w:uiPriority w:val="99"/>
    <w:semiHidden/>
    <w:unhideWhenUsed/>
    <w:rsid w:val="005E637E"/>
    <w:rPr>
      <w:sz w:val="20"/>
      <w:szCs w:val="20"/>
    </w:rPr>
  </w:style>
  <w:style w:type="character" w:customStyle="1" w:styleId="CommentTextChar">
    <w:name w:val="Comment Text Char"/>
    <w:basedOn w:val="DefaultParagraphFont"/>
    <w:link w:val="CommentText"/>
    <w:uiPriority w:val="99"/>
    <w:semiHidden/>
    <w:rsid w:val="005E637E"/>
    <w:rPr>
      <w:sz w:val="20"/>
      <w:szCs w:val="20"/>
    </w:rPr>
  </w:style>
  <w:style w:type="paragraph" w:styleId="CommentSubject">
    <w:name w:val="annotation subject"/>
    <w:basedOn w:val="CommentText"/>
    <w:next w:val="CommentText"/>
    <w:link w:val="CommentSubjectChar"/>
    <w:uiPriority w:val="99"/>
    <w:semiHidden/>
    <w:unhideWhenUsed/>
    <w:rsid w:val="005E637E"/>
    <w:rPr>
      <w:b/>
      <w:bCs/>
    </w:rPr>
  </w:style>
  <w:style w:type="character" w:customStyle="1" w:styleId="CommentSubjectChar">
    <w:name w:val="Comment Subject Char"/>
    <w:basedOn w:val="CommentTextChar"/>
    <w:link w:val="CommentSubject"/>
    <w:uiPriority w:val="99"/>
    <w:semiHidden/>
    <w:rsid w:val="005E637E"/>
    <w:rPr>
      <w:b/>
      <w:bCs/>
      <w:sz w:val="20"/>
      <w:szCs w:val="20"/>
    </w:rPr>
  </w:style>
  <w:style w:type="paragraph" w:styleId="BalloonText">
    <w:name w:val="Balloon Text"/>
    <w:basedOn w:val="Normal"/>
    <w:link w:val="BalloonTextChar"/>
    <w:uiPriority w:val="99"/>
    <w:semiHidden/>
    <w:unhideWhenUsed/>
    <w:rsid w:val="005E637E"/>
    <w:rPr>
      <w:rFonts w:ascii="Tahoma" w:hAnsi="Tahoma" w:cs="Tahoma"/>
      <w:sz w:val="16"/>
      <w:szCs w:val="16"/>
    </w:rPr>
  </w:style>
  <w:style w:type="character" w:customStyle="1" w:styleId="BalloonTextChar">
    <w:name w:val="Balloon Text Char"/>
    <w:basedOn w:val="DefaultParagraphFont"/>
    <w:link w:val="BalloonText"/>
    <w:uiPriority w:val="99"/>
    <w:semiHidden/>
    <w:rsid w:val="005E637E"/>
    <w:rPr>
      <w:rFonts w:ascii="Tahoma" w:hAnsi="Tahoma" w:cs="Tahoma"/>
      <w:sz w:val="16"/>
      <w:szCs w:val="16"/>
    </w:rPr>
  </w:style>
  <w:style w:type="paragraph" w:customStyle="1" w:styleId="Font11">
    <w:name w:val="Font 11"/>
    <w:basedOn w:val="Normal"/>
    <w:autoRedefine/>
    <w:qFormat/>
    <w:rsid w:val="008B7B8C"/>
    <w:rPr>
      <w:rFonts w:ascii="Times New Roman" w:eastAsia="Calibri" w:hAnsi="Times New Roman" w:cs="Times New Roman"/>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andpolicy.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istorians.org/publications-and-directories/perspectives-on-history/may-2002/against-presen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5453</Words>
  <Characters>31087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IHPME, University of Toronto</Company>
  <LinksUpToDate>false</LinksUpToDate>
  <CharactersWithSpaces>36468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Marchildon</dc:creator>
  <cp:lastModifiedBy>Joann </cp:lastModifiedBy>
  <cp:revision>2</cp:revision>
  <cp:lastPrinted>2017-03-20T15:21:00Z</cp:lastPrinted>
  <dcterms:created xsi:type="dcterms:W3CDTF">2017-08-02T21:16:00Z</dcterms:created>
  <dcterms:modified xsi:type="dcterms:W3CDTF">2017-08-02T21:16:00Z</dcterms:modified>
</cp:coreProperties>
</file>