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8E7B" w14:textId="77777777" w:rsidR="00203BBE" w:rsidRPr="00847D21" w:rsidRDefault="0084349C" w:rsidP="00961C4E">
      <w:pPr>
        <w:spacing w:line="480" w:lineRule="auto"/>
        <w:jc w:val="center"/>
      </w:pPr>
      <w:r w:rsidRPr="00847D21">
        <w:t>Bitter Pills</w:t>
      </w:r>
      <w:r w:rsidR="00203BBE" w:rsidRPr="00847D21">
        <w:t>:</w:t>
      </w:r>
    </w:p>
    <w:p w14:paraId="383FEDA9" w14:textId="77777777" w:rsidR="00B1387B" w:rsidRPr="00847D21" w:rsidRDefault="00FF0903" w:rsidP="00C40059">
      <w:pPr>
        <w:spacing w:line="480" w:lineRule="auto"/>
        <w:jc w:val="center"/>
      </w:pPr>
      <w:r w:rsidRPr="00847D21">
        <w:t xml:space="preserve">The Impact of Medicare on </w:t>
      </w:r>
      <w:r w:rsidR="00B027BA">
        <w:t>Mental Health</w:t>
      </w:r>
    </w:p>
    <w:p w14:paraId="078D323B" w14:textId="185EB3B9" w:rsidR="00B1387B" w:rsidRPr="00847D21" w:rsidRDefault="00550DDF" w:rsidP="00550DDF">
      <w:pPr>
        <w:pStyle w:val="Font11"/>
      </w:pPr>
      <w:r w:rsidRPr="00783F56">
        <w:t>Erika Dyck</w:t>
      </w:r>
      <w:r>
        <w:t xml:space="preserve">, </w:t>
      </w:r>
      <w:r w:rsidRPr="00783F56">
        <w:t>Professor, Department of History, University of Saskatchewan and Canada Research</w:t>
      </w:r>
      <w:r>
        <w:t xml:space="preserve">, </w:t>
      </w:r>
      <w:r w:rsidRPr="00783F56">
        <w:t>Chair in the History of Medicine</w:t>
      </w:r>
    </w:p>
    <w:p w14:paraId="04219076" w14:textId="77777777" w:rsidR="00550DDF" w:rsidRDefault="00550DDF" w:rsidP="00B5397A">
      <w:pPr>
        <w:spacing w:line="480" w:lineRule="auto"/>
      </w:pPr>
      <w:bookmarkStart w:id="0" w:name="_GoBack"/>
      <w:bookmarkEnd w:id="0"/>
    </w:p>
    <w:p w14:paraId="4ECCC000" w14:textId="77777777" w:rsidR="00B1387B" w:rsidRPr="00B5397A" w:rsidRDefault="003A2C7D" w:rsidP="00B5397A">
      <w:pPr>
        <w:spacing w:line="480" w:lineRule="auto"/>
      </w:pPr>
      <w:r w:rsidRPr="00847D21">
        <w:t>Abstract</w:t>
      </w:r>
    </w:p>
    <w:p w14:paraId="1FEE8D2E" w14:textId="77777777" w:rsidR="002E45C9" w:rsidRDefault="00B027BA" w:rsidP="00B5397A">
      <w:pPr>
        <w:rPr>
          <w:rFonts w:cs="Times New Roman"/>
        </w:rPr>
      </w:pPr>
      <w:r w:rsidRPr="00847D21">
        <w:rPr>
          <w:rFonts w:cs="Times New Roman"/>
        </w:rPr>
        <w:t xml:space="preserve">Medicare shifted the emphasis for mental health care into out-patient psychiatric wings connected to general hospitals and away from large custodial facilities that had been at the centre of the mental health system for decades. </w:t>
      </w:r>
      <w:r w:rsidR="002E45C9">
        <w:rPr>
          <w:rFonts w:cs="Times New Roman"/>
        </w:rPr>
        <w:t>The shift to care in the community expanded the patient population, and arguably improved mental health care for many individuals who could now seek a variety of out-patient services rather than succumb to long-stay institutionalization.  However, this shift also introduced new challenges as patients were increasingly expected to take responsibility for their own healthcare plans, whether that involved doctors’ appointments, drug regimens, or the need to find sheltered employment, safe housing, and a social support network.  Analysing first-hand experiences suggests that despite the need for clinical care at times, the major challenges to independence are political and economic. In this paper I examine some of these tradeoffs and consider some of the historical lessons for continued discussions on public policy in the mental health care arena.</w:t>
      </w:r>
    </w:p>
    <w:p w14:paraId="1DAAD4A3" w14:textId="77777777" w:rsidR="002E45C9" w:rsidRDefault="002E45C9" w:rsidP="002E45C9">
      <w:pPr>
        <w:rPr>
          <w:rFonts w:cs="Times New Roman"/>
        </w:rPr>
      </w:pPr>
    </w:p>
    <w:p w14:paraId="3DAC2A29" w14:textId="77777777" w:rsidR="00FA5E84" w:rsidRDefault="00FA5E84" w:rsidP="00FA5E84">
      <w:pPr>
        <w:ind w:firstLine="720"/>
        <w:rPr>
          <w:rFonts w:cs="Times New Roman"/>
        </w:rPr>
      </w:pPr>
    </w:p>
    <w:p w14:paraId="10DA4289" w14:textId="77777777" w:rsidR="00FA5E84" w:rsidRPr="00847D21" w:rsidRDefault="00FA5E84" w:rsidP="00FA5E84">
      <w:pPr>
        <w:ind w:firstLine="720"/>
        <w:rPr>
          <w:rFonts w:cs="Times New Roman"/>
        </w:rPr>
      </w:pPr>
    </w:p>
    <w:p w14:paraId="20373ADE" w14:textId="77777777" w:rsidR="00B1387B" w:rsidRPr="00847D21" w:rsidRDefault="003A2C7D" w:rsidP="00961C4E">
      <w:pPr>
        <w:widowControl w:val="0"/>
        <w:autoSpaceDE w:val="0"/>
        <w:autoSpaceDN w:val="0"/>
        <w:adjustRightInd w:val="0"/>
        <w:spacing w:line="480" w:lineRule="auto"/>
        <w:rPr>
          <w:rFonts w:cs="Times New Roman"/>
        </w:rPr>
      </w:pPr>
      <w:r w:rsidRPr="00847D21">
        <w:rPr>
          <w:rFonts w:cs="Times New Roman"/>
        </w:rPr>
        <w:t>Keywords:</w:t>
      </w:r>
      <w:r w:rsidR="00C206CD" w:rsidRPr="00847D21">
        <w:rPr>
          <w:rFonts w:cs="Times New Roman"/>
        </w:rPr>
        <w:t xml:space="preserve">  Mental Health Care, Medicare, Canada, Deinstitutionalization, </w:t>
      </w:r>
      <w:r w:rsidR="002E45C9">
        <w:rPr>
          <w:rFonts w:cs="Times New Roman"/>
        </w:rPr>
        <w:t>poverty, care in the community</w:t>
      </w:r>
    </w:p>
    <w:p w14:paraId="01DA19DD" w14:textId="77777777" w:rsidR="00174E7F" w:rsidRPr="00847D21" w:rsidRDefault="00174E7F" w:rsidP="00961C4E">
      <w:pPr>
        <w:widowControl w:val="0"/>
        <w:autoSpaceDE w:val="0"/>
        <w:autoSpaceDN w:val="0"/>
        <w:adjustRightInd w:val="0"/>
        <w:spacing w:line="480" w:lineRule="auto"/>
        <w:rPr>
          <w:rFonts w:cs="Times New Roman"/>
        </w:rPr>
      </w:pPr>
    </w:p>
    <w:p w14:paraId="271EE424" w14:textId="77777777" w:rsidR="00055B20" w:rsidRDefault="00174E7F" w:rsidP="00055B20">
      <w:pPr>
        <w:widowControl w:val="0"/>
        <w:autoSpaceDE w:val="0"/>
        <w:autoSpaceDN w:val="0"/>
        <w:adjustRightInd w:val="0"/>
        <w:spacing w:line="480" w:lineRule="auto"/>
        <w:rPr>
          <w:rFonts w:cs="Times New Roman"/>
        </w:rPr>
      </w:pPr>
      <w:r w:rsidRPr="00847D21">
        <w:rPr>
          <w:rFonts w:cs="Times New Roman"/>
        </w:rPr>
        <w:t>In December 2016 Canadian premiers walked away from a deal that promised to invest $25 billion federal dollars in provincial health care budgets, with targeted spending on mental health care and home care</w:t>
      </w:r>
      <w:r w:rsidR="00DC561E">
        <w:rPr>
          <w:rFonts w:cs="Times New Roman"/>
        </w:rPr>
        <w:t xml:space="preserve"> (Bryden, 2016)</w:t>
      </w:r>
      <w:r w:rsidRPr="00847D21">
        <w:rPr>
          <w:rFonts w:cs="Times New Roman"/>
        </w:rPr>
        <w:t>. News reports indicated that the provinces rejected the offer because they resented the federal government’s imposition in their jurisdicti</w:t>
      </w:r>
      <w:r w:rsidR="00B21456" w:rsidRPr="00847D21">
        <w:rPr>
          <w:rFonts w:cs="Times New Roman"/>
        </w:rPr>
        <w:t>on.  In spite of this historic</w:t>
      </w:r>
      <w:r w:rsidRPr="00847D21">
        <w:rPr>
          <w:rFonts w:cs="Times New Roman"/>
        </w:rPr>
        <w:t xml:space="preserve"> conflict over </w:t>
      </w:r>
      <w:r w:rsidR="00B21456" w:rsidRPr="00847D21">
        <w:rPr>
          <w:rFonts w:cs="Times New Roman"/>
        </w:rPr>
        <w:t xml:space="preserve">jurisdictional rights concerning </w:t>
      </w:r>
      <w:r w:rsidRPr="00847D21">
        <w:rPr>
          <w:rFonts w:cs="Times New Roman"/>
        </w:rPr>
        <w:t xml:space="preserve">health care spending and program delivery, the Mental Health Commission of Canada maintains that </w:t>
      </w:r>
      <w:r w:rsidR="00B21456" w:rsidRPr="00847D21">
        <w:rPr>
          <w:rFonts w:cs="Times New Roman"/>
        </w:rPr>
        <w:t xml:space="preserve">mental health care is sorely </w:t>
      </w:r>
      <w:r w:rsidR="00B21456" w:rsidRPr="00847D21">
        <w:rPr>
          <w:rFonts w:cs="Times New Roman"/>
        </w:rPr>
        <w:lastRenderedPageBreak/>
        <w:t>underfunded nation wide, resulting in annual losses of $50 billion in productivity</w:t>
      </w:r>
      <w:r w:rsidR="00DC561E">
        <w:rPr>
          <w:rFonts w:cs="Times New Roman"/>
        </w:rPr>
        <w:t xml:space="preserve"> (Bryden, 2016)</w:t>
      </w:r>
      <w:r w:rsidR="00B21456" w:rsidRPr="00847D21">
        <w:rPr>
          <w:rFonts w:cs="Times New Roman"/>
        </w:rPr>
        <w:t xml:space="preserve">. </w:t>
      </w:r>
      <w:r w:rsidR="001720DB" w:rsidRPr="00847D21">
        <w:rPr>
          <w:rFonts w:cs="Times New Roman"/>
        </w:rPr>
        <w:t xml:space="preserve">Despite repeated claims that mental health care in Canada is inadequate, the </w:t>
      </w:r>
      <w:r w:rsidR="00B24859">
        <w:rPr>
          <w:rFonts w:cs="Times New Roman"/>
        </w:rPr>
        <w:t>issue</w:t>
      </w:r>
      <w:r w:rsidR="001720DB" w:rsidRPr="00847D21">
        <w:rPr>
          <w:rFonts w:cs="Times New Roman"/>
        </w:rPr>
        <w:t xml:space="preserve"> continues to confound policy initiatives as it crosses jurisdictions</w:t>
      </w:r>
      <w:r w:rsidR="00B027BA">
        <w:rPr>
          <w:rFonts w:cs="Times New Roman"/>
        </w:rPr>
        <w:t xml:space="preserve"> and programs</w:t>
      </w:r>
      <w:r w:rsidR="001720DB" w:rsidRPr="00847D21">
        <w:rPr>
          <w:rFonts w:cs="Times New Roman"/>
        </w:rPr>
        <w:t>,</w:t>
      </w:r>
      <w:r w:rsidR="00A03EA8" w:rsidRPr="00847D21">
        <w:rPr>
          <w:rFonts w:cs="Times New Roman"/>
        </w:rPr>
        <w:t xml:space="preserve"> stretches budgets, </w:t>
      </w:r>
      <w:r w:rsidR="001720DB" w:rsidRPr="00847D21">
        <w:rPr>
          <w:rFonts w:cs="Times New Roman"/>
        </w:rPr>
        <w:t xml:space="preserve">and continues to </w:t>
      </w:r>
      <w:r w:rsidR="002E45C9">
        <w:rPr>
          <w:rFonts w:cs="Times New Roman"/>
        </w:rPr>
        <w:t xml:space="preserve">operate under the umbrella of healthcare in spite of </w:t>
      </w:r>
      <w:r w:rsidR="00D55ABD">
        <w:rPr>
          <w:rFonts w:cs="Times New Roman"/>
        </w:rPr>
        <w:t>the pervasive complaints from individuals about under-employment and poverty, which no amount of medicalising or clinical care can resolve.  F</w:t>
      </w:r>
      <w:r w:rsidR="00FA5E84">
        <w:rPr>
          <w:rFonts w:cs="Times New Roman"/>
        </w:rPr>
        <w:t>or a growing contingent of ex-patients, families</w:t>
      </w:r>
      <w:r w:rsidR="00B24859">
        <w:rPr>
          <w:rFonts w:cs="Times New Roman"/>
        </w:rPr>
        <w:t>, and consumers or clients of the mental health care system, the solution is not medical:  it is political.</w:t>
      </w:r>
      <w:r w:rsidR="00D55ABD">
        <w:rPr>
          <w:rFonts w:cs="Times New Roman"/>
        </w:rPr>
        <w:t xml:space="preserve">  Moreover, investments in healthcare budgets, such as this one proposed by </w:t>
      </w:r>
      <w:r w:rsidR="00B04811">
        <w:rPr>
          <w:rFonts w:cs="Times New Roman"/>
        </w:rPr>
        <w:t xml:space="preserve">Prime Minister </w:t>
      </w:r>
      <w:r w:rsidR="00D55ABD">
        <w:rPr>
          <w:rFonts w:cs="Times New Roman"/>
        </w:rPr>
        <w:t>Trudeau, miss the mark by continuing to frame the issue as one requiring more resources in medical research and treatment.  That money might do more to improve the mental health of Canadians by replenishing and building social infrastructure to alleviate poverty.</w:t>
      </w:r>
    </w:p>
    <w:p w14:paraId="6722FD0A" w14:textId="77777777" w:rsidR="00055B20" w:rsidRDefault="001720DB" w:rsidP="00055B20">
      <w:pPr>
        <w:widowControl w:val="0"/>
        <w:autoSpaceDE w:val="0"/>
        <w:autoSpaceDN w:val="0"/>
        <w:adjustRightInd w:val="0"/>
        <w:spacing w:line="480" w:lineRule="auto"/>
        <w:ind w:firstLine="720"/>
        <w:rPr>
          <w:rFonts w:cs="Times New Roman"/>
        </w:rPr>
      </w:pPr>
      <w:r w:rsidRPr="00847D21">
        <w:rPr>
          <w:rFonts w:cs="Times New Roman"/>
        </w:rPr>
        <w:t xml:space="preserve">For Canadians the introduction of universal, </w:t>
      </w:r>
      <w:r w:rsidR="00B027BA">
        <w:rPr>
          <w:rFonts w:cs="Times New Roman"/>
        </w:rPr>
        <w:t>publically funded health care</w:t>
      </w:r>
      <w:r w:rsidRPr="00847D21">
        <w:rPr>
          <w:rFonts w:cs="Times New Roman"/>
        </w:rPr>
        <w:t xml:space="preserve"> was cause for celebration.  The </w:t>
      </w:r>
      <w:r w:rsidR="004317A3">
        <w:rPr>
          <w:rFonts w:cs="Times New Roman"/>
        </w:rPr>
        <w:t xml:space="preserve">universal health coverage </w:t>
      </w:r>
      <w:r w:rsidRPr="00847D21">
        <w:rPr>
          <w:rFonts w:cs="Times New Roman"/>
        </w:rPr>
        <w:t>policies that produce</w:t>
      </w:r>
      <w:r w:rsidR="00B027BA">
        <w:rPr>
          <w:rFonts w:cs="Times New Roman"/>
        </w:rPr>
        <w:t>d</w:t>
      </w:r>
      <w:r w:rsidRPr="00847D21">
        <w:rPr>
          <w:rFonts w:cs="Times New Roman"/>
        </w:rPr>
        <w:t xml:space="preserve"> what we now call medicare helped distinguish this system as one sensitive to a federalist framework, one that did not copy</w:t>
      </w:r>
      <w:r w:rsidR="004317A3">
        <w:rPr>
          <w:rFonts w:cs="Times New Roman"/>
        </w:rPr>
        <w:t xml:space="preserve"> the N</w:t>
      </w:r>
      <w:r w:rsidR="00D55ABD">
        <w:rPr>
          <w:rFonts w:cs="Times New Roman"/>
        </w:rPr>
        <w:t xml:space="preserve">ational </w:t>
      </w:r>
      <w:r w:rsidR="004317A3">
        <w:rPr>
          <w:rFonts w:cs="Times New Roman"/>
        </w:rPr>
        <w:t>H</w:t>
      </w:r>
      <w:r w:rsidR="00D55ABD">
        <w:rPr>
          <w:rFonts w:cs="Times New Roman"/>
        </w:rPr>
        <w:t xml:space="preserve">ealth </w:t>
      </w:r>
      <w:r w:rsidR="004317A3">
        <w:rPr>
          <w:rFonts w:cs="Times New Roman"/>
        </w:rPr>
        <w:t>S</w:t>
      </w:r>
      <w:r w:rsidR="00D55ABD">
        <w:rPr>
          <w:rFonts w:cs="Times New Roman"/>
        </w:rPr>
        <w:t>ystem</w:t>
      </w:r>
      <w:r w:rsidR="004317A3">
        <w:rPr>
          <w:rFonts w:cs="Times New Roman"/>
        </w:rPr>
        <w:t xml:space="preserve"> in</w:t>
      </w:r>
      <w:r w:rsidRPr="00847D21">
        <w:rPr>
          <w:rFonts w:cs="Times New Roman"/>
        </w:rPr>
        <w:t xml:space="preserve"> Britain and that differed significantly from an American-styled means or age-approved security net.  The made-in-Canada solution helped to coordinate services and payments, alleviating</w:t>
      </w:r>
      <w:r w:rsidR="00A03EA8" w:rsidRPr="00847D21">
        <w:rPr>
          <w:rFonts w:cs="Times New Roman"/>
        </w:rPr>
        <w:t xml:space="preserve"> financial questions </w:t>
      </w:r>
      <w:r w:rsidRPr="00847D21">
        <w:rPr>
          <w:rFonts w:cs="Times New Roman"/>
        </w:rPr>
        <w:t>for patients and physicians and instead allowing them to concentrate on the clinical</w:t>
      </w:r>
      <w:r w:rsidR="00A03EA8" w:rsidRPr="00847D21">
        <w:rPr>
          <w:rFonts w:cs="Times New Roman"/>
        </w:rPr>
        <w:t>ly</w:t>
      </w:r>
      <w:r w:rsidRPr="00847D21">
        <w:rPr>
          <w:rFonts w:cs="Times New Roman"/>
        </w:rPr>
        <w:t xml:space="preserve"> relevant decisions. </w:t>
      </w:r>
      <w:r w:rsidR="00055B20">
        <w:rPr>
          <w:rFonts w:cs="Times New Roman"/>
        </w:rPr>
        <w:t>From the outset, medicare offered a set of public policies that at its core addressed concerns about the ability to pay for one’s health.</w:t>
      </w:r>
    </w:p>
    <w:p w14:paraId="44524FCF" w14:textId="77777777" w:rsidR="00153E08" w:rsidRDefault="00140A3D" w:rsidP="00055B20">
      <w:pPr>
        <w:autoSpaceDE w:val="0"/>
        <w:autoSpaceDN w:val="0"/>
        <w:adjustRightInd w:val="0"/>
        <w:spacing w:line="480" w:lineRule="auto"/>
        <w:ind w:firstLine="720"/>
        <w:rPr>
          <w:rFonts w:cs="Times New Roman"/>
        </w:rPr>
      </w:pPr>
      <w:r>
        <w:rPr>
          <w:rFonts w:cs="Times New Roman"/>
        </w:rPr>
        <w:lastRenderedPageBreak/>
        <w:t xml:space="preserve">Prior to the introduction of medicare most mental health care took place </w:t>
      </w:r>
      <w:r w:rsidR="00E95E13">
        <w:rPr>
          <w:rFonts w:cs="Times New Roman"/>
        </w:rPr>
        <w:t>separately, in purpose-built facilities, such as asylum</w:t>
      </w:r>
      <w:r w:rsidR="00D55ABD">
        <w:rPr>
          <w:rFonts w:cs="Times New Roman"/>
        </w:rPr>
        <w:t>s</w:t>
      </w:r>
      <w:r w:rsidR="00E95E13">
        <w:rPr>
          <w:rFonts w:cs="Times New Roman"/>
        </w:rPr>
        <w:t xml:space="preserve">, provincial mental hospitals, </w:t>
      </w:r>
      <w:r w:rsidR="00360655">
        <w:rPr>
          <w:rFonts w:cs="Times New Roman"/>
        </w:rPr>
        <w:t xml:space="preserve">or </w:t>
      </w:r>
      <w:r w:rsidR="00E95E13">
        <w:rPr>
          <w:rFonts w:cs="Times New Roman"/>
        </w:rPr>
        <w:t>homes for feeble</w:t>
      </w:r>
      <w:r w:rsidR="00B04811">
        <w:rPr>
          <w:rFonts w:cs="Times New Roman"/>
        </w:rPr>
        <w:t>-</w:t>
      </w:r>
      <w:r w:rsidR="00E95E13">
        <w:rPr>
          <w:rFonts w:cs="Times New Roman"/>
        </w:rPr>
        <w:t>minded or mentally def</w:t>
      </w:r>
      <w:r>
        <w:rPr>
          <w:rFonts w:cs="Times New Roman"/>
        </w:rPr>
        <w:t>ective children</w:t>
      </w:r>
      <w:r w:rsidR="00360655">
        <w:rPr>
          <w:rFonts w:cs="Times New Roman"/>
        </w:rPr>
        <w:t xml:space="preserve">.  </w:t>
      </w:r>
      <w:r w:rsidR="00055B20">
        <w:rPr>
          <w:rFonts w:cs="Times New Roman"/>
        </w:rPr>
        <w:t xml:space="preserve">Many of these places were paid for by the state, and while patients or families occasionally paid upkeep fees, the costs were largely borne by the state while maintenance and day-to-day tasks were shouldered in most cases by the patients themselves, whether building walls, farming, sewing, laundering, or cooking (Reaume, 2006).  </w:t>
      </w:r>
      <w:r w:rsidR="00055B20" w:rsidRPr="004B5166">
        <w:rPr>
          <w:rFonts w:cs="Times New Roman"/>
        </w:rPr>
        <w:t>Residence in such a facility was often for life, and the stigma associated with incarceration negatively affected patients, staff, and families who were even considered at risk of becoming insane due to proximity and exposure.</w:t>
      </w:r>
      <w:r w:rsidR="00B04811" w:rsidRPr="004B5166">
        <w:rPr>
          <w:rFonts w:cs="Times New Roman"/>
        </w:rPr>
        <w:t xml:space="preserve"> </w:t>
      </w:r>
      <w:r w:rsidR="004B5166">
        <w:rPr>
          <w:rFonts w:cs="Times New Roman"/>
        </w:rPr>
        <w:t xml:space="preserve">(Dyck et al., 2017; </w:t>
      </w:r>
      <w:r w:rsidR="007D5711">
        <w:rPr>
          <w:rFonts w:cs="Times New Roman"/>
        </w:rPr>
        <w:t>Philo, 2004).</w:t>
      </w:r>
    </w:p>
    <w:p w14:paraId="24CC969C" w14:textId="77777777" w:rsidR="000A0CE0" w:rsidRDefault="00055B20" w:rsidP="00055B20">
      <w:pPr>
        <w:autoSpaceDE w:val="0"/>
        <w:autoSpaceDN w:val="0"/>
        <w:adjustRightInd w:val="0"/>
        <w:spacing w:line="480" w:lineRule="auto"/>
        <w:ind w:firstLine="720"/>
        <w:rPr>
          <w:rFonts w:cs="Times New Roman"/>
        </w:rPr>
      </w:pPr>
      <w:r>
        <w:rPr>
          <w:rFonts w:cs="Times New Roman"/>
        </w:rPr>
        <w:t>Moving away from</w:t>
      </w:r>
      <w:r w:rsidR="00B04811">
        <w:rPr>
          <w:rFonts w:cs="Times New Roman"/>
        </w:rPr>
        <w:t xml:space="preserve"> an</w:t>
      </w:r>
      <w:r>
        <w:rPr>
          <w:rFonts w:cs="Times New Roman"/>
        </w:rPr>
        <w:t xml:space="preserve"> approach of segregating patients with mental difficulties in separate custodial facilities had the potential to usher in a new era of tolerance.  A key feature of this shift involved the medicalisation of mental health issues, which occurred at the level of policy as well as through clinical encounters.</w:t>
      </w:r>
      <w:r w:rsidR="00907F7F">
        <w:rPr>
          <w:rFonts w:cs="Times New Roman"/>
        </w:rPr>
        <w:t xml:space="preserve">  Identifying madness or insanity as a medical concern rather than a criminal or social one had many advantages, not the least of which involved improvements in programs and services within the healthcare arena.  There were, however, drawbacks associated with medicalisation, which have resulted in treatments that are focused on acute care rather than the chronic, and aggravating factors, that are </w:t>
      </w:r>
      <w:r w:rsidR="001F2AF2">
        <w:rPr>
          <w:rFonts w:cs="Times New Roman"/>
        </w:rPr>
        <w:t xml:space="preserve">often more </w:t>
      </w:r>
      <w:r w:rsidR="00907F7F">
        <w:rPr>
          <w:rFonts w:cs="Times New Roman"/>
        </w:rPr>
        <w:t xml:space="preserve">social and economic in nature.  </w:t>
      </w:r>
    </w:p>
    <w:p w14:paraId="57BAB36A" w14:textId="77777777" w:rsidR="00174E7F" w:rsidRPr="00847D21" w:rsidRDefault="00174E7F" w:rsidP="00961C4E">
      <w:pPr>
        <w:widowControl w:val="0"/>
        <w:autoSpaceDE w:val="0"/>
        <w:autoSpaceDN w:val="0"/>
        <w:adjustRightInd w:val="0"/>
        <w:spacing w:line="480" w:lineRule="auto"/>
        <w:rPr>
          <w:rFonts w:cs="Times New Roman"/>
        </w:rPr>
      </w:pPr>
    </w:p>
    <w:p w14:paraId="3081D40F" w14:textId="77777777" w:rsidR="00174E7F" w:rsidRPr="00847D21" w:rsidRDefault="00C206CD" w:rsidP="00961C4E">
      <w:pPr>
        <w:widowControl w:val="0"/>
        <w:autoSpaceDE w:val="0"/>
        <w:autoSpaceDN w:val="0"/>
        <w:adjustRightInd w:val="0"/>
        <w:spacing w:line="480" w:lineRule="auto"/>
        <w:rPr>
          <w:rFonts w:cs="Times New Roman"/>
          <w:b/>
        </w:rPr>
      </w:pPr>
      <w:r w:rsidRPr="00847D21">
        <w:rPr>
          <w:rFonts w:cs="Times New Roman"/>
          <w:b/>
        </w:rPr>
        <w:t>Historical Background</w:t>
      </w:r>
    </w:p>
    <w:p w14:paraId="7FB10229" w14:textId="77777777" w:rsidR="00C206CD" w:rsidRPr="00847D21" w:rsidRDefault="00C206CD" w:rsidP="00961C4E">
      <w:pPr>
        <w:widowControl w:val="0"/>
        <w:autoSpaceDE w:val="0"/>
        <w:autoSpaceDN w:val="0"/>
        <w:adjustRightInd w:val="0"/>
        <w:spacing w:line="480" w:lineRule="auto"/>
        <w:rPr>
          <w:rFonts w:cs="Times New Roman"/>
        </w:rPr>
      </w:pPr>
    </w:p>
    <w:p w14:paraId="44ACE05F" w14:textId="1673488C" w:rsidR="009D564C" w:rsidRPr="00847D21" w:rsidRDefault="00C206CD" w:rsidP="00961C4E">
      <w:pPr>
        <w:widowControl w:val="0"/>
        <w:autoSpaceDE w:val="0"/>
        <w:autoSpaceDN w:val="0"/>
        <w:adjustRightInd w:val="0"/>
        <w:spacing w:line="480" w:lineRule="auto"/>
        <w:rPr>
          <w:rFonts w:cs="Times New Roman"/>
        </w:rPr>
      </w:pPr>
      <w:r w:rsidRPr="00847D21">
        <w:rPr>
          <w:rFonts w:cs="Times New Roman"/>
        </w:rPr>
        <w:lastRenderedPageBreak/>
        <w:t xml:space="preserve">In a pre-medicare era the </w:t>
      </w:r>
      <w:r w:rsidR="0086056B">
        <w:rPr>
          <w:rFonts w:cs="Times New Roman"/>
        </w:rPr>
        <w:t xml:space="preserve">Canadian </w:t>
      </w:r>
      <w:r w:rsidRPr="00847D21">
        <w:rPr>
          <w:rFonts w:cs="Times New Roman"/>
        </w:rPr>
        <w:t>institutional health care landscape was a patchwork of private and public facilities that catered to different regional, jurisdictional,</w:t>
      </w:r>
      <w:r w:rsidR="00A03EA8" w:rsidRPr="00847D21">
        <w:rPr>
          <w:rFonts w:cs="Times New Roman"/>
        </w:rPr>
        <w:t xml:space="preserve"> legal,</w:t>
      </w:r>
      <w:r w:rsidRPr="00847D21">
        <w:rPr>
          <w:rFonts w:cs="Times New Roman"/>
        </w:rPr>
        <w:t xml:space="preserve"> and medical needs.  </w:t>
      </w:r>
      <w:r w:rsidR="0086056B">
        <w:rPr>
          <w:rFonts w:cs="Times New Roman"/>
        </w:rPr>
        <w:t>Provincially run t</w:t>
      </w:r>
      <w:r w:rsidRPr="00847D21">
        <w:rPr>
          <w:rFonts w:cs="Times New Roman"/>
        </w:rPr>
        <w:t xml:space="preserve">uberculosis </w:t>
      </w:r>
      <w:r w:rsidR="0086056B">
        <w:rPr>
          <w:rFonts w:cs="Times New Roman"/>
        </w:rPr>
        <w:t xml:space="preserve">(TB) </w:t>
      </w:r>
      <w:r w:rsidRPr="00847D21">
        <w:rPr>
          <w:rFonts w:cs="Times New Roman"/>
        </w:rPr>
        <w:t>sanitaria dotted the landscape throughout much of the country, while federally supported leprosaria existed only on the</w:t>
      </w:r>
      <w:r w:rsidR="00950B5A" w:rsidRPr="00847D21">
        <w:rPr>
          <w:rFonts w:cs="Times New Roman"/>
        </w:rPr>
        <w:t xml:space="preserve"> outer margins; the federal government paid for Indian Hospitals, which often relied on provincially-trained staff and inadequate facilities on loan from others, whether discarded military barracks or empty schools</w:t>
      </w:r>
      <w:r w:rsidR="00DC561E">
        <w:rPr>
          <w:rFonts w:cs="Times New Roman"/>
        </w:rPr>
        <w:t xml:space="preserve"> (Lux, 2016)</w:t>
      </w:r>
      <w:r w:rsidR="00950B5A" w:rsidRPr="00847D21">
        <w:rPr>
          <w:rFonts w:cs="Times New Roman"/>
        </w:rPr>
        <w:t xml:space="preserve">. </w:t>
      </w:r>
      <w:r w:rsidRPr="00847D21">
        <w:rPr>
          <w:rFonts w:cs="Times New Roman"/>
        </w:rPr>
        <w:t xml:space="preserve">Pre-confederation Newfoundland maintained cottage-styled healthcare facilities as well as a marine-based set of traveling physicians tending the </w:t>
      </w:r>
      <w:r w:rsidR="002136E2">
        <w:rPr>
          <w:rFonts w:cs="Times New Roman"/>
        </w:rPr>
        <w:t xml:space="preserve">isolated communities </w:t>
      </w:r>
      <w:r w:rsidRPr="00847D21">
        <w:rPr>
          <w:rFonts w:cs="Times New Roman"/>
        </w:rPr>
        <w:t>of Newfoundland and Labrador</w:t>
      </w:r>
      <w:r w:rsidR="00DC561E">
        <w:rPr>
          <w:rFonts w:cs="Times New Roman"/>
        </w:rPr>
        <w:t xml:space="preserve"> (Connor et al., 2015)</w:t>
      </w:r>
      <w:r w:rsidRPr="00847D21">
        <w:rPr>
          <w:rFonts w:cs="Times New Roman"/>
        </w:rPr>
        <w:t>. Religious orders ministered the sick and chronically disabled populations, and some of these relationships helped to foster fruitful research and training institutions outside of the federalist landscape.</w:t>
      </w:r>
      <w:r w:rsidR="009D564C" w:rsidRPr="00847D21">
        <w:rPr>
          <w:rFonts w:cs="Times New Roman"/>
        </w:rPr>
        <w:t xml:space="preserve"> Provinces, </w:t>
      </w:r>
      <w:r w:rsidR="00031CB0" w:rsidRPr="00847D21">
        <w:rPr>
          <w:rFonts w:cs="Times New Roman"/>
        </w:rPr>
        <w:t xml:space="preserve">research institutes, </w:t>
      </w:r>
      <w:r w:rsidR="009D564C" w:rsidRPr="00847D21">
        <w:rPr>
          <w:rFonts w:cs="Times New Roman"/>
        </w:rPr>
        <w:t>regions, and ethno-religious communities contributed to this institutional tapestry in part by establishing facilities that tailored their needs to the regional priorities of the local residents</w:t>
      </w:r>
      <w:r w:rsidR="00153E08">
        <w:rPr>
          <w:rFonts w:cs="Times New Roman"/>
        </w:rPr>
        <w:t>, while the federal government continued to provide services in aid of the military, or quarantine care at points of immigration or in states of national crisis</w:t>
      </w:r>
      <w:r w:rsidR="00DC561E">
        <w:rPr>
          <w:rFonts w:cs="Times New Roman"/>
        </w:rPr>
        <w:t xml:space="preserve"> (</w:t>
      </w:r>
      <w:r w:rsidR="00F254BF">
        <w:rPr>
          <w:rFonts w:cs="Times New Roman"/>
        </w:rPr>
        <w:t xml:space="preserve">Gagan and Gagan, 2002; </w:t>
      </w:r>
      <w:r w:rsidR="00DC561E">
        <w:rPr>
          <w:rFonts w:cs="Times New Roman"/>
        </w:rPr>
        <w:t>Feindel and Leblanc, 2016; Shorter, 2013)</w:t>
      </w:r>
      <w:r w:rsidR="009D564C" w:rsidRPr="00847D21">
        <w:rPr>
          <w:rFonts w:cs="Times New Roman"/>
        </w:rPr>
        <w:t xml:space="preserve">. </w:t>
      </w:r>
      <w:r w:rsidR="00220E6C">
        <w:rPr>
          <w:rFonts w:cs="Times New Roman"/>
        </w:rPr>
        <w:t xml:space="preserve">Municipalities also played their part in providing services, oftentimes under the umbrella terms of health or relief, which combined economic and health priorities. (Chunn, 1992). </w:t>
      </w:r>
      <w:r w:rsidR="003901BE">
        <w:rPr>
          <w:rFonts w:cs="Times New Roman"/>
        </w:rPr>
        <w:t>The</w:t>
      </w:r>
      <w:r w:rsidR="009D564C" w:rsidRPr="00847D21">
        <w:rPr>
          <w:rFonts w:cs="Times New Roman"/>
        </w:rPr>
        <w:t xml:space="preserve"> design and operation of health</w:t>
      </w:r>
      <w:r w:rsidR="00F254BF">
        <w:rPr>
          <w:rFonts w:cs="Times New Roman"/>
        </w:rPr>
        <w:t xml:space="preserve"> </w:t>
      </w:r>
      <w:r w:rsidR="009D564C" w:rsidRPr="00847D21">
        <w:rPr>
          <w:rFonts w:cs="Times New Roman"/>
        </w:rPr>
        <w:t xml:space="preserve">care </w:t>
      </w:r>
      <w:r w:rsidR="00F254BF">
        <w:rPr>
          <w:rFonts w:cs="Times New Roman"/>
        </w:rPr>
        <w:t>facilities</w:t>
      </w:r>
      <w:r w:rsidR="009D564C" w:rsidRPr="00847D21">
        <w:rPr>
          <w:rFonts w:cs="Times New Roman"/>
        </w:rPr>
        <w:t xml:space="preserve"> represented a bl</w:t>
      </w:r>
      <w:r w:rsidR="00CF1A63">
        <w:rPr>
          <w:rFonts w:cs="Times New Roman"/>
        </w:rPr>
        <w:t>ending of local initiatives and national priorities</w:t>
      </w:r>
      <w:r w:rsidR="009D564C" w:rsidRPr="00847D21">
        <w:rPr>
          <w:rFonts w:cs="Times New Roman"/>
        </w:rPr>
        <w:t xml:space="preserve">.  </w:t>
      </w:r>
    </w:p>
    <w:p w14:paraId="3728718E" w14:textId="77777777" w:rsidR="008C0958" w:rsidRPr="00CF1A63" w:rsidRDefault="009D564C" w:rsidP="00CF1A63">
      <w:pPr>
        <w:widowControl w:val="0"/>
        <w:autoSpaceDE w:val="0"/>
        <w:autoSpaceDN w:val="0"/>
        <w:adjustRightInd w:val="0"/>
        <w:spacing w:line="480" w:lineRule="auto"/>
        <w:rPr>
          <w:rFonts w:cs="Times New Roman"/>
        </w:rPr>
      </w:pPr>
      <w:r w:rsidRPr="00847D21">
        <w:rPr>
          <w:rFonts w:cs="Times New Roman"/>
        </w:rPr>
        <w:tab/>
        <w:t xml:space="preserve">During this period the asylum, or mental hospital, sat </w:t>
      </w:r>
      <w:r w:rsidR="0086056B">
        <w:rPr>
          <w:rFonts w:cs="Times New Roman"/>
        </w:rPr>
        <w:t>alongside</w:t>
      </w:r>
      <w:r w:rsidRPr="00847D21">
        <w:rPr>
          <w:rFonts w:cs="Times New Roman"/>
        </w:rPr>
        <w:t xml:space="preserve"> the other </w:t>
      </w:r>
      <w:r w:rsidRPr="00847D21">
        <w:rPr>
          <w:rFonts w:cs="Times New Roman"/>
        </w:rPr>
        <w:lastRenderedPageBreak/>
        <w:t xml:space="preserve">health care facilities, the general hospital, the TB sanitarium, </w:t>
      </w:r>
      <w:r w:rsidR="00950B5A" w:rsidRPr="00847D21">
        <w:rPr>
          <w:rFonts w:cs="Times New Roman"/>
        </w:rPr>
        <w:t xml:space="preserve">the Indian Hospital, </w:t>
      </w:r>
      <w:r w:rsidRPr="00847D21">
        <w:rPr>
          <w:rFonts w:cs="Times New Roman"/>
        </w:rPr>
        <w:t>or the leprosarium, as a purpose-built facility for accommodating mental health care needs.  It differed, however, in its relationship with its local environment</w:t>
      </w:r>
      <w:r w:rsidR="00ED178B" w:rsidRPr="00847D21">
        <w:rPr>
          <w:rFonts w:cs="Times New Roman"/>
        </w:rPr>
        <w:t xml:space="preserve"> and residents</w:t>
      </w:r>
      <w:r w:rsidRPr="00847D21">
        <w:rPr>
          <w:rFonts w:cs="Times New Roman"/>
        </w:rPr>
        <w:t xml:space="preserve">.  These mental hospitals were rarely outcroppings of religious orders, but instead relied on support from </w:t>
      </w:r>
      <w:r w:rsidR="0086056B">
        <w:rPr>
          <w:rFonts w:cs="Times New Roman"/>
        </w:rPr>
        <w:t>provincial</w:t>
      </w:r>
      <w:r w:rsidRPr="00847D21">
        <w:rPr>
          <w:rFonts w:cs="Times New Roman"/>
        </w:rPr>
        <w:t xml:space="preserve"> budgets</w:t>
      </w:r>
      <w:r w:rsidR="00950B5A" w:rsidRPr="00847D21">
        <w:rPr>
          <w:rFonts w:cs="Times New Roman"/>
        </w:rPr>
        <w:t xml:space="preserve">, including funds that paid for their operations, and often this included </w:t>
      </w:r>
      <w:r w:rsidR="00031CB0" w:rsidRPr="00847D21">
        <w:rPr>
          <w:rFonts w:cs="Times New Roman"/>
        </w:rPr>
        <w:t xml:space="preserve">staff as well as </w:t>
      </w:r>
      <w:r w:rsidR="00950B5A" w:rsidRPr="00847D21">
        <w:rPr>
          <w:rFonts w:cs="Times New Roman"/>
        </w:rPr>
        <w:t>bricks and mortar</w:t>
      </w:r>
      <w:r w:rsidRPr="00847D21">
        <w:rPr>
          <w:rFonts w:cs="Times New Roman"/>
        </w:rPr>
        <w:t xml:space="preserve">.  The buildings themselves represented </w:t>
      </w:r>
      <w:r w:rsidR="00ED178B" w:rsidRPr="00847D21">
        <w:rPr>
          <w:rFonts w:cs="Times New Roman"/>
        </w:rPr>
        <w:t>a monument to the state, more readily comparable to buildings re</w:t>
      </w:r>
      <w:r w:rsidR="003901BE">
        <w:rPr>
          <w:rFonts w:cs="Times New Roman"/>
        </w:rPr>
        <w:t>served for government business, such as</w:t>
      </w:r>
      <w:r w:rsidR="00ED178B" w:rsidRPr="00847D21">
        <w:rPr>
          <w:rFonts w:cs="Times New Roman"/>
        </w:rPr>
        <w:t xml:space="preserve"> legislative assemblies, court houses, or universities</w:t>
      </w:r>
      <w:r w:rsidR="00DC561E">
        <w:rPr>
          <w:rFonts w:cs="Times New Roman"/>
        </w:rPr>
        <w:t xml:space="preserve"> (Deighton, 2016; Miron, 2011)</w:t>
      </w:r>
      <w:r w:rsidR="00ED178B" w:rsidRPr="00847D21">
        <w:rPr>
          <w:rFonts w:cs="Times New Roman"/>
        </w:rPr>
        <w:t xml:space="preserve">. Indeed, some of the early asylum architects were the very same firms that designed municipal and provincial government buildings.  These </w:t>
      </w:r>
      <w:r w:rsidR="0024100F" w:rsidRPr="00847D21">
        <w:rPr>
          <w:rFonts w:cs="Times New Roman"/>
        </w:rPr>
        <w:t>facilities</w:t>
      </w:r>
      <w:r w:rsidR="00ED178B" w:rsidRPr="00847D21">
        <w:rPr>
          <w:rFonts w:cs="Times New Roman"/>
        </w:rPr>
        <w:t xml:space="preserve"> also functioned differently than many of the other health care institutions because they relied directly on the state’s legal apparatus to determine the committal policies for inmates, </w:t>
      </w:r>
      <w:r w:rsidR="003901BE" w:rsidRPr="00847D21">
        <w:rPr>
          <w:rFonts w:cs="Times New Roman"/>
        </w:rPr>
        <w:t>residents</w:t>
      </w:r>
      <w:r w:rsidR="003901BE">
        <w:rPr>
          <w:rFonts w:cs="Times New Roman"/>
        </w:rPr>
        <w:t>,</w:t>
      </w:r>
      <w:r w:rsidR="003901BE" w:rsidRPr="00847D21">
        <w:rPr>
          <w:rFonts w:cs="Times New Roman"/>
        </w:rPr>
        <w:t xml:space="preserve"> </w:t>
      </w:r>
      <w:r w:rsidR="00ED178B" w:rsidRPr="00847D21">
        <w:rPr>
          <w:rFonts w:cs="Times New Roman"/>
        </w:rPr>
        <w:t>or eventually, as these people would be called, patients</w:t>
      </w:r>
      <w:r w:rsidR="003901BE">
        <w:rPr>
          <w:rFonts w:cs="Times New Roman"/>
        </w:rPr>
        <w:t>, and later clients or consumers</w:t>
      </w:r>
      <w:r w:rsidR="00ED178B" w:rsidRPr="00847D21">
        <w:rPr>
          <w:rFonts w:cs="Times New Roman"/>
        </w:rPr>
        <w:t xml:space="preserve">.  Early on, therefore, mental health care maintained a precarious position with respect to </w:t>
      </w:r>
      <w:r w:rsidR="00CF1A63">
        <w:rPr>
          <w:rFonts w:cs="Times New Roman"/>
        </w:rPr>
        <w:t>physical</w:t>
      </w:r>
      <w:r w:rsidR="00ED178B" w:rsidRPr="00847D21">
        <w:rPr>
          <w:rFonts w:cs="Times New Roman"/>
        </w:rPr>
        <w:t xml:space="preserve"> health care, operating in a blend of legal and medical jurisdiction that invoked state infrastructure and security.</w:t>
      </w:r>
      <w:r w:rsidR="00950B5A" w:rsidRPr="00847D21">
        <w:rPr>
          <w:rFonts w:cs="Times New Roman"/>
        </w:rPr>
        <w:t xml:space="preserve">  </w:t>
      </w:r>
    </w:p>
    <w:p w14:paraId="259934A5" w14:textId="3C33CE30" w:rsidR="00CF1A63" w:rsidRPr="00847D21" w:rsidRDefault="00C206CD" w:rsidP="0069049C">
      <w:pPr>
        <w:spacing w:line="480" w:lineRule="auto"/>
        <w:ind w:firstLine="720"/>
      </w:pPr>
      <w:r w:rsidRPr="00847D21">
        <w:t xml:space="preserve">During and immediately after the Second World War, </w:t>
      </w:r>
      <w:r w:rsidR="00CF1A63">
        <w:t>national surveys confirmed that most of these state-run psychiatric facilities were grossly overcrowded and in significant need of reform.</w:t>
      </w:r>
      <w:r w:rsidRPr="00847D21">
        <w:t xml:space="preserve"> </w:t>
      </w:r>
      <w:r w:rsidR="00CF1A63">
        <w:t>P</w:t>
      </w:r>
      <w:r w:rsidR="00CF1A63" w:rsidRPr="00847D21">
        <w:t>sychiatrists</w:t>
      </w:r>
      <w:r w:rsidR="00CF1A63">
        <w:t xml:space="preserve"> throughout the western world</w:t>
      </w:r>
      <w:r w:rsidR="00CF1A63" w:rsidRPr="00847D21">
        <w:t xml:space="preserve"> began experimenting with asylum populations in a manner that appeared both desperate and humane.  Somatic or bodily therapies, including lobotomies, promised to restore health to psychiatric patients and to bring clinical </w:t>
      </w:r>
      <w:r w:rsidR="00CF1A63" w:rsidRPr="00847D21">
        <w:lastRenderedPageBreak/>
        <w:t>optimism to the profession. The gross overcrowding and problematic conditions experienced in asylums required drastic measures, and even lobotomies offered some positive testimonials</w:t>
      </w:r>
      <w:r w:rsidR="00405727">
        <w:t xml:space="preserve"> (Pressman, 1998)</w:t>
      </w:r>
      <w:r w:rsidR="00CF1A63" w:rsidRPr="00847D21">
        <w:t xml:space="preserve">. </w:t>
      </w:r>
      <w:r w:rsidR="0069049C">
        <w:t xml:space="preserve">Historian Edward Shorter characterizes this period within the history of psychiatry as intensely “desperate” and in search of alternatives to warehousing patients in institutions.  He suggests that “all of these alternatives had an aura of desperateness about them, seemingly radical and possibly quite dangerous innovations.  … asylums were filling, and psychiatry stood helpless in the face of disorders of the brain and mind.” (Shorter, 1997, 190).  </w:t>
      </w:r>
      <w:r w:rsidR="00CF1A63" w:rsidRPr="00847D21">
        <w:t>The temporary</w:t>
      </w:r>
      <w:r w:rsidR="00CF1A63">
        <w:t xml:space="preserve"> embrace of such drastic and irreversible interventions</w:t>
      </w:r>
      <w:r w:rsidR="00CF1A63" w:rsidRPr="00847D21">
        <w:t xml:space="preserve"> indicated that the asylum had</w:t>
      </w:r>
      <w:r w:rsidR="00CF1A63">
        <w:t xml:space="preserve"> created inhumane conditions for patients and psychiatrists alike, which had helped to justify experimenting with crude interventions in an effort to alleviate some of the administrative and psychological strain caused by the hopelessness associated with mental </w:t>
      </w:r>
      <w:r w:rsidR="003901BE">
        <w:t>disorders</w:t>
      </w:r>
      <w:r w:rsidR="00CF1A63">
        <w:t>.</w:t>
      </w:r>
    </w:p>
    <w:p w14:paraId="0185728A" w14:textId="77777777" w:rsidR="00C206CD" w:rsidRPr="00847D21" w:rsidRDefault="00CF1A63" w:rsidP="00CF1A63">
      <w:pPr>
        <w:spacing w:line="480" w:lineRule="auto"/>
        <w:ind w:firstLine="720"/>
      </w:pPr>
      <w:r>
        <w:t>By mid-century therapeutic relief emerged on the horizon in the form of psychopharmaceuticals</w:t>
      </w:r>
      <w:r w:rsidR="00DC561E">
        <w:t xml:space="preserve"> (Healy, 1997)</w:t>
      </w:r>
      <w:r w:rsidR="00C206CD" w:rsidRPr="00847D21">
        <w:t xml:space="preserve">. The same year that the first anti-psychotic medication became commercially available in Europe and in Canada, 1952, the American Psychiatric Association released its first version of the </w:t>
      </w:r>
      <w:r w:rsidR="00C206CD" w:rsidRPr="00847D21">
        <w:rPr>
          <w:i/>
        </w:rPr>
        <w:t>Diagnostic and Statistical Manual of Mental Disorders</w:t>
      </w:r>
      <w:r w:rsidR="00C206CD" w:rsidRPr="00847D21">
        <w:t>. These professional and structural developments in psychiatry coincided with new research directions within the discipline</w:t>
      </w:r>
      <w:r>
        <w:t>.</w:t>
      </w:r>
      <w:r w:rsidR="00C206CD" w:rsidRPr="00847D21">
        <w:t xml:space="preserve"> </w:t>
      </w:r>
      <w:r w:rsidR="008C0958">
        <w:t>S</w:t>
      </w:r>
      <w:r w:rsidR="00C206CD" w:rsidRPr="00847D21">
        <w:t xml:space="preserve">ome advocates even claimed that the </w:t>
      </w:r>
      <w:r>
        <w:t xml:space="preserve">so-called </w:t>
      </w:r>
      <w:r w:rsidR="00C206CD" w:rsidRPr="00847D21">
        <w:t>pharmacological revolution would t</w:t>
      </w:r>
      <w:r w:rsidR="008C0958">
        <w:t>ransform mental health care, alleviating</w:t>
      </w:r>
      <w:r w:rsidR="00C206CD" w:rsidRPr="00847D21">
        <w:t xml:space="preserve"> the reliance on long-stay custodial institutions by controlling psychiatric symptoms and allowing patients to live </w:t>
      </w:r>
      <w:r>
        <w:t xml:space="preserve">normal lives </w:t>
      </w:r>
      <w:r w:rsidR="00C206CD" w:rsidRPr="00847D21">
        <w:t>in regular communities.</w:t>
      </w:r>
    </w:p>
    <w:p w14:paraId="7787CE61" w14:textId="77777777" w:rsidR="00CF1A63" w:rsidRDefault="00475291" w:rsidP="00961C4E">
      <w:pPr>
        <w:spacing w:line="480" w:lineRule="auto"/>
        <w:ind w:firstLine="720"/>
      </w:pPr>
      <w:r w:rsidRPr="00847D21">
        <w:lastRenderedPageBreak/>
        <w:t xml:space="preserve">The introduction of psychopharmaceuticals appeared at mid-century as a viable solution to the otherwise grim prospects of recovery from mental illness.  </w:t>
      </w:r>
      <w:r w:rsidR="00F17F75" w:rsidRPr="00847D21">
        <w:t>A</w:t>
      </w:r>
      <w:r w:rsidRPr="00847D21">
        <w:t>s drug therapies</w:t>
      </w:r>
      <w:r w:rsidR="00C206CD" w:rsidRPr="00847D21">
        <w:t xml:space="preserve"> gained traction, some </w:t>
      </w:r>
      <w:r w:rsidR="00F17F75" w:rsidRPr="00847D21">
        <w:t>categories of patients responded better than others. P</w:t>
      </w:r>
      <w:r w:rsidRPr="00847D21">
        <w:t>sychotic p</w:t>
      </w:r>
      <w:r w:rsidR="00F17F75" w:rsidRPr="00847D21">
        <w:t>atients</w:t>
      </w:r>
      <w:r w:rsidR="00C206CD" w:rsidRPr="00847D21">
        <w:t xml:space="preserve">, typically </w:t>
      </w:r>
      <w:r w:rsidRPr="00847D21">
        <w:t xml:space="preserve">those diagnosed with </w:t>
      </w:r>
      <w:r w:rsidR="00C206CD" w:rsidRPr="00847D21">
        <w:t>schizophrenia</w:t>
      </w:r>
      <w:r w:rsidR="00F17F75" w:rsidRPr="00847D21">
        <w:t xml:space="preserve"> </w:t>
      </w:r>
      <w:r w:rsidRPr="00847D21">
        <w:t>or</w:t>
      </w:r>
      <w:r w:rsidR="00F17F75" w:rsidRPr="00847D21">
        <w:t xml:space="preserve"> bi-polar disorder (sometimes then also called manic-depressive disorder)</w:t>
      </w:r>
      <w:r w:rsidR="00C206CD" w:rsidRPr="00847D21">
        <w:t>, responded inconsistently to the much-celebrated</w:t>
      </w:r>
      <w:r w:rsidR="00DE49F4" w:rsidRPr="00847D21">
        <w:t xml:space="preserve"> blockbuster</w:t>
      </w:r>
      <w:r w:rsidR="00C206CD" w:rsidRPr="00847D21">
        <w:t xml:space="preserve"> anti-psychotic medication</w:t>
      </w:r>
      <w:r w:rsidR="003F6E83" w:rsidRPr="00847D21">
        <w:t>,</w:t>
      </w:r>
      <w:r w:rsidR="00C206CD" w:rsidRPr="00847D21">
        <w:t xml:space="preserve"> chlorpromazine. </w:t>
      </w:r>
      <w:r w:rsidR="003F6E83" w:rsidRPr="00847D21">
        <w:t xml:space="preserve"> Administrators likewise worried that for patients with low intelligence quotients,</w:t>
      </w:r>
      <w:r w:rsidRPr="00847D21">
        <w:t xml:space="preserve"> </w:t>
      </w:r>
      <w:r w:rsidR="007D5711">
        <w:t xml:space="preserve">those considered </w:t>
      </w:r>
      <w:r w:rsidRPr="00847D21">
        <w:t xml:space="preserve">mentally deficient </w:t>
      </w:r>
      <w:r w:rsidR="003901BE">
        <w:t>or feeble</w:t>
      </w:r>
      <w:r w:rsidR="00B04811">
        <w:t>-</w:t>
      </w:r>
      <w:r w:rsidR="003901BE">
        <w:t>minded</w:t>
      </w:r>
      <w:r w:rsidRPr="00847D21">
        <w:t>,</w:t>
      </w:r>
      <w:r w:rsidR="003F6E83" w:rsidRPr="00847D21">
        <w:t xml:space="preserve"> medication would not foster independence, nor protect </w:t>
      </w:r>
      <w:r w:rsidR="003901BE">
        <w:t xml:space="preserve">these </w:t>
      </w:r>
      <w:r w:rsidR="003F6E83" w:rsidRPr="00847D21">
        <w:t xml:space="preserve">people from exploitation and abuse in the community.  </w:t>
      </w:r>
    </w:p>
    <w:p w14:paraId="30054C90" w14:textId="77777777" w:rsidR="00475291" w:rsidRDefault="003F6E83" w:rsidP="00961C4E">
      <w:pPr>
        <w:spacing w:line="480" w:lineRule="auto"/>
        <w:ind w:firstLine="720"/>
      </w:pPr>
      <w:r w:rsidRPr="00847D21">
        <w:t xml:space="preserve">Some provinces already </w:t>
      </w:r>
      <w:r w:rsidR="00CF1A63">
        <w:t>maintained</w:t>
      </w:r>
      <w:r w:rsidRPr="00847D21">
        <w:t xml:space="preserve"> separate facilities for people considered mentally deficient </w:t>
      </w:r>
      <w:r w:rsidR="00475291" w:rsidRPr="00847D21">
        <w:t>–</w:t>
      </w:r>
      <w:r w:rsidRPr="00847D21">
        <w:t xml:space="preserve"> Huronia</w:t>
      </w:r>
      <w:r w:rsidR="00475291" w:rsidRPr="00847D21">
        <w:t xml:space="preserve"> (Ontario)</w:t>
      </w:r>
      <w:r w:rsidRPr="00847D21">
        <w:t>, Woodlands</w:t>
      </w:r>
      <w:r w:rsidR="00475291" w:rsidRPr="00847D21">
        <w:t xml:space="preserve"> (British Columbia)</w:t>
      </w:r>
      <w:r w:rsidRPr="00847D21">
        <w:t xml:space="preserve">, Michener </w:t>
      </w:r>
      <w:r w:rsidR="003901BE">
        <w:t xml:space="preserve">Centre </w:t>
      </w:r>
      <w:r w:rsidR="00475291" w:rsidRPr="00847D21">
        <w:t>(Alberta)</w:t>
      </w:r>
      <w:r w:rsidRPr="00847D21">
        <w:t>– while others explored options for securing separate custodial accommodations</w:t>
      </w:r>
      <w:r w:rsidR="00475291" w:rsidRPr="00847D21">
        <w:t xml:space="preserve">, such as Saskatchewan, which then </w:t>
      </w:r>
      <w:r w:rsidR="00CF1A63">
        <w:t>relied on</w:t>
      </w:r>
      <w:r w:rsidR="00475291" w:rsidRPr="00847D21">
        <w:t xml:space="preserve"> abandoned </w:t>
      </w:r>
      <w:r w:rsidR="00CF1A63">
        <w:t xml:space="preserve">military </w:t>
      </w:r>
      <w:r w:rsidR="00475291" w:rsidRPr="00847D21">
        <w:t>buildings for repurposing into Provincial Training Schools at Moose Jaw and Prince Albert</w:t>
      </w:r>
      <w:r w:rsidRPr="00847D21">
        <w:t xml:space="preserve">.  </w:t>
      </w:r>
      <w:r w:rsidR="00713757" w:rsidRPr="00847D21">
        <w:t xml:space="preserve">Under the umbrella of mental health </w:t>
      </w:r>
      <w:r w:rsidR="00CF1A63">
        <w:t>care</w:t>
      </w:r>
      <w:r w:rsidR="00713757" w:rsidRPr="00847D21">
        <w:t xml:space="preserve">, the institutional landscape </w:t>
      </w:r>
      <w:r w:rsidR="003901BE">
        <w:t>changed</w:t>
      </w:r>
      <w:r w:rsidR="00713757" w:rsidRPr="00847D21">
        <w:t xml:space="preserve"> in response to </w:t>
      </w:r>
      <w:r w:rsidR="0017696A" w:rsidRPr="00847D21">
        <w:t>a growing realization that some psychiatric illnesses could respond positively to</w:t>
      </w:r>
      <w:r w:rsidR="003901BE">
        <w:t xml:space="preserve"> clinical</w:t>
      </w:r>
      <w:r w:rsidR="0017696A" w:rsidRPr="00847D21">
        <w:t xml:space="preserve"> treatment, and that others require</w:t>
      </w:r>
      <w:r w:rsidR="00CF1A63">
        <w:t>d</w:t>
      </w:r>
      <w:r w:rsidR="0017696A" w:rsidRPr="00847D21">
        <w:t xml:space="preserve"> </w:t>
      </w:r>
      <w:r w:rsidR="00475291" w:rsidRPr="00847D21">
        <w:t>a lifetime of</w:t>
      </w:r>
      <w:r w:rsidR="0017696A" w:rsidRPr="00847D21">
        <w:t xml:space="preserve"> support</w:t>
      </w:r>
      <w:r w:rsidR="00475291" w:rsidRPr="00847D21">
        <w:t>, including custodial care</w:t>
      </w:r>
      <w:r w:rsidR="0017696A" w:rsidRPr="00847D21">
        <w:t xml:space="preserve">.  Politically, governments </w:t>
      </w:r>
      <w:r w:rsidR="003901BE">
        <w:t xml:space="preserve">after the Second World War </w:t>
      </w:r>
      <w:r w:rsidR="0017696A" w:rsidRPr="00847D21">
        <w:t>in industrialized countries began implementing measures to support a welfare state, ostensibly with the capacity for supporting a greater number of economically vulnerable citizens too, such as those who were leaving a lifetime of institutional care.</w:t>
      </w:r>
      <w:r w:rsidR="00475291" w:rsidRPr="00847D21">
        <w:t xml:space="preserve">  Without explicitly tying these policies together, mental hospital </w:t>
      </w:r>
      <w:r w:rsidR="00475291" w:rsidRPr="00847D21">
        <w:lastRenderedPageBreak/>
        <w:t>administrators looked favourably upon the idea that the welfare state could generate more caring communities by supporting a variety of services that fostered independence for ex-patients</w:t>
      </w:r>
      <w:r w:rsidR="00CF1A63">
        <w:t xml:space="preserve">, </w:t>
      </w:r>
      <w:r w:rsidR="003901BE">
        <w:t>while</w:t>
      </w:r>
      <w:r w:rsidR="00CF1A63">
        <w:t xml:space="preserve"> clinical decisions could be focused on drug prescriptions in a family physician’s office</w:t>
      </w:r>
      <w:r w:rsidR="00475291" w:rsidRPr="00847D21">
        <w:t xml:space="preserve">.  </w:t>
      </w:r>
      <w:r w:rsidR="003901BE">
        <w:t>These twinned imperatives worked in tandem to facilitate a move away from long-stay hospitalisation as the main way to address individuals with mental disorders.</w:t>
      </w:r>
    </w:p>
    <w:p w14:paraId="5656EFED" w14:textId="77777777" w:rsidR="009B246D" w:rsidRDefault="009B246D" w:rsidP="00961C4E">
      <w:pPr>
        <w:spacing w:line="480" w:lineRule="auto"/>
        <w:ind w:firstLine="720"/>
      </w:pPr>
      <w:r>
        <w:t xml:space="preserve">Medicare was poised to </w:t>
      </w:r>
      <w:r w:rsidR="003901BE">
        <w:t>support</w:t>
      </w:r>
      <w:r>
        <w:t xml:space="preserve"> this transition by shepherding mental health cases into general practice, </w:t>
      </w:r>
      <w:r w:rsidR="003901BE">
        <w:t xml:space="preserve">where the first point of care was from </w:t>
      </w:r>
      <w:r>
        <w:t xml:space="preserve">family physicians </w:t>
      </w:r>
      <w:r w:rsidR="003901BE">
        <w:t>who ultimately could then make</w:t>
      </w:r>
      <w:r>
        <w:t xml:space="preserve"> strategic referrals for more severe cases requiring either a psychiatric or short-term hospitalization.  Patients need not be concerned that a psychiatric diagnosis spelled a lifetime separated from family and life in an institution.  Physicians, meanwhile, were better equipped with pharmaceutical solutions that not only improved efficiency, but </w:t>
      </w:r>
      <w:r w:rsidR="003901BE">
        <w:t xml:space="preserve">also </w:t>
      </w:r>
      <w:r>
        <w:t>helped to address the underlying concerns about autonomy and independence for patients with mental health difficulties.</w:t>
      </w:r>
    </w:p>
    <w:p w14:paraId="603F391A" w14:textId="77777777" w:rsidR="009B246D" w:rsidRDefault="009B246D" w:rsidP="00961C4E">
      <w:pPr>
        <w:spacing w:line="480" w:lineRule="auto"/>
        <w:ind w:firstLine="720"/>
      </w:pPr>
    </w:p>
    <w:p w14:paraId="747E8AC3" w14:textId="77777777" w:rsidR="009B246D" w:rsidRPr="009B246D" w:rsidRDefault="009B246D" w:rsidP="009B246D">
      <w:pPr>
        <w:spacing w:line="480" w:lineRule="auto"/>
        <w:rPr>
          <w:b/>
        </w:rPr>
      </w:pPr>
      <w:r>
        <w:rPr>
          <w:b/>
        </w:rPr>
        <w:t xml:space="preserve">Independence and Care in the Community </w:t>
      </w:r>
    </w:p>
    <w:p w14:paraId="359E3F65" w14:textId="77777777" w:rsidR="00475291" w:rsidRPr="00847D21" w:rsidRDefault="00C206CD" w:rsidP="00961C4E">
      <w:pPr>
        <w:spacing w:line="480" w:lineRule="auto"/>
        <w:ind w:firstLine="720"/>
        <w:rPr>
          <w:lang w:val="en-CA"/>
        </w:rPr>
      </w:pPr>
      <w:r w:rsidRPr="00847D21">
        <w:t>Patients</w:t>
      </w:r>
      <w:r w:rsidR="0017696A" w:rsidRPr="00847D21">
        <w:t xml:space="preserve"> returning to the community had predictably uneven experiences</w:t>
      </w:r>
      <w:r w:rsidR="00904F3A" w:rsidRPr="00847D21">
        <w:t xml:space="preserve">. </w:t>
      </w:r>
      <w:r w:rsidR="007D5711">
        <w:t xml:space="preserve">Although experiences ranged widely, some made concerted efforts to record their transition.  One </w:t>
      </w:r>
      <w:r w:rsidR="006A284A">
        <w:t xml:space="preserve">such person was </w:t>
      </w:r>
      <w:r w:rsidR="00904F3A" w:rsidRPr="00847D21">
        <w:t xml:space="preserve">Doreen Befus, </w:t>
      </w:r>
      <w:r w:rsidR="003901BE">
        <w:t xml:space="preserve">who left the </w:t>
      </w:r>
      <w:r w:rsidR="003901BE" w:rsidRPr="00847D21">
        <w:rPr>
          <w:lang w:val="en-CA"/>
        </w:rPr>
        <w:t xml:space="preserve">Provincial Training School for Mentally Defective Children (the Michener Centre) </w:t>
      </w:r>
      <w:r w:rsidR="003901BE">
        <w:rPr>
          <w:lang w:val="en-CA"/>
        </w:rPr>
        <w:t>in</w:t>
      </w:r>
      <w:r w:rsidR="003901BE" w:rsidRPr="00847D21">
        <w:rPr>
          <w:lang w:val="en-CA"/>
        </w:rPr>
        <w:t xml:space="preserve"> Red Deer, Alberta</w:t>
      </w:r>
      <w:r w:rsidR="006A284A">
        <w:t>.</w:t>
      </w:r>
      <w:r w:rsidR="00904F3A" w:rsidRPr="00847D21">
        <w:t xml:space="preserve"> </w:t>
      </w:r>
      <w:r w:rsidR="006A284A">
        <w:t xml:space="preserve">Upon leaving she </w:t>
      </w:r>
      <w:r w:rsidR="00904F3A" w:rsidRPr="00847D21">
        <w:t>was told: “</w:t>
      </w:r>
      <w:r w:rsidR="00904F3A" w:rsidRPr="00847D21">
        <w:rPr>
          <w:lang w:val="en-CA"/>
        </w:rPr>
        <w:t xml:space="preserve">‘You’ll never make it out in the world, Doreen. You’ll never be able to learn enough to live like a normal person.’ … I was labeled as being </w:t>
      </w:r>
      <w:r w:rsidR="00904F3A" w:rsidRPr="00847D21">
        <w:rPr>
          <w:lang w:val="en-CA"/>
        </w:rPr>
        <w:lastRenderedPageBreak/>
        <w:t>too ‘retarded’.</w:t>
      </w:r>
      <w:r w:rsidR="00405727">
        <w:rPr>
          <w:lang w:val="en-CA"/>
        </w:rPr>
        <w:t xml:space="preserve"> (Befus, 1990)</w:t>
      </w:r>
      <w:r w:rsidR="00C0458F">
        <w:rPr>
          <w:lang w:val="en-CA"/>
        </w:rPr>
        <w:t xml:space="preserve"> Doreen </w:t>
      </w:r>
      <w:r w:rsidR="00475291" w:rsidRPr="00847D21">
        <w:rPr>
          <w:lang w:val="en-CA"/>
        </w:rPr>
        <w:t>joined thousands of other Canadians who were relocated in communities as mental health facilities closed</w:t>
      </w:r>
      <w:r w:rsidR="00C0458F">
        <w:rPr>
          <w:lang w:val="en-CA"/>
        </w:rPr>
        <w:t xml:space="preserve"> beginning in the 1960s</w:t>
      </w:r>
      <w:r w:rsidR="00475291" w:rsidRPr="00847D21">
        <w:rPr>
          <w:lang w:val="en-CA"/>
        </w:rPr>
        <w:t xml:space="preserve">.  She lived semi-independently at first with the help of social services, including keeping regular contact with a social worker, and relying on a variety of public supports, from church services, to public transportation, library resources, and hospital care. </w:t>
      </w:r>
      <w:r w:rsidR="00C0458F">
        <w:rPr>
          <w:lang w:val="en-CA"/>
        </w:rPr>
        <w:t xml:space="preserve"> Her reliance on medical programs became one part of a much larger and comprehensive set of resources that she required to live on her own for the first time in her life.</w:t>
      </w:r>
    </w:p>
    <w:p w14:paraId="12F2D68B" w14:textId="77777777" w:rsidR="00475291" w:rsidRPr="00847D21" w:rsidRDefault="00475291" w:rsidP="00961C4E">
      <w:pPr>
        <w:spacing w:line="480" w:lineRule="auto"/>
        <w:ind w:firstLine="720"/>
        <w:rPr>
          <w:lang w:val="en-CA"/>
        </w:rPr>
      </w:pPr>
      <w:r w:rsidRPr="00847D21">
        <w:rPr>
          <w:lang w:val="en-CA"/>
        </w:rPr>
        <w:t>For the first few months she remained in regular contact with her institutional doctor</w:t>
      </w:r>
      <w:r w:rsidR="00C0458F">
        <w:rPr>
          <w:lang w:val="en-CA"/>
        </w:rPr>
        <w:t>, but his support only went so far</w:t>
      </w:r>
      <w:r w:rsidRPr="00847D21">
        <w:rPr>
          <w:lang w:val="en-CA"/>
        </w:rPr>
        <w:t>. Her move into the community triggered a dramatic set of changes in her life, not the least of which were living on her own, paying her own bills, becoming an active member of her church, securing appropriate employment, maintaining social services appointments, cooking, cleaning, and assuming a host of responsibilities. She was familiar with some of these activities, having cooked and cleaned as a trainee in provincial institutions. Managing money, however, had only ever been an exercise within the protective walls of the institution, while taking public transit and making appointments with social workers, doctors, psychiatrists, and others had never been part of the closely monitored functions of the institution. Life on the outside was very different, and people like Doreen, who had spent their entire lives in a carefully structured and supervised environment, carried many of their institutionalized habits into the community.</w:t>
      </w:r>
    </w:p>
    <w:p w14:paraId="091D459A" w14:textId="77777777" w:rsidR="00702410" w:rsidRDefault="00475291" w:rsidP="00702410">
      <w:pPr>
        <w:spacing w:line="480" w:lineRule="auto"/>
        <w:ind w:firstLine="720"/>
        <w:rPr>
          <w:lang w:val="en-CA"/>
        </w:rPr>
      </w:pPr>
      <w:r w:rsidRPr="00847D21">
        <w:rPr>
          <w:lang w:val="en-CA"/>
        </w:rPr>
        <w:lastRenderedPageBreak/>
        <w:t xml:space="preserve">Red Deer, like many </w:t>
      </w:r>
      <w:r w:rsidR="008C0958">
        <w:rPr>
          <w:lang w:val="en-CA"/>
        </w:rPr>
        <w:t xml:space="preserve">Canadian </w:t>
      </w:r>
      <w:r w:rsidRPr="00847D21">
        <w:rPr>
          <w:lang w:val="en-CA"/>
        </w:rPr>
        <w:t xml:space="preserve">communities that had once hosted large-scale institutions, is relatively modest in size. Former patients who might have exhibited characteristics of an institutionalized existence or who required extra time at the grocery till or needed help figuring out the bus schedule were not necessarily easily absorbed into the community. </w:t>
      </w:r>
      <w:r w:rsidR="00702410">
        <w:rPr>
          <w:lang w:val="en-CA"/>
        </w:rPr>
        <w:t xml:space="preserve">Although health care administrators had long argued that sending patients to family physicians instead of mental hospitals would dramatically reduce the public stigma, and even fear, associated with mental health concerns, </w:t>
      </w:r>
      <w:r w:rsidR="00220E81">
        <w:rPr>
          <w:lang w:val="en-CA"/>
        </w:rPr>
        <w:t xml:space="preserve">the </w:t>
      </w:r>
      <w:r w:rsidR="00702410">
        <w:rPr>
          <w:lang w:val="en-CA"/>
        </w:rPr>
        <w:t>change in policy did not necessarily result in changes in ex-patient experiences.</w:t>
      </w:r>
    </w:p>
    <w:p w14:paraId="4303D3C7" w14:textId="77777777" w:rsidR="00475291" w:rsidRPr="00847D21" w:rsidRDefault="00475291" w:rsidP="00E97C25">
      <w:pPr>
        <w:spacing w:line="480" w:lineRule="auto"/>
        <w:ind w:firstLine="720"/>
        <w:rPr>
          <w:lang w:val="en-CA"/>
        </w:rPr>
      </w:pPr>
      <w:r w:rsidRPr="00847D21">
        <w:rPr>
          <w:lang w:val="en-CA"/>
        </w:rPr>
        <w:t>The combined social stigmas of disability, mental illness (in the most colloquial sense), and institutionalization that followed people out of provincial facilities into such communities created a new set of challenges for individuals as well as service providers who confronted the gaps in service provision without clear indications as to whether deinstitutionalization</w:t>
      </w:r>
      <w:r w:rsidR="00490677" w:rsidRPr="00847D21">
        <w:rPr>
          <w:lang w:val="en-CA"/>
        </w:rPr>
        <w:t>, or the closing of long-stay psychiatric facilities,</w:t>
      </w:r>
      <w:r w:rsidRPr="00847D21">
        <w:rPr>
          <w:lang w:val="en-CA"/>
        </w:rPr>
        <w:t xml:space="preserve"> triggered responses from a health department, (un)employment insurance, education, policing, or housing authorities.  </w:t>
      </w:r>
      <w:r w:rsidR="00E97C25">
        <w:rPr>
          <w:lang w:val="en-CA"/>
        </w:rPr>
        <w:t>As Chris Dooley has argued, ex-patients were not alone in facing these challenges in the community; staff also experienced stigma as they moved into community-based positions</w:t>
      </w:r>
      <w:r w:rsidR="00C0458F">
        <w:rPr>
          <w:lang w:val="en-CA"/>
        </w:rPr>
        <w:t xml:space="preserve"> (Dooley, 2016)</w:t>
      </w:r>
      <w:r w:rsidR="00E97C25">
        <w:rPr>
          <w:lang w:val="en-CA"/>
        </w:rPr>
        <w:t xml:space="preserve">.  The new approach to mental health care required a </w:t>
      </w:r>
      <w:r w:rsidRPr="00847D21">
        <w:rPr>
          <w:lang w:val="en-CA"/>
        </w:rPr>
        <w:t xml:space="preserve">combination of services </w:t>
      </w:r>
      <w:r w:rsidR="00E97C25">
        <w:rPr>
          <w:lang w:val="en-CA"/>
        </w:rPr>
        <w:t>that also</w:t>
      </w:r>
      <w:r w:rsidRPr="00847D21">
        <w:rPr>
          <w:lang w:val="en-CA"/>
        </w:rPr>
        <w:t xml:space="preserve"> required crossing jurisdictions, from municipal through provincial and federal lines, which for many deinstitutionalized people created significant obstacles</w:t>
      </w:r>
      <w:r w:rsidR="00490677" w:rsidRPr="00847D21">
        <w:rPr>
          <w:lang w:val="en-CA"/>
        </w:rPr>
        <w:t xml:space="preserve">, particularly for the thousands of deinstitutionalized </w:t>
      </w:r>
      <w:r w:rsidR="00490677" w:rsidRPr="00847D21">
        <w:rPr>
          <w:lang w:val="en-CA"/>
        </w:rPr>
        <w:lastRenderedPageBreak/>
        <w:t>Canadians who had lived their lives in an environment where there was only one jurisdiction, that of the hospital</w:t>
      </w:r>
      <w:r w:rsidRPr="00847D21">
        <w:rPr>
          <w:lang w:val="en-CA"/>
        </w:rPr>
        <w:t>.</w:t>
      </w:r>
    </w:p>
    <w:p w14:paraId="04E040EE" w14:textId="77777777" w:rsidR="00475291" w:rsidRPr="00847D21" w:rsidRDefault="00475291" w:rsidP="00C35553">
      <w:pPr>
        <w:spacing w:line="480" w:lineRule="auto"/>
      </w:pPr>
    </w:p>
    <w:p w14:paraId="2A279074" w14:textId="77777777" w:rsidR="00475291" w:rsidRPr="00847D21" w:rsidRDefault="00E97C25" w:rsidP="00961C4E">
      <w:pPr>
        <w:spacing w:line="480" w:lineRule="auto"/>
        <w:rPr>
          <w:b/>
        </w:rPr>
      </w:pPr>
      <w:r>
        <w:rPr>
          <w:b/>
        </w:rPr>
        <w:t xml:space="preserve">The Cost of </w:t>
      </w:r>
      <w:r w:rsidR="00667B2C">
        <w:rPr>
          <w:b/>
        </w:rPr>
        <w:t>Medicare</w:t>
      </w:r>
    </w:p>
    <w:p w14:paraId="4ADD6923" w14:textId="77777777" w:rsidR="00E97C25" w:rsidRDefault="00E97C25" w:rsidP="00E97C25">
      <w:pPr>
        <w:spacing w:line="480" w:lineRule="auto"/>
      </w:pPr>
    </w:p>
    <w:p w14:paraId="2B1749FE" w14:textId="0E154D34" w:rsidR="00E97C25" w:rsidRPr="00653493" w:rsidRDefault="00E97C25" w:rsidP="00653493">
      <w:pPr>
        <w:spacing w:line="480" w:lineRule="auto"/>
        <w:ind w:firstLine="720"/>
        <w:rPr>
          <w:rFonts w:cs="Times New Roman"/>
        </w:rPr>
      </w:pPr>
      <w:r>
        <w:t>In the early 1960s, when medicare was introduced across the country, p</w:t>
      </w:r>
      <w:r w:rsidR="008C0958">
        <w:t>rovinces claimed in some cases to be sp</w:t>
      </w:r>
      <w:r w:rsidR="00343C8F">
        <w:t xml:space="preserve">ending nearly half </w:t>
      </w:r>
      <w:r w:rsidR="008C0958">
        <w:t>of their health care budgets on mental health care; by the 1970s that number dropped to less</w:t>
      </w:r>
      <w:r w:rsidR="00E12390">
        <w:t xml:space="preserve"> than 10% in most jurisdictions (Dyck and Deighton, 2017).</w:t>
      </w:r>
      <w:r w:rsidR="008C0958">
        <w:t xml:space="preserve"> </w:t>
      </w:r>
      <w:r w:rsidR="00343C8F">
        <w:t xml:space="preserve"> Those earlier figures represented all construction, maintenance, and staff costs.  But, the numbers can be misleading. </w:t>
      </w:r>
      <w:r w:rsidR="00653493" w:rsidRPr="00281C53">
        <w:rPr>
          <w:rFonts w:cs="Times New Roman"/>
        </w:rPr>
        <w:t xml:space="preserve">By the end of the 1960s, the health budget </w:t>
      </w:r>
      <w:r w:rsidR="00653493">
        <w:rPr>
          <w:rFonts w:cs="Times New Roman"/>
        </w:rPr>
        <w:t xml:space="preserve">in Saskatchewan, for example, </w:t>
      </w:r>
      <w:r w:rsidR="00653493" w:rsidRPr="00281C53">
        <w:rPr>
          <w:rFonts w:cs="Times New Roman"/>
        </w:rPr>
        <w:t>had risen by 30%, signaling investment in the expanding services that spelled optimism for the architects of care in the community</w:t>
      </w:r>
      <w:r w:rsidR="00343C8F">
        <w:rPr>
          <w:rFonts w:cs="Times New Roman"/>
        </w:rPr>
        <w:t>, but many of the mental health services moved off the health care budget and shifted onto other line departments</w:t>
      </w:r>
      <w:r w:rsidR="00653493" w:rsidRPr="00281C53">
        <w:rPr>
          <w:rFonts w:cs="Times New Roman"/>
        </w:rPr>
        <w:t>.</w:t>
      </w:r>
      <w:r w:rsidR="00653493" w:rsidRPr="00281C53">
        <w:rPr>
          <w:rStyle w:val="FootnoteReference"/>
          <w:rFonts w:cs="Times New Roman"/>
        </w:rPr>
        <w:footnoteReference w:id="1"/>
      </w:r>
      <w:r w:rsidR="00653493" w:rsidRPr="00281C53">
        <w:rPr>
          <w:rFonts w:cs="Times New Roman"/>
        </w:rPr>
        <w:t xml:space="preserve"> </w:t>
      </w:r>
      <w:r>
        <w:t xml:space="preserve">Part of the drop in the numbers is explained by a reliance on general health care budgets, rather than earmarked funding for mental health services, but there was also a </w:t>
      </w:r>
      <w:r>
        <w:lastRenderedPageBreak/>
        <w:t xml:space="preserve">noticeable gap between the promises for services in the community and the financial support to establish those services. </w:t>
      </w:r>
    </w:p>
    <w:p w14:paraId="377E6CCA" w14:textId="77777777" w:rsidR="00475291" w:rsidRPr="00847D21" w:rsidRDefault="00E97C25" w:rsidP="00961C4E">
      <w:pPr>
        <w:spacing w:line="480" w:lineRule="auto"/>
        <w:ind w:firstLine="720"/>
      </w:pPr>
      <w:r>
        <w:t>Medicare</w:t>
      </w:r>
      <w:r w:rsidR="00475291" w:rsidRPr="00847D21">
        <w:t>, however, did not cause deinstitutionalization.  The process of closing asylums was multi-faceted and</w:t>
      </w:r>
      <w:r w:rsidR="0053779C">
        <w:t>, while it took a different form and timeline in various locations,</w:t>
      </w:r>
      <w:r w:rsidR="00475291" w:rsidRPr="00847D21">
        <w:t xml:space="preserve"> had a combination of economic, political, cultural, and medical triggers</w:t>
      </w:r>
      <w:r w:rsidR="00C0458F">
        <w:t xml:space="preserve"> (Kritsotaki, et al, 2016)</w:t>
      </w:r>
      <w:r w:rsidR="00475291" w:rsidRPr="00847D21">
        <w:t>.  American historian Gerald Grob, one of the leading scholars on the history of mental health care pol</w:t>
      </w:r>
      <w:r w:rsidR="0053779C">
        <w:t>icy in the United States, argues</w:t>
      </w:r>
      <w:r w:rsidR="00475291" w:rsidRPr="00847D21">
        <w:t xml:space="preserve"> that there were several distinct factors that culminated in what became a transnational phenomenon called ‘deinstitutionalization’</w:t>
      </w:r>
      <w:r w:rsidR="00C0458F">
        <w:t xml:space="preserve"> (Grob, 1991; Grob 1994; Grob 1997</w:t>
      </w:r>
      <w:r w:rsidR="00E12390">
        <w:t>)</w:t>
      </w:r>
      <w:r w:rsidR="00475291" w:rsidRPr="00847D21">
        <w:t>.</w:t>
      </w:r>
      <w:r w:rsidR="0053779C">
        <w:t xml:space="preserve"> </w:t>
      </w:r>
      <w:r w:rsidR="00C0458F">
        <w:t>He</w:t>
      </w:r>
      <w:r w:rsidR="0053779C">
        <w:t xml:space="preserve"> suggests</w:t>
      </w:r>
      <w:r w:rsidR="00475291" w:rsidRPr="00847D21">
        <w:t xml:space="preserve"> that psychotropic medications and changes within the professional landscape of psychiatry, including a shift towards more private practice and an increased reliance on general practitioners; more federal funding for intensive research programs into mental disorders; a changing politico-economic climate that coincided with the dismantling of the welfare state; and the rise of human rights and humanitarian campaigns, including those leveling critiques at the plight of institutionalized individuals, were critical ingredients in the history of deinstitutionalization</w:t>
      </w:r>
      <w:r w:rsidR="00E12390">
        <w:t>.</w:t>
      </w:r>
      <w:r w:rsidR="00475291" w:rsidRPr="00847D21">
        <w:t xml:space="preserve"> </w:t>
      </w:r>
    </w:p>
    <w:p w14:paraId="08206138" w14:textId="77777777" w:rsidR="00EE1E27" w:rsidRPr="00847D21" w:rsidRDefault="00475291" w:rsidP="00961C4E">
      <w:pPr>
        <w:spacing w:line="480" w:lineRule="auto"/>
        <w:ind w:firstLine="720"/>
        <w:rPr>
          <w:rFonts w:cs="Times New Roman"/>
          <w:lang w:val="en-CA"/>
        </w:rPr>
      </w:pPr>
      <w:r w:rsidRPr="00847D21">
        <w:t>Deinstitutionalization involved the closing or down-sizing of long-stay psy</w:t>
      </w:r>
      <w:r w:rsidR="00EE1E27" w:rsidRPr="00847D21">
        <w:t>chiatric facilities and shifted</w:t>
      </w:r>
      <w:r w:rsidRPr="00847D21">
        <w:t xml:space="preserve"> the onus of care ostensibly t</w:t>
      </w:r>
      <w:r w:rsidR="00EE1E27" w:rsidRPr="00847D21">
        <w:t>o the community, and reoriented</w:t>
      </w:r>
      <w:r w:rsidRPr="00847D21">
        <w:t xml:space="preserve"> the portal of entry </w:t>
      </w:r>
      <w:r w:rsidR="00EE1E27" w:rsidRPr="00847D21">
        <w:t xml:space="preserve">for clinical psychiatric care </w:t>
      </w:r>
      <w:r w:rsidRPr="00847D21">
        <w:t>to emergency wards</w:t>
      </w:r>
      <w:r w:rsidR="00C0458F">
        <w:t xml:space="preserve"> and family doctors’ offices</w:t>
      </w:r>
      <w:r w:rsidRPr="00847D21">
        <w:t xml:space="preserve">.  Although ushering mental health patients through the same hospital doors as general health patients simplified health policy and hospital administration, it misinterpreted the experience of mental illness and introduced </w:t>
      </w:r>
      <w:r w:rsidRPr="00847D21">
        <w:lastRenderedPageBreak/>
        <w:t>new fiscal pressures on the now universalized health care system.  As Greg Marchildon has argued, “</w:t>
      </w:r>
      <w:r w:rsidRPr="00847D21">
        <w:rPr>
          <w:rFonts w:cs="Times New Roman"/>
          <w:lang w:val="en-CA"/>
        </w:rPr>
        <w:t>The other uniquely Canadian feature is the extent to which mental health policy is determined at the substate rather than the national level of government.  This is a consequence of a decentralized federation where, for constitutional reasons, the provinces have primary jurisdiction over health care.  This means there have been significant differences among provinces in terms of the type and timing of mental health policy and programs, as well as the civil society movements – also highly provincialized – that have influenced the governments of these provinces.”</w:t>
      </w:r>
      <w:r w:rsidR="00E12390">
        <w:rPr>
          <w:rFonts w:cs="Times New Roman"/>
          <w:lang w:val="en-CA"/>
        </w:rPr>
        <w:t xml:space="preserve"> (Marchildon, 2011).</w:t>
      </w:r>
      <w:r w:rsidRPr="00847D21">
        <w:rPr>
          <w:rFonts w:cs="Times New Roman"/>
          <w:lang w:val="en-CA"/>
        </w:rPr>
        <w:t xml:space="preserve"> Marchildon points out that these constitutional arrangements realigned mental health care with</w:t>
      </w:r>
      <w:r w:rsidR="00E97C25">
        <w:rPr>
          <w:rFonts w:cs="Times New Roman"/>
          <w:lang w:val="en-CA"/>
        </w:rPr>
        <w:t>in</w:t>
      </w:r>
      <w:r w:rsidRPr="00847D21">
        <w:rPr>
          <w:rFonts w:cs="Times New Roman"/>
          <w:lang w:val="en-CA"/>
        </w:rPr>
        <w:t xml:space="preserve"> provincial priorities, but also introduced financial disincentives for designing systems that </w:t>
      </w:r>
      <w:r w:rsidR="00EE1E27" w:rsidRPr="00847D21">
        <w:rPr>
          <w:rFonts w:cs="Times New Roman"/>
          <w:lang w:val="en-CA"/>
        </w:rPr>
        <w:t>offered alternatives to hospital-based care.</w:t>
      </w:r>
    </w:p>
    <w:p w14:paraId="5D3E6108" w14:textId="77777777" w:rsidR="00475291" w:rsidRPr="00847D21" w:rsidRDefault="00475291" w:rsidP="0053779C">
      <w:pPr>
        <w:spacing w:line="480" w:lineRule="auto"/>
        <w:rPr>
          <w:rFonts w:cs="Times New Roman"/>
          <w:lang w:val="en-CA"/>
        </w:rPr>
      </w:pPr>
    </w:p>
    <w:p w14:paraId="3D1D58E2" w14:textId="77777777" w:rsidR="00475291" w:rsidRPr="00847D21" w:rsidRDefault="00667B2C" w:rsidP="00961C4E">
      <w:pPr>
        <w:spacing w:line="480" w:lineRule="auto"/>
        <w:rPr>
          <w:rFonts w:cs="Times New Roman"/>
          <w:b/>
          <w:lang w:val="en-CA"/>
        </w:rPr>
      </w:pPr>
      <w:r>
        <w:rPr>
          <w:rFonts w:cs="Times New Roman"/>
          <w:b/>
          <w:lang w:val="en-CA"/>
        </w:rPr>
        <w:t>Hospitalization and Medically Necessary Services</w:t>
      </w:r>
    </w:p>
    <w:p w14:paraId="29E79BF0" w14:textId="77777777" w:rsidR="00475291" w:rsidRPr="00847D21" w:rsidRDefault="00475291" w:rsidP="00961C4E">
      <w:pPr>
        <w:spacing w:line="480" w:lineRule="auto"/>
        <w:rPr>
          <w:rFonts w:cs="Times New Roman"/>
          <w:b/>
          <w:lang w:val="en-CA"/>
        </w:rPr>
      </w:pPr>
    </w:p>
    <w:p w14:paraId="355604C1" w14:textId="039BDF1E" w:rsidR="00EE1E27" w:rsidRPr="00847D21" w:rsidRDefault="00EE1E27" w:rsidP="00961C4E">
      <w:pPr>
        <w:widowControl w:val="0"/>
        <w:autoSpaceDE w:val="0"/>
        <w:autoSpaceDN w:val="0"/>
        <w:adjustRightInd w:val="0"/>
        <w:spacing w:line="480" w:lineRule="auto"/>
        <w:rPr>
          <w:lang w:val="en-CA"/>
        </w:rPr>
      </w:pPr>
      <w:r w:rsidRPr="00847D21">
        <w:rPr>
          <w:lang w:val="en-CA"/>
        </w:rPr>
        <w:t>The Hospital Insurance and Diagnostic Services Act (HIDS), introduced by the Liberal St. Laurent federal government in 1957</w:t>
      </w:r>
      <w:r w:rsidR="00A02EE9">
        <w:rPr>
          <w:lang w:val="en-CA"/>
        </w:rPr>
        <w:t>,</w:t>
      </w:r>
      <w:r w:rsidRPr="00847D21">
        <w:rPr>
          <w:lang w:val="en-CA"/>
        </w:rPr>
        <w:t xml:space="preserve"> entered the provinces into a cost-sharing agreement that provided for half of the cost of </w:t>
      </w:r>
      <w:r w:rsidR="00B73E5E" w:rsidRPr="00847D21">
        <w:rPr>
          <w:lang w:val="en-CA"/>
        </w:rPr>
        <w:t xml:space="preserve">hospitalization.  The terms of this policy meant that provinces were ineligible for the federal funds if they opted to design a healthcare system that did not centre itself around the general hospital.  Nearly a decade later, with the introduction of the Medical Care Act (1966), procedures considered </w:t>
      </w:r>
      <w:r w:rsidRPr="00847D21">
        <w:rPr>
          <w:lang w:val="en-CA"/>
        </w:rPr>
        <w:t>“medically necessary”</w:t>
      </w:r>
      <w:r w:rsidR="00B73E5E" w:rsidRPr="00847D21">
        <w:rPr>
          <w:lang w:val="en-CA"/>
        </w:rPr>
        <w:t xml:space="preserve"> or “medically required” were defined under a set of principles that later became enshrined in the Canada Health Act </w:t>
      </w:r>
      <w:r w:rsidR="00B73E5E" w:rsidRPr="00847D21">
        <w:rPr>
          <w:lang w:val="en-CA"/>
        </w:rPr>
        <w:lastRenderedPageBreak/>
        <w:t xml:space="preserve">(1984).  </w:t>
      </w:r>
      <w:r w:rsidR="00065D24">
        <w:rPr>
          <w:lang w:val="en-CA"/>
        </w:rPr>
        <w:t xml:space="preserve">Provinces, however, remained ineligible for cost-sharing benefits in psychiatry if they invested in mental hospitals, rather than constructing general hospitals with accommodations for psychiatric wings.  This arrangement remained in effect until 1977 when these conditions were relaxed to allow for greater flexibility, and provinces had more autonomy in designing the shape and dynamics of their health care institutions, as long as they adhered to the principles of the Medicare Act.  </w:t>
      </w:r>
      <w:r w:rsidR="00B73E5E" w:rsidRPr="00847D21">
        <w:rPr>
          <w:lang w:val="en-CA"/>
        </w:rPr>
        <w:t>These policies built upon the desire to balance provincial or regional flexibility with the federal government’s capacity for red</w:t>
      </w:r>
      <w:r w:rsidR="00C0458F">
        <w:rPr>
          <w:lang w:val="en-CA"/>
        </w:rPr>
        <w:t>istributing resources and ensuring</w:t>
      </w:r>
      <w:r w:rsidR="00B73E5E" w:rsidRPr="00847D21">
        <w:rPr>
          <w:lang w:val="en-CA"/>
        </w:rPr>
        <w:t xml:space="preserve"> that all the healthcare systems aligned with national goals of universality, comprehensiveness, public administration, portability, and accessibility</w:t>
      </w:r>
      <w:r w:rsidR="00E12390">
        <w:rPr>
          <w:lang w:val="en-CA"/>
        </w:rPr>
        <w:t xml:space="preserve"> (Marchildon, 2012)</w:t>
      </w:r>
      <w:r w:rsidR="00B73E5E" w:rsidRPr="00847D21">
        <w:rPr>
          <w:lang w:val="en-CA"/>
        </w:rPr>
        <w:t>.</w:t>
      </w:r>
    </w:p>
    <w:p w14:paraId="40012D4A" w14:textId="77777777" w:rsidR="00D34330" w:rsidRPr="00847D21" w:rsidRDefault="0092323A" w:rsidP="00961C4E">
      <w:pPr>
        <w:widowControl w:val="0"/>
        <w:autoSpaceDE w:val="0"/>
        <w:autoSpaceDN w:val="0"/>
        <w:adjustRightInd w:val="0"/>
        <w:spacing w:line="480" w:lineRule="auto"/>
        <w:rPr>
          <w:lang w:val="en-CA"/>
        </w:rPr>
      </w:pPr>
      <w:r w:rsidRPr="00847D21">
        <w:rPr>
          <w:lang w:val="en-CA"/>
        </w:rPr>
        <w:tab/>
        <w:t>While the HIDS Act certainly favoured a universal health care system that de-emphasized specialized facilities, and instead centralized services through the general hospital, it merely hastened the shift away from large-scale custodial psychiatric facilities</w:t>
      </w:r>
      <w:r w:rsidR="00C0458F">
        <w:rPr>
          <w:lang w:val="en-CA"/>
        </w:rPr>
        <w:t xml:space="preserve"> that was already underway</w:t>
      </w:r>
      <w:r w:rsidRPr="00847D21">
        <w:rPr>
          <w:lang w:val="en-CA"/>
        </w:rPr>
        <w:t xml:space="preserve">.  By </w:t>
      </w:r>
      <w:r w:rsidR="00475291" w:rsidRPr="00847D21">
        <w:rPr>
          <w:lang w:val="en-CA"/>
        </w:rPr>
        <w:t xml:space="preserve">the late 1960s large-scale </w:t>
      </w:r>
      <w:r w:rsidRPr="00847D21">
        <w:rPr>
          <w:lang w:val="en-CA"/>
        </w:rPr>
        <w:t xml:space="preserve">psychiatric </w:t>
      </w:r>
      <w:r w:rsidR="00475291" w:rsidRPr="00847D21">
        <w:rPr>
          <w:lang w:val="en-CA"/>
        </w:rPr>
        <w:t>institutions in all Canadian provinces reduce</w:t>
      </w:r>
      <w:r w:rsidRPr="00847D21">
        <w:rPr>
          <w:lang w:val="en-CA"/>
        </w:rPr>
        <w:t>d</w:t>
      </w:r>
      <w:r w:rsidR="00475291" w:rsidRPr="00847D21">
        <w:rPr>
          <w:lang w:val="en-CA"/>
        </w:rPr>
        <w:t xml:space="preserve"> their patient populations. Some provinces, such as Saskatchewan, moved quickly, </w:t>
      </w:r>
      <w:r w:rsidR="0053779C">
        <w:rPr>
          <w:lang w:val="en-CA"/>
        </w:rPr>
        <w:t>while</w:t>
      </w:r>
      <w:r w:rsidR="00475291" w:rsidRPr="00847D21">
        <w:rPr>
          <w:lang w:val="en-CA"/>
        </w:rPr>
        <w:t xml:space="preserve"> Alberta adopted a more gradual approach. </w:t>
      </w:r>
      <w:r w:rsidR="0053779C">
        <w:rPr>
          <w:lang w:val="en-CA"/>
        </w:rPr>
        <w:t xml:space="preserve"> In Quebec, Hospice Saint-Jean-de-Dieu’s patient population reached a high point in 1961 with over 9,000 patients; a decade later there were 304 who remained in the facility, with another nearly 600 living in </w:t>
      </w:r>
      <w:r w:rsidR="00762DFC">
        <w:rPr>
          <w:lang w:val="en-CA"/>
        </w:rPr>
        <w:t>approved homes monitored by the institutional health care staff</w:t>
      </w:r>
      <w:r w:rsidR="00E12390">
        <w:rPr>
          <w:lang w:val="en-CA"/>
        </w:rPr>
        <w:t xml:space="preserve"> (Dagenais, 2016)</w:t>
      </w:r>
      <w:r w:rsidR="00762DFC">
        <w:rPr>
          <w:lang w:val="en-CA"/>
        </w:rPr>
        <w:t>. Similarly in Halifax, the provincially run Nova Scotia Hospital discharged nearly 4,000 patients in 1973, precipitating a rapid decline in the long-stay population</w:t>
      </w:r>
      <w:r w:rsidR="00E12390">
        <w:rPr>
          <w:lang w:val="en-CA"/>
        </w:rPr>
        <w:t xml:space="preserve"> (Baker, 2016).</w:t>
      </w:r>
      <w:r w:rsidR="00762DFC">
        <w:rPr>
          <w:lang w:val="en-CA"/>
        </w:rPr>
        <w:t xml:space="preserve"> </w:t>
      </w:r>
    </w:p>
    <w:p w14:paraId="08334D2C" w14:textId="77777777" w:rsidR="00762DFC" w:rsidRDefault="00685423" w:rsidP="00A97CF1">
      <w:pPr>
        <w:spacing w:line="480" w:lineRule="auto"/>
        <w:ind w:firstLine="720"/>
        <w:rPr>
          <w:rFonts w:cs="Times New Roman"/>
        </w:rPr>
      </w:pPr>
      <w:r w:rsidRPr="00847D21">
        <w:rPr>
          <w:rFonts w:cs="Times New Roman"/>
        </w:rPr>
        <w:lastRenderedPageBreak/>
        <w:t>Deinstitutionalization may have signaled the end of the age of the asylum and the dawn of</w:t>
      </w:r>
      <w:r w:rsidR="0092323A" w:rsidRPr="00847D21">
        <w:rPr>
          <w:rFonts w:cs="Times New Roman"/>
        </w:rPr>
        <w:t xml:space="preserve"> a new mental health care era aimed at reducing stigma and medicalizing illness, treating it as any other disease or disorder requiring clinical care.  But, this shift in policy d</w:t>
      </w:r>
      <w:r w:rsidRPr="00847D21">
        <w:rPr>
          <w:rFonts w:cs="Times New Roman"/>
        </w:rPr>
        <w:t xml:space="preserve">id not coincide with a decline in the numbers of individuals and families seeking assistance. Quite the opposite occurred. Where the asylum had ostensibly provided a set of services under one roof, problematic though they may have been, the post-asylum world involved a complicated matrix of </w:t>
      </w:r>
      <w:r w:rsidR="001E1D0F">
        <w:rPr>
          <w:rFonts w:cs="Times New Roman"/>
        </w:rPr>
        <w:t>fragmented</w:t>
      </w:r>
      <w:r w:rsidR="003B4670">
        <w:rPr>
          <w:rFonts w:cs="Times New Roman"/>
        </w:rPr>
        <w:t xml:space="preserve"> </w:t>
      </w:r>
      <w:r w:rsidRPr="00847D21">
        <w:rPr>
          <w:rFonts w:cs="Times New Roman"/>
        </w:rPr>
        <w:t xml:space="preserve">services. </w:t>
      </w:r>
      <w:r w:rsidR="00762DFC">
        <w:rPr>
          <w:rFonts w:cs="Times New Roman"/>
        </w:rPr>
        <w:t xml:space="preserve">The mental health system that emerged was thus </w:t>
      </w:r>
      <w:r w:rsidRPr="00847D21">
        <w:rPr>
          <w:rFonts w:cs="Times New Roman"/>
        </w:rPr>
        <w:t xml:space="preserve">not under the jurisdiction of any one governmental department, and did not necessarily fit neatly into Canada’s constitutional federalist framework. </w:t>
      </w:r>
      <w:r w:rsidR="00762DFC">
        <w:rPr>
          <w:rFonts w:cs="Times New Roman"/>
        </w:rPr>
        <w:t xml:space="preserve"> </w:t>
      </w:r>
      <w:r w:rsidR="00A97CF1" w:rsidRPr="00847D21">
        <w:rPr>
          <w:rFonts w:cs="Times New Roman"/>
        </w:rPr>
        <w:t>Medical services, housing and employment needs along with financial and family support services required a delicate degree of bureaucratic coordination in a Kafkaesque world of red tape</w:t>
      </w:r>
      <w:r w:rsidR="001E1D0F">
        <w:rPr>
          <w:rFonts w:cs="Times New Roman"/>
        </w:rPr>
        <w:t>, which was challenging for civil servants to negotiate, let alone for patients and families to sift through successfully</w:t>
      </w:r>
      <w:r w:rsidR="00A97CF1" w:rsidRPr="00847D21">
        <w:rPr>
          <w:rFonts w:cs="Times New Roman"/>
        </w:rPr>
        <w:t xml:space="preserve">. </w:t>
      </w:r>
      <w:r w:rsidR="00A97CF1">
        <w:rPr>
          <w:rFonts w:cs="Times New Roman"/>
        </w:rPr>
        <w:t xml:space="preserve"> T</w:t>
      </w:r>
      <w:r w:rsidR="00762DFC">
        <w:rPr>
          <w:rFonts w:cs="Times New Roman"/>
        </w:rPr>
        <w:t>he transition in service delivery was often slow and piecemeal, e</w:t>
      </w:r>
      <w:r w:rsidR="00A97CF1">
        <w:rPr>
          <w:rFonts w:cs="Times New Roman"/>
        </w:rPr>
        <w:t xml:space="preserve">xposing gaps between programs and needs, and stimulating ex-patient activism.  </w:t>
      </w:r>
      <w:r w:rsidR="001E1D0F">
        <w:rPr>
          <w:rFonts w:cs="Times New Roman"/>
        </w:rPr>
        <w:t xml:space="preserve">Health activists </w:t>
      </w:r>
      <w:r w:rsidR="00A97CF1">
        <w:rPr>
          <w:rFonts w:cs="Times New Roman"/>
        </w:rPr>
        <w:t>criticized the poor state of mental health services that forced people into emergency wards or onto the streets, but offered few supported services in between</w:t>
      </w:r>
      <w:r w:rsidR="00E12390">
        <w:rPr>
          <w:rFonts w:cs="Times New Roman"/>
        </w:rPr>
        <w:t xml:space="preserve"> (Mitchell, 2016)</w:t>
      </w:r>
      <w:r w:rsidR="00A97CF1">
        <w:rPr>
          <w:rFonts w:cs="Times New Roman"/>
        </w:rPr>
        <w:t xml:space="preserve">. </w:t>
      </w:r>
    </w:p>
    <w:p w14:paraId="332449EE" w14:textId="77777777" w:rsidR="00847D21" w:rsidRDefault="00847D21" w:rsidP="00961C4E">
      <w:pPr>
        <w:widowControl w:val="0"/>
        <w:autoSpaceDE w:val="0"/>
        <w:autoSpaceDN w:val="0"/>
        <w:adjustRightInd w:val="0"/>
        <w:spacing w:line="480" w:lineRule="auto"/>
        <w:ind w:firstLine="720"/>
        <w:rPr>
          <w:rFonts w:cs="Times New Roman"/>
        </w:rPr>
      </w:pPr>
      <w:r w:rsidRPr="00847D21">
        <w:rPr>
          <w:rFonts w:cs="Times New Roman"/>
        </w:rPr>
        <w:t xml:space="preserve">In 2004, Canadian psychiatrists Patricia Sealy and Paul Whitehead assessed deinstitutionalization over a forty-year period beginning in the 1960s. </w:t>
      </w:r>
      <w:r>
        <w:rPr>
          <w:rFonts w:cs="Times New Roman"/>
        </w:rPr>
        <w:t xml:space="preserve">They </w:t>
      </w:r>
      <w:r w:rsidRPr="00847D21">
        <w:rPr>
          <w:rFonts w:cs="Times New Roman"/>
        </w:rPr>
        <w:t xml:space="preserve">suggested expanding the definition from a simple movement out of custodial care to a wider understanding that includes a broader and more varied set of experiences. At its core, a weakened dependence on large-scale hospitalization persisted, but the </w:t>
      </w:r>
      <w:r w:rsidRPr="00847D21">
        <w:rPr>
          <w:rFonts w:cs="Times New Roman"/>
        </w:rPr>
        <w:lastRenderedPageBreak/>
        <w:t xml:space="preserve">process of reorganizing the system also introduced new features of transinstitutionalization, or the movement through a new set of institutions, whether penitentiaries, nursing homes, hospitals, and, or, </w:t>
      </w:r>
      <w:r>
        <w:rPr>
          <w:rFonts w:cs="Times New Roman"/>
        </w:rPr>
        <w:t>out-patient</w:t>
      </w:r>
      <w:r w:rsidRPr="00847D21">
        <w:rPr>
          <w:rFonts w:cs="Times New Roman"/>
        </w:rPr>
        <w:t xml:space="preserve"> psychiatric facilities. They found a distinctive rise in the number of short-stay admissions in general hospitals, alongside a proliferation of community-based outpatient services. Sealy and Whitehead concluded that deinstitutionalization involved fundamental changes in service delivery, which ricocheted through </w:t>
      </w:r>
      <w:r w:rsidR="001E1D0F">
        <w:rPr>
          <w:rFonts w:cs="Times New Roman"/>
        </w:rPr>
        <w:t>the provinces</w:t>
      </w:r>
      <w:r w:rsidRPr="00847D21">
        <w:rPr>
          <w:rFonts w:cs="Times New Roman"/>
        </w:rPr>
        <w:t xml:space="preserve"> in uneven ways, creating new state expenditures and putting pressure on traditional systems to absorb the impact of these decisions</w:t>
      </w:r>
      <w:r w:rsidR="00E12390">
        <w:rPr>
          <w:rFonts w:cs="Times New Roman"/>
        </w:rPr>
        <w:t xml:space="preserve"> (Sealy and Whitehead, 2004)</w:t>
      </w:r>
      <w:r w:rsidRPr="00847D21">
        <w:rPr>
          <w:rFonts w:cs="Times New Roman"/>
        </w:rPr>
        <w:t xml:space="preserve">. </w:t>
      </w:r>
    </w:p>
    <w:p w14:paraId="12350B1A" w14:textId="77777777" w:rsidR="00EF7525" w:rsidRPr="00847D21" w:rsidRDefault="00EF7525" w:rsidP="00EF7525">
      <w:pPr>
        <w:widowControl w:val="0"/>
        <w:autoSpaceDE w:val="0"/>
        <w:autoSpaceDN w:val="0"/>
        <w:adjustRightInd w:val="0"/>
        <w:spacing w:line="480" w:lineRule="auto"/>
        <w:ind w:firstLine="720"/>
        <w:rPr>
          <w:lang w:val="en-CA"/>
        </w:rPr>
      </w:pPr>
      <w:r>
        <w:rPr>
          <w:lang w:val="en-CA"/>
        </w:rPr>
        <w:t>B</w:t>
      </w:r>
      <w:r w:rsidRPr="00847D21">
        <w:rPr>
          <w:lang w:val="en-CA"/>
        </w:rPr>
        <w:t>etween 1975 and 1980, 62 per cent of the closures associated with this strategy took place across Canada</w:t>
      </w:r>
      <w:r>
        <w:rPr>
          <w:lang w:val="en-CA"/>
        </w:rPr>
        <w:t>, whereas before the Second World War nearly 75</w:t>
      </w:r>
      <w:r w:rsidR="00A02EE9">
        <w:rPr>
          <w:lang w:val="en-CA"/>
        </w:rPr>
        <w:t xml:space="preserve"> per</w:t>
      </w:r>
      <w:r w:rsidR="006A284A">
        <w:rPr>
          <w:lang w:val="en-CA"/>
        </w:rPr>
        <w:t xml:space="preserve"> </w:t>
      </w:r>
      <w:r w:rsidR="00A02EE9">
        <w:rPr>
          <w:lang w:val="en-CA"/>
        </w:rPr>
        <w:t>cent</w:t>
      </w:r>
      <w:r w:rsidR="006A284A">
        <w:rPr>
          <w:lang w:val="en-CA"/>
        </w:rPr>
        <w:t xml:space="preserve"> </w:t>
      </w:r>
      <w:r>
        <w:rPr>
          <w:lang w:val="en-CA"/>
        </w:rPr>
        <w:t>of patients in psychiatric hospitals spent their entire lives institutionalized once they entered a psychiatric facility</w:t>
      </w:r>
      <w:r w:rsidRPr="00847D21">
        <w:rPr>
          <w:lang w:val="en-CA"/>
        </w:rPr>
        <w:t xml:space="preserve">. </w:t>
      </w:r>
      <w:r>
        <w:rPr>
          <w:lang w:val="en-CA"/>
        </w:rPr>
        <w:t>By the 1970s s</w:t>
      </w:r>
      <w:r w:rsidRPr="00847D21">
        <w:rPr>
          <w:lang w:val="en-CA"/>
        </w:rPr>
        <w:t xml:space="preserve">ome patients, especially the young and middle aged, went </w:t>
      </w:r>
      <w:r>
        <w:rPr>
          <w:lang w:val="en-CA"/>
        </w:rPr>
        <w:t>in</w:t>
      </w:r>
      <w:r w:rsidRPr="00847D21">
        <w:rPr>
          <w:lang w:val="en-CA"/>
        </w:rPr>
        <w:t>to new facilities, or were released permanently into the surrounding comm</w:t>
      </w:r>
      <w:r>
        <w:rPr>
          <w:lang w:val="en-CA"/>
        </w:rPr>
        <w:t>unities. Many elderly patients</w:t>
      </w:r>
      <w:r w:rsidRPr="00847D21">
        <w:rPr>
          <w:lang w:val="en-CA"/>
        </w:rPr>
        <w:t xml:space="preserve"> were transferred to old age homes, continuing a life of institutionalization and moving onto a different budget line, outside the domain of health care per se.</w:t>
      </w:r>
      <w:r>
        <w:rPr>
          <w:lang w:val="en-CA"/>
        </w:rPr>
        <w:t xml:space="preserve">  Staff often followed patients into the community or into adjacent institutions, including nursing homes.  Historian Chris Dooley interviewed former psychiatric nurses working in Manitoba and found that: “</w:t>
      </w:r>
      <w:r>
        <w:rPr>
          <w:rFonts w:eastAsia="Times New Roman" w:cs="Times New Roman"/>
        </w:rPr>
        <w:t xml:space="preserve">Several former practitioners singled out nursing homes as sites of inadequate care, noting that former patients living in these facilities were far more likely to be subject to restraint - physical and chemical - and more apt to be over-medicated than they had been in their prior institutional settings.” One interviewee put it </w:t>
      </w:r>
      <w:r>
        <w:rPr>
          <w:rFonts w:eastAsia="Times New Roman" w:cs="Times New Roman"/>
        </w:rPr>
        <w:lastRenderedPageBreak/>
        <w:t>simply: “the nursing homes were often the worst.” (Dooley, 2016).</w:t>
      </w:r>
    </w:p>
    <w:p w14:paraId="17F79D8B" w14:textId="77777777" w:rsidR="001E1D0F" w:rsidRDefault="001E1D0F" w:rsidP="001E1D0F">
      <w:pPr>
        <w:widowControl w:val="0"/>
        <w:autoSpaceDE w:val="0"/>
        <w:autoSpaceDN w:val="0"/>
        <w:adjustRightInd w:val="0"/>
        <w:spacing w:line="480" w:lineRule="auto"/>
        <w:rPr>
          <w:rFonts w:cs="Times New Roman"/>
        </w:rPr>
      </w:pPr>
    </w:p>
    <w:p w14:paraId="1163A0B6" w14:textId="77777777" w:rsidR="001E1D0F" w:rsidRPr="001E1D0F" w:rsidRDefault="001E1D0F" w:rsidP="001E1D0F">
      <w:pPr>
        <w:widowControl w:val="0"/>
        <w:autoSpaceDE w:val="0"/>
        <w:autoSpaceDN w:val="0"/>
        <w:adjustRightInd w:val="0"/>
        <w:spacing w:line="480" w:lineRule="auto"/>
        <w:rPr>
          <w:rFonts w:cs="Times New Roman"/>
          <w:b/>
        </w:rPr>
      </w:pPr>
      <w:r>
        <w:rPr>
          <w:rFonts w:cs="Times New Roman"/>
          <w:b/>
        </w:rPr>
        <w:t>Assessing Care in the Community</w:t>
      </w:r>
    </w:p>
    <w:p w14:paraId="361916F9" w14:textId="6BEAEF28" w:rsidR="00847D21" w:rsidRDefault="00A97CF1" w:rsidP="00A97CF1">
      <w:pPr>
        <w:widowControl w:val="0"/>
        <w:autoSpaceDE w:val="0"/>
        <w:autoSpaceDN w:val="0"/>
        <w:adjustRightInd w:val="0"/>
        <w:spacing w:line="480" w:lineRule="auto"/>
        <w:ind w:firstLine="720"/>
      </w:pPr>
      <w:r>
        <w:t xml:space="preserve">Saskatchewan, the province that had pioneered both medicare and Canada’s experiment with psychiatric care in the community, became a focal point for follow up studies in an attempt to measure the impact of the policy changes on the ground.  </w:t>
      </w:r>
      <w:r w:rsidR="00713757" w:rsidRPr="00847D21">
        <w:t>Carl D’Arcy</w:t>
      </w:r>
      <w:r w:rsidR="00847D21">
        <w:t>, professor of psychiatry</w:t>
      </w:r>
      <w:r w:rsidR="00713757" w:rsidRPr="00847D21">
        <w:t xml:space="preserve"> at the University of Saskatchewan</w:t>
      </w:r>
      <w:r w:rsidR="00847D21">
        <w:t>,</w:t>
      </w:r>
      <w:r w:rsidR="00713757" w:rsidRPr="00847D21">
        <w:t xml:space="preserve"> found that, “approximately 123,000 patients who received treatment in the province during the period 1971-2, 80 percent or more were seen in the private sector”</w:t>
      </w:r>
      <w:r w:rsidR="001E1D0F">
        <w:t>, that is, outside of the publicly funded healthcare arena, whether through private counselors or insured services that fell outside of the list of medically necessary procedures.</w:t>
      </w:r>
      <w:r w:rsidR="00713757" w:rsidRPr="00847D21">
        <w:t xml:space="preserve"> </w:t>
      </w:r>
      <w:r w:rsidR="001E1D0F">
        <w:t>D’Arcy</w:t>
      </w:r>
      <w:r w:rsidR="00713757" w:rsidRPr="00847D21">
        <w:t xml:space="preserve"> looked back at the changes </w:t>
      </w:r>
      <w:r w:rsidR="001E1D0F">
        <w:t xml:space="preserve">since 1962, </w:t>
      </w:r>
      <w:r w:rsidR="00713757" w:rsidRPr="00847D21">
        <w:t>arguing that overall it had resulted in an increase in the volume of people in the mental health system, “with the greatest increase occurring in the private sector; and an increase in the proportion of persons being treated as outpatients rather than inpatients.”</w:t>
      </w:r>
      <w:r w:rsidR="00E12390">
        <w:t xml:space="preserve"> (D’Arcy</w:t>
      </w:r>
      <w:r w:rsidR="002C5919">
        <w:t xml:space="preserve"> and Fritz</w:t>
      </w:r>
      <w:r w:rsidR="00E12390">
        <w:t>, 1979)</w:t>
      </w:r>
      <w:r w:rsidR="00653493">
        <w:t>.  The increased reliance of private services suggests that more people used private insurance, or paid for services rather than resorting to the options available through medicare.  Resultantly, those seeking hospital-based care for psychiatric illnesses were those who could not afford private care or had no private insurance. Already identified among the lower socio-economic ranks, these patients entered the system through family physician offices and emergency rooms.</w:t>
      </w:r>
    </w:p>
    <w:p w14:paraId="78DB5384" w14:textId="77777777" w:rsidR="00065D24" w:rsidRDefault="00713757" w:rsidP="003C7AED">
      <w:pPr>
        <w:widowControl w:val="0"/>
        <w:autoSpaceDE w:val="0"/>
        <w:autoSpaceDN w:val="0"/>
        <w:adjustRightInd w:val="0"/>
        <w:spacing w:line="480" w:lineRule="auto"/>
        <w:ind w:firstLine="720"/>
      </w:pPr>
      <w:r w:rsidRPr="00847D21">
        <w:t xml:space="preserve">The most significant change in the system, according to D’Arcy, was not the numbers, but the types of people who were increasingly </w:t>
      </w:r>
      <w:r w:rsidR="00653493">
        <w:t>sought private care</w:t>
      </w:r>
    </w:p>
    <w:p w14:paraId="124BD617" w14:textId="77777777" w:rsidR="00065D24" w:rsidRDefault="00065D24" w:rsidP="003C7AED">
      <w:pPr>
        <w:widowControl w:val="0"/>
        <w:autoSpaceDE w:val="0"/>
        <w:autoSpaceDN w:val="0"/>
        <w:adjustRightInd w:val="0"/>
        <w:spacing w:line="480" w:lineRule="auto"/>
        <w:ind w:firstLine="720"/>
      </w:pPr>
    </w:p>
    <w:p w14:paraId="7B93126A" w14:textId="111FF6CD" w:rsidR="00C773C1" w:rsidRDefault="00713757" w:rsidP="003C7AED">
      <w:pPr>
        <w:widowControl w:val="0"/>
        <w:autoSpaceDE w:val="0"/>
        <w:autoSpaceDN w:val="0"/>
        <w:adjustRightInd w:val="0"/>
        <w:spacing w:line="480" w:lineRule="auto"/>
        <w:ind w:firstLine="720"/>
      </w:pPr>
      <w:r w:rsidRPr="00847D21">
        <w:t>.  He showed that “the top two categories [for admission], managerial and professional, show an increase in rates of hospitalization during the 1960s, whereas the bottom three categories, craftsmen and miners, labourers, and not stated, had considerable d</w:t>
      </w:r>
      <w:r w:rsidR="00EF7525">
        <w:t>ecreases</w:t>
      </w:r>
      <w:r w:rsidRPr="00847D21">
        <w:t>”</w:t>
      </w:r>
      <w:r w:rsidR="00EA61CC">
        <w:t xml:space="preserve"> (D’Arcy </w:t>
      </w:r>
      <w:r w:rsidR="002C5919">
        <w:t xml:space="preserve">and Fritz, </w:t>
      </w:r>
      <w:r w:rsidR="00EA61CC">
        <w:t>1979).</w:t>
      </w:r>
      <w:r w:rsidR="00847D21">
        <w:t xml:space="preserve"> He suggested that the change in socio-economic demographics be explained in part due to the </w:t>
      </w:r>
      <w:r w:rsidRPr="00847D21">
        <w:t xml:space="preserve">decreasing stigma surrounding mental illness </w:t>
      </w:r>
      <w:r w:rsidR="00847D21">
        <w:t xml:space="preserve">as a result of treating it in general facilities, like other physical ailments.  </w:t>
      </w:r>
      <w:r w:rsidR="00C773C1">
        <w:t>But, perhaps even more significantly, the reorientation into a centralized system meant that the facilities themselves were drama</w:t>
      </w:r>
      <w:r w:rsidR="00EF7525">
        <w:t xml:space="preserve">tic improvements over the often </w:t>
      </w:r>
      <w:r w:rsidR="00C773C1">
        <w:t xml:space="preserve">dilapidated buildings that housed patients in the past.  Patients were more willing to come to </w:t>
      </w:r>
      <w:r w:rsidR="003B4670">
        <w:t>a</w:t>
      </w:r>
      <w:r w:rsidR="00C773C1">
        <w:t xml:space="preserve"> hospital</w:t>
      </w:r>
      <w:r w:rsidR="003B4670">
        <w:t>’s emergency department</w:t>
      </w:r>
      <w:r w:rsidR="00C773C1">
        <w:t xml:space="preserve"> for psychiatric care, armed with the knowledge that acute care options were not only available but preferred over long-term, chronic care, or spending the rest of one’s life in an institution.  He went on to suggest that</w:t>
      </w:r>
      <w:r w:rsidRPr="00847D21">
        <w:t>, “lower socioeconomic st</w:t>
      </w:r>
      <w:r w:rsidR="001E1D0F">
        <w:t>rat</w:t>
      </w:r>
      <w:r w:rsidRPr="00847D21">
        <w:t xml:space="preserve">um individuals are more likely to actively seek out medical intervention early in the course of a psychiatric disorder.” </w:t>
      </w:r>
      <w:r w:rsidR="003C7AED">
        <w:t>This finding was particularly significant as early detection more often resulted in better outcomes, both in terms of clinical care and independence, defined by an ability to retain employment, housing, and social networks.</w:t>
      </w:r>
    </w:p>
    <w:p w14:paraId="5436630B" w14:textId="77777777" w:rsidR="00713757" w:rsidRPr="00847D21" w:rsidRDefault="00A97CF1" w:rsidP="003C7AED">
      <w:pPr>
        <w:widowControl w:val="0"/>
        <w:autoSpaceDE w:val="0"/>
        <w:autoSpaceDN w:val="0"/>
        <w:adjustRightInd w:val="0"/>
        <w:spacing w:line="480" w:lineRule="auto"/>
        <w:ind w:firstLine="720"/>
      </w:pPr>
      <w:r>
        <w:t>D’arcy’s study also</w:t>
      </w:r>
      <w:r w:rsidR="00713757" w:rsidRPr="00847D21">
        <w:t xml:space="preserve"> revealed drastic differences in the way that </w:t>
      </w:r>
      <w:r>
        <w:t>Indigenous</w:t>
      </w:r>
      <w:r w:rsidR="00713757" w:rsidRPr="00847D21">
        <w:t xml:space="preserve"> communities access</w:t>
      </w:r>
      <w:r w:rsidR="00C773C1">
        <w:t>ed</w:t>
      </w:r>
      <w:r w:rsidR="00713757" w:rsidRPr="00847D21">
        <w:t xml:space="preserve"> th</w:t>
      </w:r>
      <w:r w:rsidR="00C773C1">
        <w:t xml:space="preserve">e mental health system, </w:t>
      </w:r>
      <w:r>
        <w:t>citing</w:t>
      </w:r>
      <w:r w:rsidR="00713757" w:rsidRPr="00847D21">
        <w:t xml:space="preserve"> severe underutilization</w:t>
      </w:r>
      <w:r>
        <w:t xml:space="preserve"> in the new provincialized system</w:t>
      </w:r>
      <w:r w:rsidR="00713757" w:rsidRPr="00847D21">
        <w:t>.</w:t>
      </w:r>
      <w:r w:rsidR="003C7AED">
        <w:t xml:space="preserve">  Indigenous cases fell to the bottom of the list in terms of accessing mental health services, suggesting both long-term concerns </w:t>
      </w:r>
      <w:r w:rsidR="003C7AED">
        <w:lastRenderedPageBreak/>
        <w:t>about service provision in Indigenous communities, as well as long-held assumptions about inherent differences in the kinds of care required and whether the federal or provincial government was ultimately responsible for the cost of these services.</w:t>
      </w:r>
      <w:r w:rsidR="00713757" w:rsidRPr="00847D21">
        <w:t>”</w:t>
      </w:r>
      <w:r w:rsidR="00EA61CC">
        <w:t xml:space="preserve"> (D’Arcy</w:t>
      </w:r>
      <w:r w:rsidR="002C5919">
        <w:t xml:space="preserve"> and Fritz</w:t>
      </w:r>
      <w:r w:rsidR="00EA61CC">
        <w:t>, 1979).</w:t>
      </w:r>
      <w:r w:rsidR="00713757" w:rsidRPr="00847D21">
        <w:t xml:space="preserve"> </w:t>
      </w:r>
      <w:r w:rsidR="00C773C1">
        <w:t>While his study focused on experiences in Saskatchewan</w:t>
      </w:r>
      <w:r w:rsidR="00713757" w:rsidRPr="00847D21">
        <w:t xml:space="preserve">, his findings pointed to a serious disparity in health care use and outcomes among the </w:t>
      </w:r>
      <w:r w:rsidR="003C7AED">
        <w:t>Indigenous</w:t>
      </w:r>
      <w:r w:rsidR="00713757" w:rsidRPr="00847D21">
        <w:t xml:space="preserve"> population</w:t>
      </w:r>
      <w:r w:rsidR="00C773C1">
        <w:t xml:space="preserve"> that applied more broadly across Canada</w:t>
      </w:r>
      <w:r w:rsidR="00713757" w:rsidRPr="00847D21">
        <w:t xml:space="preserve">.  </w:t>
      </w:r>
      <w:r w:rsidR="00C773C1">
        <w:t>D’Arcy</w:t>
      </w:r>
      <w:r w:rsidR="00713757" w:rsidRPr="00847D21">
        <w:t xml:space="preserve"> suggested that community-based services were lacking in regions with a higher Indigenous population, forcing people in need of mental health treatment to leave their communities and seek care that required hospital stays, or to seek care only when problems were severe enough to warrant more intensive, in-hospital treatment.  As historian Maureen Lux has also shown in the case of Indian hospitals, there were also much deeper challenges plagued by mistrust, racism, and non-Indigenous staff that compounded the issue</w:t>
      </w:r>
      <w:r w:rsidR="00C773C1">
        <w:t xml:space="preserve"> of seeking care</w:t>
      </w:r>
      <w:r w:rsidR="00EA61CC">
        <w:t xml:space="preserve"> (Lux, 2016)</w:t>
      </w:r>
      <w:r w:rsidR="00713757" w:rsidRPr="00847D21">
        <w:t>.</w:t>
      </w:r>
    </w:p>
    <w:p w14:paraId="4582849F" w14:textId="77777777" w:rsidR="00713757" w:rsidRPr="00847D21" w:rsidRDefault="00713757" w:rsidP="00961C4E">
      <w:pPr>
        <w:spacing w:line="480" w:lineRule="auto"/>
        <w:rPr>
          <w:rFonts w:cs="Times New Roman"/>
        </w:rPr>
      </w:pPr>
      <w:r w:rsidRPr="00847D21">
        <w:rPr>
          <w:rFonts w:cs="Times New Roman"/>
        </w:rPr>
        <w:tab/>
      </w:r>
      <w:r w:rsidR="00C773C1">
        <w:rPr>
          <w:rFonts w:cs="Times New Roman"/>
        </w:rPr>
        <w:t xml:space="preserve">Other researchers and service providers began conducting further assessments of the effects of deinstitutionalization on the quality of care for people with mental illness and routinely found a disturbing correlation between a lack of services and growing socio-economic disparities.  </w:t>
      </w:r>
      <w:r w:rsidRPr="00847D21">
        <w:rPr>
          <w:rFonts w:cs="Times New Roman"/>
        </w:rPr>
        <w:t xml:space="preserve">In 1989 </w:t>
      </w:r>
      <w:r w:rsidR="00C773C1">
        <w:rPr>
          <w:rFonts w:cs="Times New Roman"/>
        </w:rPr>
        <w:t xml:space="preserve">Saskatchewan-based </w:t>
      </w:r>
      <w:r w:rsidR="006A284A">
        <w:rPr>
          <w:rFonts w:cs="Times New Roman"/>
        </w:rPr>
        <w:t>researchers</w:t>
      </w:r>
      <w:r w:rsidR="00C773C1">
        <w:rPr>
          <w:rFonts w:cs="Times New Roman"/>
        </w:rPr>
        <w:t xml:space="preserve"> </w:t>
      </w:r>
      <w:r w:rsidRPr="00847D21">
        <w:rPr>
          <w:rFonts w:cs="Times New Roman"/>
        </w:rPr>
        <w:t xml:space="preserve">Colin Smith </w:t>
      </w:r>
      <w:r w:rsidR="006A284A">
        <w:rPr>
          <w:rFonts w:cs="Times New Roman"/>
        </w:rPr>
        <w:t xml:space="preserve">and Nancy Herman </w:t>
      </w:r>
      <w:r w:rsidR="00C773C1">
        <w:rPr>
          <w:rFonts w:cs="Times New Roman"/>
        </w:rPr>
        <w:t>indicated</w:t>
      </w:r>
      <w:r w:rsidRPr="00847D21">
        <w:rPr>
          <w:rFonts w:cs="Times New Roman"/>
        </w:rPr>
        <w:t xml:space="preserve"> that, “in Canada like the United States, there was no absence of problems.  Few mourned the shrinkage or loss of mental hospitals, but soon, there were complaints of patients being ‘dumped’ into the community with some ending up in nursing homes, gaols, or ghettoes.”</w:t>
      </w:r>
      <w:r w:rsidR="00EA61CC">
        <w:rPr>
          <w:rFonts w:cs="Times New Roman"/>
        </w:rPr>
        <w:t xml:space="preserve"> (Herman and Smith, 1989).</w:t>
      </w:r>
      <w:r w:rsidRPr="00847D21">
        <w:rPr>
          <w:rFonts w:cs="Times New Roman"/>
        </w:rPr>
        <w:t xml:space="preserve"> Teaming up with a sociologist in </w:t>
      </w:r>
      <w:r w:rsidR="00C773C1">
        <w:rPr>
          <w:rFonts w:cs="Times New Roman"/>
        </w:rPr>
        <w:t>Atlantic</w:t>
      </w:r>
      <w:r w:rsidRPr="00847D21">
        <w:rPr>
          <w:rFonts w:cs="Times New Roman"/>
        </w:rPr>
        <w:t xml:space="preserve"> Canada who conducted interviews with ex-patients, they found that there were universal </w:t>
      </w:r>
      <w:r w:rsidRPr="00847D21">
        <w:rPr>
          <w:rFonts w:cs="Times New Roman"/>
        </w:rPr>
        <w:lastRenderedPageBreak/>
        <w:t xml:space="preserve">experiences among the deinstitutionalized </w:t>
      </w:r>
      <w:r w:rsidR="00072402">
        <w:rPr>
          <w:rFonts w:cs="Times New Roman"/>
        </w:rPr>
        <w:t xml:space="preserve">psychiatric patient </w:t>
      </w:r>
      <w:r w:rsidRPr="00847D21">
        <w:rPr>
          <w:rFonts w:cs="Times New Roman"/>
        </w:rPr>
        <w:t>population, which included stigma, inadequate housing, a lack of basic living skills, and rampant unemployment. Indeed, “93% of the ex-patients listed poverty as a problem.” Whereas, “89% of the respondents in this study complained about the quality of care they were receiving in such facilities, specifically in terms of food, space and general living conditions.”</w:t>
      </w:r>
      <w:r w:rsidR="00EA61CC">
        <w:rPr>
          <w:rFonts w:cs="Times New Roman"/>
        </w:rPr>
        <w:t xml:space="preserve"> (Herman and Smith, 1989).</w:t>
      </w:r>
      <w:r w:rsidRPr="00847D21">
        <w:rPr>
          <w:rFonts w:cs="Times New Roman"/>
        </w:rPr>
        <w:t xml:space="preserve"> These comments suggested that conditions outside the institution may have produced some improvements in </w:t>
      </w:r>
      <w:r w:rsidR="00072402">
        <w:rPr>
          <w:rFonts w:cs="Times New Roman"/>
        </w:rPr>
        <w:t xml:space="preserve">personal </w:t>
      </w:r>
      <w:r w:rsidRPr="00847D21">
        <w:rPr>
          <w:rFonts w:cs="Times New Roman"/>
        </w:rPr>
        <w:t xml:space="preserve">autonomy, but those benefits were curtailed by inadequate provisions for exercising independent living.  Researchers concluded that during the contemporary economic recession, “in this era of high unemployment, how can a ‘mental’ patient find a job? For 78% of the sample, securing a ‘normal’ job was impossible.”  They went on to show that, “approximately two-thirds of the sample had tried on numerous occasions to secure non-sheltered employment but failed,” revealing </w:t>
      </w:r>
      <w:r w:rsidR="00072402">
        <w:rPr>
          <w:rFonts w:cs="Times New Roman"/>
        </w:rPr>
        <w:t>a compounded set of problems that moved well beyond the scope of the health care system</w:t>
      </w:r>
      <w:r w:rsidR="00947A88">
        <w:rPr>
          <w:rFonts w:cs="Times New Roman"/>
        </w:rPr>
        <w:t>:</w:t>
      </w:r>
      <w:r w:rsidRPr="00847D21">
        <w:rPr>
          <w:rFonts w:cs="Times New Roman"/>
        </w:rPr>
        <w:t xml:space="preserve">  </w:t>
      </w:r>
    </w:p>
    <w:p w14:paraId="3B26A99E" w14:textId="77777777" w:rsidR="00713757" w:rsidRPr="00847D21" w:rsidRDefault="00713757" w:rsidP="00961C4E">
      <w:pPr>
        <w:spacing w:line="480" w:lineRule="auto"/>
        <w:ind w:left="720"/>
        <w:rPr>
          <w:rFonts w:cs="Times New Roman"/>
        </w:rPr>
      </w:pPr>
      <w:r w:rsidRPr="00847D21">
        <w:rPr>
          <w:rFonts w:cs="Times New Roman"/>
        </w:rPr>
        <w:t>In fact, such persons felt that they were in a ‘catch-22’ situation:  Ex-patients indicated that if they disclosed on job application forms that they had a ‘history of psychiatric illness,’ they were disqualified; so too, did ex-patients state that if they lied on these forms, and their ‘illness’ was subsequently ‘discovered’ they would be fired.</w:t>
      </w:r>
      <w:r w:rsidR="00DC5D0D">
        <w:rPr>
          <w:rFonts w:cs="Times New Roman"/>
        </w:rPr>
        <w:t xml:space="preserve"> (Herman and Smith, 1989).</w:t>
      </w:r>
    </w:p>
    <w:p w14:paraId="5545F4C7" w14:textId="77777777" w:rsidR="00713757" w:rsidRPr="00847D21" w:rsidRDefault="00713757" w:rsidP="00961C4E">
      <w:pPr>
        <w:spacing w:line="480" w:lineRule="auto"/>
        <w:rPr>
          <w:rFonts w:cs="Times New Roman"/>
        </w:rPr>
      </w:pPr>
      <w:r w:rsidRPr="00847D21">
        <w:rPr>
          <w:rFonts w:cs="Times New Roman"/>
        </w:rPr>
        <w:t>This ethnographic inquiry helped to shed light through some of the cracks in the system, exposing the realities of an under-funded and decentralized</w:t>
      </w:r>
      <w:r w:rsidR="00072402">
        <w:rPr>
          <w:rFonts w:cs="Times New Roman"/>
        </w:rPr>
        <w:t xml:space="preserve"> approach to fostering care in the community, with primary health services comprising only a </w:t>
      </w:r>
      <w:r w:rsidR="00072402">
        <w:rPr>
          <w:rFonts w:cs="Times New Roman"/>
        </w:rPr>
        <w:lastRenderedPageBreak/>
        <w:t>small or occasional point of contact for individuals struggling to cope with mental disorders.</w:t>
      </w:r>
      <w:r w:rsidRPr="00847D21">
        <w:rPr>
          <w:rFonts w:cs="Times New Roman"/>
        </w:rPr>
        <w:t xml:space="preserve"> Indeed</w:t>
      </w:r>
      <w:r w:rsidR="00D560FC">
        <w:rPr>
          <w:rFonts w:cs="Times New Roman"/>
        </w:rPr>
        <w:t>,</w:t>
      </w:r>
      <w:r w:rsidRPr="00847D21">
        <w:rPr>
          <w:rFonts w:cs="Times New Roman"/>
        </w:rPr>
        <w:t xml:space="preserve"> the public perception of mental illness often conflated it with homelessness</w:t>
      </w:r>
      <w:r w:rsidR="00D66A53">
        <w:rPr>
          <w:rFonts w:cs="Times New Roman"/>
        </w:rPr>
        <w:t>, and worse, criminality</w:t>
      </w:r>
      <w:r w:rsidR="00DC5D0D">
        <w:rPr>
          <w:rFonts w:cs="Times New Roman"/>
        </w:rPr>
        <w:t xml:space="preserve"> (Grob, 1994; Layton, 2008).</w:t>
      </w:r>
      <w:r w:rsidRPr="00847D21">
        <w:rPr>
          <w:rFonts w:cs="Times New Roman"/>
        </w:rPr>
        <w:t xml:space="preserve"> While this </w:t>
      </w:r>
      <w:r w:rsidR="00072402">
        <w:rPr>
          <w:rFonts w:cs="Times New Roman"/>
        </w:rPr>
        <w:t xml:space="preserve">popular conceptualization </w:t>
      </w:r>
      <w:r w:rsidRPr="00847D21">
        <w:rPr>
          <w:rFonts w:cs="Times New Roman"/>
        </w:rPr>
        <w:t>was often over simplified, the connection between poverty and mental illness persisted, whether from the perspective of ex-patients or civic leaders</w:t>
      </w:r>
      <w:r w:rsidR="00DC5D0D">
        <w:rPr>
          <w:rFonts w:cs="Times New Roman"/>
        </w:rPr>
        <w:t xml:space="preserve"> (Whyte, 2016)</w:t>
      </w:r>
      <w:r w:rsidRPr="00847D21">
        <w:rPr>
          <w:rFonts w:cs="Times New Roman"/>
        </w:rPr>
        <w:t>.</w:t>
      </w:r>
    </w:p>
    <w:p w14:paraId="77CC6316" w14:textId="77777777" w:rsidR="00072402" w:rsidRDefault="00203BBE" w:rsidP="00961C4E">
      <w:pPr>
        <w:spacing w:line="480" w:lineRule="auto"/>
        <w:rPr>
          <w:rFonts w:cs="Times New Roman"/>
        </w:rPr>
      </w:pPr>
      <w:r w:rsidRPr="00847D21">
        <w:rPr>
          <w:rFonts w:cs="Times New Roman"/>
        </w:rPr>
        <w:tab/>
        <w:t xml:space="preserve">In </w:t>
      </w:r>
      <w:r w:rsidR="00713757" w:rsidRPr="00847D21">
        <w:rPr>
          <w:rFonts w:cs="Times New Roman"/>
        </w:rPr>
        <w:t xml:space="preserve">the 1990s </w:t>
      </w:r>
      <w:r w:rsidRPr="00847D21">
        <w:rPr>
          <w:rFonts w:cs="Times New Roman"/>
        </w:rPr>
        <w:t xml:space="preserve">psychiatrist </w:t>
      </w:r>
      <w:r w:rsidR="00072402">
        <w:rPr>
          <w:rFonts w:cs="Times New Roman"/>
        </w:rPr>
        <w:t>Hugh Lafave, at</w:t>
      </w:r>
      <w:r w:rsidR="00713757" w:rsidRPr="00847D21">
        <w:rPr>
          <w:rFonts w:cs="Times New Roman"/>
        </w:rPr>
        <w:t xml:space="preserve"> the Brockville Psychiatric Hospital</w:t>
      </w:r>
      <w:r w:rsidRPr="00847D21">
        <w:rPr>
          <w:rFonts w:cs="Times New Roman"/>
        </w:rPr>
        <w:t xml:space="preserve"> in Ontario</w:t>
      </w:r>
      <w:r w:rsidR="00072402">
        <w:rPr>
          <w:rFonts w:cs="Times New Roman"/>
        </w:rPr>
        <w:t xml:space="preserve">, confronted the question of how poverty and mental illness related.  Lafave had been </w:t>
      </w:r>
      <w:r w:rsidRPr="00847D21">
        <w:rPr>
          <w:rFonts w:cs="Times New Roman"/>
        </w:rPr>
        <w:t xml:space="preserve">one of the original architects of community care in Saskatchewan, </w:t>
      </w:r>
      <w:r w:rsidR="00072402">
        <w:rPr>
          <w:rFonts w:cs="Times New Roman"/>
        </w:rPr>
        <w:t xml:space="preserve">and remained one of the chief proponents of closing mental hospitals.  But, </w:t>
      </w:r>
      <w:r w:rsidRPr="00847D21">
        <w:rPr>
          <w:rFonts w:cs="Times New Roman"/>
        </w:rPr>
        <w:t>he was increasingly</w:t>
      </w:r>
      <w:r w:rsidR="00713757" w:rsidRPr="00847D21">
        <w:rPr>
          <w:rFonts w:cs="Times New Roman"/>
        </w:rPr>
        <w:t xml:space="preserve"> frustrated by the way that the transition</w:t>
      </w:r>
      <w:r w:rsidR="00072402">
        <w:rPr>
          <w:rFonts w:cs="Times New Roman"/>
        </w:rPr>
        <w:t xml:space="preserve"> out of the mental hospital had been splintered into different policy arenas.  Clinical care was only part of the care required to accommodate mental health needs.  Without coordinated services across jurisdictions and policy silos</w:t>
      </w:r>
      <w:r w:rsidR="00D66A53">
        <w:rPr>
          <w:rFonts w:cs="Times New Roman"/>
        </w:rPr>
        <w:t>,</w:t>
      </w:r>
      <w:r w:rsidR="00072402">
        <w:rPr>
          <w:rFonts w:cs="Times New Roman"/>
        </w:rPr>
        <w:t xml:space="preserve"> deinstitutionalized </w:t>
      </w:r>
      <w:r w:rsidR="00713757" w:rsidRPr="00847D21">
        <w:rPr>
          <w:rFonts w:cs="Times New Roman"/>
        </w:rPr>
        <w:t>patients</w:t>
      </w:r>
      <w:r w:rsidR="00072402">
        <w:rPr>
          <w:rFonts w:cs="Times New Roman"/>
        </w:rPr>
        <w:t xml:space="preserve"> were disproportionately left</w:t>
      </w:r>
      <w:r w:rsidR="00713757" w:rsidRPr="00847D21">
        <w:rPr>
          <w:rFonts w:cs="Times New Roman"/>
        </w:rPr>
        <w:t xml:space="preserve"> occupying the lower socio-economic run</w:t>
      </w:r>
      <w:r w:rsidR="00072402">
        <w:rPr>
          <w:rFonts w:cs="Times New Roman"/>
        </w:rPr>
        <w:t>gs of society</w:t>
      </w:r>
      <w:r w:rsidR="00D66A53">
        <w:rPr>
          <w:rFonts w:cs="Times New Roman"/>
        </w:rPr>
        <w:t>, making mental health care more of a political issue than a medical one</w:t>
      </w:r>
      <w:r w:rsidR="00072402">
        <w:rPr>
          <w:rFonts w:cs="Times New Roman"/>
        </w:rPr>
        <w:t xml:space="preserve">.  </w:t>
      </w:r>
    </w:p>
    <w:p w14:paraId="7702394D" w14:textId="77777777" w:rsidR="00713757" w:rsidRPr="00847D21" w:rsidRDefault="00072402" w:rsidP="00961C4E">
      <w:pPr>
        <w:spacing w:line="480" w:lineRule="auto"/>
        <w:ind w:firstLine="720"/>
        <w:rPr>
          <w:rFonts w:cs="Times New Roman"/>
        </w:rPr>
      </w:pPr>
      <w:r>
        <w:rPr>
          <w:rFonts w:cs="Times New Roman"/>
        </w:rPr>
        <w:t>At Brockville Lafave</w:t>
      </w:r>
      <w:r w:rsidR="00713757" w:rsidRPr="00847D21">
        <w:rPr>
          <w:rFonts w:cs="Times New Roman"/>
        </w:rPr>
        <w:t xml:space="preserve"> worked with a community team, including a social worker, and several research psychologists, including </w:t>
      </w:r>
      <w:r w:rsidR="00947A88">
        <w:rPr>
          <w:rFonts w:cs="Times New Roman"/>
        </w:rPr>
        <w:t xml:space="preserve">the </w:t>
      </w:r>
      <w:r w:rsidR="00713757" w:rsidRPr="00847D21">
        <w:rPr>
          <w:rFonts w:cs="Times New Roman"/>
        </w:rPr>
        <w:t>director of rehabilitation services.  Together</w:t>
      </w:r>
      <w:r w:rsidR="00947A88">
        <w:rPr>
          <w:rFonts w:cs="Times New Roman"/>
        </w:rPr>
        <w:t>,</w:t>
      </w:r>
      <w:r w:rsidR="00713757" w:rsidRPr="00847D21">
        <w:rPr>
          <w:rFonts w:cs="Times New Roman"/>
        </w:rPr>
        <w:t xml:space="preserve"> they conducted a study of the effects of poverty on psychiatric patient care.  Recognizing that a majority of patients lived below the poverty line, they looked at patterns of hospital use and found high rates of readmission and heavy use of the mental health system.  They also found that consumers who relied significantly on psychiatric services had a more difficult time influencing service </w:t>
      </w:r>
      <w:r w:rsidR="00713757" w:rsidRPr="00847D21">
        <w:rPr>
          <w:rFonts w:cs="Times New Roman"/>
        </w:rPr>
        <w:lastRenderedPageBreak/>
        <w:t xml:space="preserve">delivery, citing the combined effects of poverty and lack of influence as the two key features curtailing their health. </w:t>
      </w:r>
      <w:r>
        <w:rPr>
          <w:rFonts w:cs="Times New Roman"/>
        </w:rPr>
        <w:t xml:space="preserve"> Clinical care remained intact, but the conditions of its use were often not health problems per se, but socio-economic. </w:t>
      </w:r>
    </w:p>
    <w:p w14:paraId="2B5D37FC" w14:textId="77777777" w:rsidR="00FA2697" w:rsidRDefault="00713757" w:rsidP="00961C4E">
      <w:pPr>
        <w:spacing w:line="480" w:lineRule="auto"/>
        <w:rPr>
          <w:rFonts w:cs="Times New Roman"/>
        </w:rPr>
      </w:pPr>
      <w:r w:rsidRPr="00847D21">
        <w:rPr>
          <w:rFonts w:cs="Times New Roman"/>
        </w:rPr>
        <w:tab/>
        <w:t xml:space="preserve">Using a comparative controlled trial, they selected 54 </w:t>
      </w:r>
      <w:r w:rsidR="00072402">
        <w:rPr>
          <w:rFonts w:cs="Times New Roman"/>
        </w:rPr>
        <w:t xml:space="preserve">mental health care </w:t>
      </w:r>
      <w:r w:rsidRPr="00847D21">
        <w:rPr>
          <w:rFonts w:cs="Times New Roman"/>
        </w:rPr>
        <w:t>consumers and randomly divided them into two groups.  One group was monitored for their use of psychiatric services, but left to navigate the system on their own, with whatever resources they could muster.  The other group was given $160 a month and forgivable loans to keep them above the poverty line for the period of the study. The results culminated in a 70% reduction in hospitalization for the participants who were maintained at the poverty line</w:t>
      </w:r>
      <w:r w:rsidR="00072402">
        <w:rPr>
          <w:rFonts w:cs="Times New Roman"/>
        </w:rPr>
        <w:t xml:space="preserve"> with the $160 stipends</w:t>
      </w:r>
      <w:r w:rsidRPr="00847D21">
        <w:rPr>
          <w:rFonts w:cs="Times New Roman"/>
        </w:rPr>
        <w:t>. The change “represents a decrease in the average cost of hospitalization from $47,300 a year for each participant before the study to an average cost of $13,500 a year during the study.”</w:t>
      </w:r>
      <w:r w:rsidR="00DC5D0D">
        <w:rPr>
          <w:rFonts w:cs="Times New Roman"/>
        </w:rPr>
        <w:t xml:space="preserve"> (Lafave, et al., 1995).</w:t>
      </w:r>
      <w:r w:rsidRPr="00847D21">
        <w:rPr>
          <w:rFonts w:cs="Times New Roman"/>
        </w:rPr>
        <w:t xml:space="preserve"> The research team concluded that “People with serious mental illness living in the community face perennial problems. Many do not receive coordinated individualized services responsive to their needs, and they often live below the poverty line.”  They argued that “true partnerships between clients, their peers, volunteers, and mental health agencies can contribute to a significant reduction in hospitalization, particularly when clients have a voice in service delivery…”</w:t>
      </w:r>
      <w:r w:rsidR="00DC5D0D">
        <w:rPr>
          <w:rFonts w:cs="Times New Roman"/>
        </w:rPr>
        <w:t xml:space="preserve"> (Lafave, et al., 1995).</w:t>
      </w:r>
      <w:r w:rsidRPr="00847D21">
        <w:rPr>
          <w:rFonts w:cs="Times New Roman"/>
        </w:rPr>
        <w:t xml:space="preserve">  While acknowledging that the relationship between financial security and personal control is more complicated, the researchers nonetheless helped to highlight how poverty compounded the problems associated with care in the community</w:t>
      </w:r>
      <w:r w:rsidR="00FA2697">
        <w:rPr>
          <w:rFonts w:cs="Times New Roman"/>
        </w:rPr>
        <w:t xml:space="preserve">, and created a pattern of overreliance on hospitalization to cope with the burden of mental illness in the absence of </w:t>
      </w:r>
      <w:r w:rsidR="00FA2697">
        <w:rPr>
          <w:rFonts w:cs="Times New Roman"/>
        </w:rPr>
        <w:lastRenderedPageBreak/>
        <w:t>alternative sources of support</w:t>
      </w:r>
      <w:r w:rsidRPr="00847D21">
        <w:rPr>
          <w:rFonts w:cs="Times New Roman"/>
        </w:rPr>
        <w:t xml:space="preserve">.  </w:t>
      </w:r>
      <w:r w:rsidR="00D66A53">
        <w:rPr>
          <w:rFonts w:cs="Times New Roman"/>
        </w:rPr>
        <w:t xml:space="preserve">Again, this study further reinforced the idea that medicare </w:t>
      </w:r>
      <w:r w:rsidR="00D80597">
        <w:rPr>
          <w:rFonts w:cs="Times New Roman"/>
        </w:rPr>
        <w:t xml:space="preserve">had </w:t>
      </w:r>
      <w:r w:rsidR="00D66A53">
        <w:rPr>
          <w:rFonts w:cs="Times New Roman"/>
        </w:rPr>
        <w:t xml:space="preserve">helped to coordinate clinical services, but </w:t>
      </w:r>
      <w:r w:rsidR="00D80597">
        <w:rPr>
          <w:rFonts w:cs="Times New Roman"/>
        </w:rPr>
        <w:t>had also reinforced a more expensive reliance on hospital-based care due to a lack of emphasis on primary or preventative care, and most importantly, on financial security.</w:t>
      </w:r>
    </w:p>
    <w:p w14:paraId="32397F83" w14:textId="77777777" w:rsidR="00713757" w:rsidRPr="00847D21" w:rsidRDefault="00D80597" w:rsidP="00D80597">
      <w:pPr>
        <w:spacing w:line="480" w:lineRule="auto"/>
        <w:ind w:firstLine="720"/>
        <w:rPr>
          <w:rFonts w:cs="Times New Roman"/>
        </w:rPr>
      </w:pPr>
      <w:r>
        <w:rPr>
          <w:rFonts w:cs="Times New Roman"/>
        </w:rPr>
        <w:t xml:space="preserve">People seeking attention for mental health issues </w:t>
      </w:r>
      <w:r w:rsidR="00713757" w:rsidRPr="00847D21">
        <w:rPr>
          <w:rFonts w:cs="Times New Roman"/>
        </w:rPr>
        <w:t xml:space="preserve">were left with few choices in some cases but to resort to the hospital services, which were much more expensive to the state than providing people with financial supports that allowed for some baseline security.  </w:t>
      </w:r>
      <w:r>
        <w:rPr>
          <w:rFonts w:cs="Times New Roman"/>
        </w:rPr>
        <w:t xml:space="preserve">Ex-patient </w:t>
      </w:r>
      <w:r w:rsidR="00713757" w:rsidRPr="00847D21">
        <w:rPr>
          <w:rFonts w:cs="Times New Roman"/>
        </w:rPr>
        <w:t>Jayne</w:t>
      </w:r>
      <w:r w:rsidR="00FA2697">
        <w:rPr>
          <w:rFonts w:cs="Times New Roman"/>
        </w:rPr>
        <w:t xml:space="preserve"> Whyte</w:t>
      </w:r>
      <w:r w:rsidR="00713757" w:rsidRPr="00847D21">
        <w:rPr>
          <w:rFonts w:cs="Times New Roman"/>
        </w:rPr>
        <w:t xml:space="preserve">’s personal experience in Saskatchewan was a case in point: she received less in a month from social services than the cost of keeping her in the hospital for a day.  Caught in a cycle of poverty and semi-dependency, </w:t>
      </w:r>
      <w:r>
        <w:rPr>
          <w:rFonts w:cs="Times New Roman"/>
        </w:rPr>
        <w:t xml:space="preserve">Jayne felt that she was </w:t>
      </w:r>
      <w:r w:rsidR="00713757" w:rsidRPr="00847D21">
        <w:rPr>
          <w:rFonts w:cs="Times New Roman"/>
        </w:rPr>
        <w:t xml:space="preserve">shuffled </w:t>
      </w:r>
      <w:r>
        <w:rPr>
          <w:rFonts w:cs="Times New Roman"/>
        </w:rPr>
        <w:t xml:space="preserve">between places and told that she was better off now that she was living independently, but she felt constrained by her inability to exercise a more efficient range of program options due to severe poverty.  </w:t>
      </w:r>
    </w:p>
    <w:p w14:paraId="62DD8A92" w14:textId="77777777" w:rsidR="00CC1B83" w:rsidRPr="00FA2697" w:rsidRDefault="00D80597" w:rsidP="00D80597">
      <w:pPr>
        <w:spacing w:line="480" w:lineRule="auto"/>
        <w:ind w:firstLine="720"/>
        <w:rPr>
          <w:rFonts w:cs="Times New Roman"/>
        </w:rPr>
      </w:pPr>
      <w:r>
        <w:t xml:space="preserve">After several years of experience, Jayne began recording her reflections and </w:t>
      </w:r>
      <w:r w:rsidR="00FA2697" w:rsidRPr="00847D21">
        <w:t>explained, deinstitutionalization helped to establish a new set of “hotlines” or crisis prevention services</w:t>
      </w:r>
      <w:r>
        <w:t>, largely focused in hospitals,</w:t>
      </w:r>
      <w:r w:rsidR="00FA2697" w:rsidRPr="00847D21">
        <w:t xml:space="preserve"> aimed at addressing acute needs, but what many people needed were ‘warm lines’: a friend to talk with, an advocate to help navigate a piece of bureaucracy or a complicated application, a companion to share meals with after relocating to a lonely apartment in a new community. “Every day I stay out of the hospital,” Jayne explained, “I save the province $1000 dollars.  That is more than they offer me in social services benefits for a whole month.  It doesn’t add up.”</w:t>
      </w:r>
      <w:r w:rsidR="00DC5D0D">
        <w:t xml:space="preserve"> (Whyte, 2016b).</w:t>
      </w:r>
      <w:r w:rsidR="00FA2697" w:rsidRPr="00847D21">
        <w:t xml:space="preserve"> The corresponding supports </w:t>
      </w:r>
      <w:r w:rsidR="00FA2697">
        <w:t xml:space="preserve">for mental health care </w:t>
      </w:r>
      <w:r w:rsidR="00FA2697">
        <w:lastRenderedPageBreak/>
        <w:t>beyond those elements deemed ‘medically necessary’ were</w:t>
      </w:r>
      <w:r w:rsidR="00FA2697" w:rsidRPr="00847D21">
        <w:t xml:space="preserve"> few and far between and difficult to tailor to the needs of people managing in the community. </w:t>
      </w:r>
    </w:p>
    <w:p w14:paraId="6819F5E7" w14:textId="77777777" w:rsidR="00D34330" w:rsidRPr="00D67FC7" w:rsidRDefault="00FA2697" w:rsidP="00D67FC7">
      <w:pPr>
        <w:spacing w:line="480" w:lineRule="auto"/>
        <w:ind w:firstLine="720"/>
      </w:pPr>
      <w:r>
        <w:t>Mental health care, in the context of medicare,</w:t>
      </w:r>
      <w:r w:rsidR="00C206CD" w:rsidRPr="00847D21">
        <w:t xml:space="preserve"> transformed </w:t>
      </w:r>
      <w:r>
        <w:t>its</w:t>
      </w:r>
      <w:r w:rsidR="00C206CD" w:rsidRPr="00847D21">
        <w:t xml:space="preserve"> service delivery</w:t>
      </w:r>
      <w:r>
        <w:t xml:space="preserve"> model into one</w:t>
      </w:r>
      <w:r w:rsidR="00C206CD" w:rsidRPr="00847D21">
        <w:t xml:space="preserve"> that relied on a more individualized and client-oriented series of services.  The onus shifted from the state and medical authorities to consumers, patients, and families who needed to navigate the contours of a patchwork of services, supports, and gaps in a modern mental health</w:t>
      </w:r>
      <w:r w:rsidR="00D80597">
        <w:t xml:space="preserve"> care context</w:t>
      </w:r>
      <w:r w:rsidR="00C206CD" w:rsidRPr="00847D21">
        <w:t>.</w:t>
      </w:r>
      <w:r w:rsidR="00F5509A" w:rsidRPr="00847D21">
        <w:t xml:space="preserve">  Contrary to the claims of proponents of community care, the community did not become a caring place with a change in policy, but community services were </w:t>
      </w:r>
      <w:r w:rsidR="00685423" w:rsidRPr="00847D21">
        <w:t>increasingly held accountable for absorbing mental health patients into their workplaces, educational facilities, and homes.  People with severe mental illnesses returned to an older set of criteria, which had been in place since the 19</w:t>
      </w:r>
      <w:r w:rsidR="00685423" w:rsidRPr="00847D21">
        <w:rPr>
          <w:vertAlign w:val="superscript"/>
        </w:rPr>
        <w:t>th</w:t>
      </w:r>
      <w:r w:rsidR="00685423" w:rsidRPr="00847D21">
        <w:t xml:space="preserve"> century: those who represented a danger to themselves or others forfeited their individual rights and could be apprehended by police or medical authorities and held in custody, whether in remand centres in penal institutions or in the limited psychiatric facilities now attached to general hospitals.  Although the faces and front foyers differed, the policy of assessing psychiatric needs through the lens of ‘danger’ resurrected an older set of ideas about the relationship between criminality and mental illness, violence and illness, and stability and unpredictability</w:t>
      </w:r>
      <w:r w:rsidR="008465D8">
        <w:t>, once again moving it away from the reach of medicare</w:t>
      </w:r>
      <w:r w:rsidR="00685423" w:rsidRPr="00847D21">
        <w:t>.</w:t>
      </w:r>
      <w:r>
        <w:t xml:space="preserve">  </w:t>
      </w:r>
    </w:p>
    <w:p w14:paraId="46FB8A37" w14:textId="77777777" w:rsidR="00174E7F" w:rsidRPr="00847D21" w:rsidRDefault="00174E7F" w:rsidP="00961C4E">
      <w:pPr>
        <w:widowControl w:val="0"/>
        <w:autoSpaceDE w:val="0"/>
        <w:autoSpaceDN w:val="0"/>
        <w:adjustRightInd w:val="0"/>
        <w:spacing w:line="480" w:lineRule="auto"/>
        <w:rPr>
          <w:rFonts w:cs="Times New Roman"/>
        </w:rPr>
      </w:pPr>
    </w:p>
    <w:p w14:paraId="3AF23E04" w14:textId="77777777" w:rsidR="00B1387B" w:rsidRDefault="00FA2697" w:rsidP="00961C4E">
      <w:pPr>
        <w:spacing w:line="480" w:lineRule="auto"/>
        <w:rPr>
          <w:rFonts w:cs="Times New Roman"/>
          <w:b/>
        </w:rPr>
      </w:pPr>
      <w:r>
        <w:rPr>
          <w:rFonts w:cs="Times New Roman"/>
          <w:b/>
        </w:rPr>
        <w:t>Conclusion</w:t>
      </w:r>
    </w:p>
    <w:p w14:paraId="7A41F7B7" w14:textId="77777777" w:rsidR="00667B2C" w:rsidRPr="00847D21" w:rsidRDefault="00667B2C" w:rsidP="00961C4E">
      <w:pPr>
        <w:spacing w:line="480" w:lineRule="auto"/>
        <w:rPr>
          <w:rFonts w:cs="Times New Roman"/>
          <w:b/>
        </w:rPr>
      </w:pPr>
    </w:p>
    <w:p w14:paraId="4FC926A2" w14:textId="77777777" w:rsidR="006A77A4" w:rsidRDefault="00890D9A" w:rsidP="008465D8">
      <w:pPr>
        <w:widowControl w:val="0"/>
        <w:autoSpaceDE w:val="0"/>
        <w:autoSpaceDN w:val="0"/>
        <w:adjustRightInd w:val="0"/>
        <w:spacing w:line="480" w:lineRule="auto"/>
        <w:rPr>
          <w:rFonts w:cs="Times New Roman"/>
        </w:rPr>
      </w:pPr>
      <w:r w:rsidRPr="001C4513">
        <w:rPr>
          <w:rFonts w:cs="Times New Roman"/>
        </w:rPr>
        <w:lastRenderedPageBreak/>
        <w:t>In 2016 Canadian Prime Minister Justin Trudeau pledged $70 million to address mental health issues in indigenous communities across Canada</w:t>
      </w:r>
      <w:r w:rsidR="00DC5D0D">
        <w:rPr>
          <w:rFonts w:cs="Times New Roman"/>
        </w:rPr>
        <w:t xml:space="preserve"> (Mas, 2016)</w:t>
      </w:r>
      <w:r w:rsidRPr="001C4513">
        <w:rPr>
          <w:rFonts w:cs="Times New Roman"/>
        </w:rPr>
        <w:t>. His promise came in response to the growing identification</w:t>
      </w:r>
      <w:r>
        <w:rPr>
          <w:rFonts w:cs="Times New Roman"/>
        </w:rPr>
        <w:t xml:space="preserve"> of the desperate need</w:t>
      </w:r>
      <w:r w:rsidRPr="001C4513">
        <w:rPr>
          <w:rFonts w:cs="Times New Roman"/>
        </w:rPr>
        <w:t xml:space="preserve"> for culturally appropriate clinical interventions</w:t>
      </w:r>
      <w:r>
        <w:rPr>
          <w:rFonts w:cs="Times New Roman"/>
        </w:rPr>
        <w:t>, especially</w:t>
      </w:r>
      <w:r w:rsidRPr="001C4513">
        <w:rPr>
          <w:rFonts w:cs="Times New Roman"/>
        </w:rPr>
        <w:t xml:space="preserve"> for Indigenous youths who disproportionately contributed to rising rates of suicides in the territories.  </w:t>
      </w:r>
      <w:r>
        <w:rPr>
          <w:rFonts w:cs="Times New Roman"/>
        </w:rPr>
        <w:t>Trudeau’s gesture is impor</w:t>
      </w:r>
      <w:r w:rsidR="00EF7525">
        <w:rPr>
          <w:rFonts w:cs="Times New Roman"/>
        </w:rPr>
        <w:t>tant for two reasons.  First, this gesture acknowledged</w:t>
      </w:r>
      <w:r>
        <w:rPr>
          <w:rFonts w:cs="Times New Roman"/>
        </w:rPr>
        <w:t xml:space="preserve"> a gap in service delivery that has long been identified by policy makers and service providers when it comes to addressing mental health needs</w:t>
      </w:r>
      <w:r w:rsidR="008465D8">
        <w:rPr>
          <w:rFonts w:cs="Times New Roman"/>
        </w:rPr>
        <w:t xml:space="preserve"> in Indigenous communities</w:t>
      </w:r>
      <w:r>
        <w:rPr>
          <w:rFonts w:cs="Times New Roman"/>
        </w:rPr>
        <w:t>.  Se</w:t>
      </w:r>
      <w:r w:rsidR="00EF7525">
        <w:rPr>
          <w:rFonts w:cs="Times New Roman"/>
        </w:rPr>
        <w:t>cond, his statement incorporated</w:t>
      </w:r>
      <w:r>
        <w:rPr>
          <w:rFonts w:cs="Times New Roman"/>
        </w:rPr>
        <w:t xml:space="preserve"> the language of culturally-appropriate services.  </w:t>
      </w:r>
      <w:r w:rsidR="008465D8">
        <w:rPr>
          <w:rFonts w:cs="Times New Roman"/>
        </w:rPr>
        <w:t>But, Trudeau’s pledg</w:t>
      </w:r>
      <w:r w:rsidR="00EF7525">
        <w:rPr>
          <w:rFonts w:cs="Times New Roman"/>
        </w:rPr>
        <w:t>e continued</w:t>
      </w:r>
      <w:r w:rsidR="008465D8">
        <w:rPr>
          <w:rFonts w:cs="Times New Roman"/>
        </w:rPr>
        <w:t xml:space="preserve"> to frame the issue as one requiring improved health care services, rather than recognizing the exacerbating factors of poverty that go hand-in-hand with mental health care needs. </w:t>
      </w:r>
    </w:p>
    <w:p w14:paraId="72DBF821" w14:textId="3AF765EF" w:rsidR="00890D9A" w:rsidRDefault="006A77A4" w:rsidP="00961C4E">
      <w:pPr>
        <w:widowControl w:val="0"/>
        <w:autoSpaceDE w:val="0"/>
        <w:autoSpaceDN w:val="0"/>
        <w:adjustRightInd w:val="0"/>
        <w:spacing w:line="480" w:lineRule="auto"/>
        <w:ind w:firstLine="720"/>
        <w:rPr>
          <w:rFonts w:cs="Times New Roman"/>
        </w:rPr>
      </w:pPr>
      <w:r>
        <w:rPr>
          <w:rFonts w:cs="Times New Roman"/>
        </w:rPr>
        <w:t>We may not need to overhaul medicare, but we could embrace a more expansive idea of what is considered ‘</w:t>
      </w:r>
      <w:r w:rsidR="00E2370C">
        <w:rPr>
          <w:rFonts w:cs="Times New Roman"/>
        </w:rPr>
        <w:t>medically necessary’</w:t>
      </w:r>
      <w:r w:rsidR="00C37E54">
        <w:rPr>
          <w:rFonts w:cs="Times New Roman"/>
        </w:rPr>
        <w:t xml:space="preserve"> or acknowledge that healthy outcomes do not always require medicine or professional interventions. </w:t>
      </w:r>
      <w:r>
        <w:rPr>
          <w:rFonts w:cs="Times New Roman"/>
        </w:rPr>
        <w:t xml:space="preserve">A careful review of the experiences of patients, ex-patients, and consumers of the mental health care system over the past 80 years furnishes us with evidence to suggest that many of the challenges are not health issues per se, but the health care system has become the front door to a set of supports that might be carried out more effectively </w:t>
      </w:r>
      <w:r w:rsidR="008465D8">
        <w:rPr>
          <w:rFonts w:cs="Times New Roman"/>
        </w:rPr>
        <w:t>elsewhere</w:t>
      </w:r>
      <w:r>
        <w:rPr>
          <w:rFonts w:cs="Times New Roman"/>
        </w:rPr>
        <w:t xml:space="preserve">.  </w:t>
      </w:r>
    </w:p>
    <w:p w14:paraId="7BCAFDAD" w14:textId="77777777" w:rsidR="00EF7525" w:rsidRDefault="00EF7525" w:rsidP="00961C4E">
      <w:pPr>
        <w:widowControl w:val="0"/>
        <w:autoSpaceDE w:val="0"/>
        <w:autoSpaceDN w:val="0"/>
        <w:adjustRightInd w:val="0"/>
        <w:spacing w:line="480" w:lineRule="auto"/>
        <w:ind w:firstLine="720"/>
        <w:rPr>
          <w:rFonts w:cs="Times New Roman"/>
        </w:rPr>
      </w:pPr>
      <w:r w:rsidRPr="00847D21">
        <w:rPr>
          <w:rFonts w:cs="Times New Roman"/>
        </w:rPr>
        <w:t xml:space="preserve">Successive health commissions have reinforced this perspective, perpetuating a sometimes conflictual relationship between care for the body and care for the mind that continues to challenge service providers and law makers in </w:t>
      </w:r>
      <w:r w:rsidRPr="00847D21">
        <w:rPr>
          <w:rFonts w:cs="Times New Roman"/>
        </w:rPr>
        <w:lastRenderedPageBreak/>
        <w:t xml:space="preserve">the mental health field. In his 2002 commission report, </w:t>
      </w:r>
      <w:r w:rsidRPr="00847D21">
        <w:rPr>
          <w:rFonts w:cs="Times New Roman"/>
          <w:i/>
        </w:rPr>
        <w:t>Building on Values: The Future of Health Care in Canada</w:t>
      </w:r>
      <w:r w:rsidRPr="00847D21">
        <w:rPr>
          <w:rFonts w:cs="Times New Roman"/>
        </w:rPr>
        <w:t xml:space="preserve">, Roy Romanow described mental health as the “orphan child” of Canadian health care. He claimed that “today, mental health care is largely a home and community-based service, but support for it has too frequently fallen short. It is time to take the long overdue step of ensuring that mental health home care services are included as medically necessary services under the </w:t>
      </w:r>
      <w:r w:rsidRPr="00847D21">
        <w:rPr>
          <w:rFonts w:cs="Times New Roman"/>
          <w:i/>
          <w:iCs/>
        </w:rPr>
        <w:t>Canada Health Act</w:t>
      </w:r>
      <w:r w:rsidRPr="00847D21">
        <w:rPr>
          <w:rFonts w:cs="Times New Roman"/>
        </w:rPr>
        <w:t>, and available across the country.”</w:t>
      </w:r>
      <w:r>
        <w:rPr>
          <w:rFonts w:cs="Times New Roman"/>
        </w:rPr>
        <w:t xml:space="preserve"> (Romanow, 2002).</w:t>
      </w:r>
    </w:p>
    <w:p w14:paraId="3572C112" w14:textId="77777777" w:rsidR="008465D8" w:rsidRDefault="006A77A4" w:rsidP="00EF7525">
      <w:pPr>
        <w:widowControl w:val="0"/>
        <w:autoSpaceDE w:val="0"/>
        <w:autoSpaceDN w:val="0"/>
        <w:adjustRightInd w:val="0"/>
        <w:spacing w:line="480" w:lineRule="auto"/>
        <w:ind w:firstLine="720"/>
        <w:rPr>
          <w:rFonts w:cs="Times New Roman"/>
        </w:rPr>
      </w:pPr>
      <w:r>
        <w:rPr>
          <w:rFonts w:cs="Times New Roman"/>
        </w:rPr>
        <w:t xml:space="preserve">Revisiting the history of mental health care in </w:t>
      </w:r>
      <w:r w:rsidR="00EF7525">
        <w:rPr>
          <w:rFonts w:cs="Times New Roman"/>
        </w:rPr>
        <w:t>the context of medicare offers a timely opportunity to consider the combination of health and welfare required to produce positive mental health outcomes. Medicare helped to centralise, destigmatis</w:t>
      </w:r>
      <w:r>
        <w:rPr>
          <w:rFonts w:cs="Times New Roman"/>
        </w:rPr>
        <w:t xml:space="preserve">e, and </w:t>
      </w:r>
      <w:r w:rsidR="00EF7525">
        <w:rPr>
          <w:rFonts w:cs="Times New Roman"/>
        </w:rPr>
        <w:t>medicalis</w:t>
      </w:r>
      <w:r>
        <w:rPr>
          <w:rFonts w:cs="Times New Roman"/>
        </w:rPr>
        <w:t xml:space="preserve">e mental illness in ways that have sometimes been beneficial to individuals with mental disorders, but it has also </w:t>
      </w:r>
      <w:r w:rsidR="008465D8">
        <w:rPr>
          <w:rFonts w:cs="Times New Roman"/>
        </w:rPr>
        <w:t>cont</w:t>
      </w:r>
      <w:r w:rsidR="00EF7525">
        <w:rPr>
          <w:rFonts w:cs="Times New Roman"/>
        </w:rPr>
        <w:t>ributed to the growing medicalis</w:t>
      </w:r>
      <w:r w:rsidR="008465D8">
        <w:rPr>
          <w:rFonts w:cs="Times New Roman"/>
        </w:rPr>
        <w:t>ation of problems that are often more political than medical.</w:t>
      </w:r>
    </w:p>
    <w:p w14:paraId="0E65A6AF" w14:textId="155FAC01" w:rsidR="00B21456" w:rsidRDefault="006A77A4" w:rsidP="00065D24">
      <w:pPr>
        <w:widowControl w:val="0"/>
        <w:autoSpaceDE w:val="0"/>
        <w:autoSpaceDN w:val="0"/>
        <w:adjustRightInd w:val="0"/>
        <w:spacing w:line="480" w:lineRule="auto"/>
        <w:ind w:firstLine="720"/>
        <w:rPr>
          <w:rFonts w:cs="Times New Roman"/>
          <w:lang w:val="en-CA"/>
        </w:rPr>
      </w:pPr>
      <w:r>
        <w:rPr>
          <w:rFonts w:cs="Times New Roman"/>
        </w:rPr>
        <w:t xml:space="preserve">One of the strengths of medicare was its capacity to operate within a federalist system, allowing for flexibility and diversity, while creating a degree of cooperation and coordination.  The same spirit of cooperation, harnessed across </w:t>
      </w:r>
      <w:r w:rsidR="00E2370C">
        <w:rPr>
          <w:rFonts w:cs="Times New Roman"/>
        </w:rPr>
        <w:t>departments</w:t>
      </w:r>
      <w:r>
        <w:rPr>
          <w:rFonts w:cs="Times New Roman"/>
        </w:rPr>
        <w:t>, could enhance the mental health care system by brin</w:t>
      </w:r>
      <w:r w:rsidR="00E2370C">
        <w:rPr>
          <w:rFonts w:cs="Times New Roman"/>
        </w:rPr>
        <w:t>g</w:t>
      </w:r>
      <w:r>
        <w:rPr>
          <w:rFonts w:cs="Times New Roman"/>
        </w:rPr>
        <w:t xml:space="preserve">ing clinical decisions into alignment with socio-economic and cultural conditions. </w:t>
      </w:r>
      <w:r w:rsidR="00E2370C">
        <w:rPr>
          <w:rFonts w:cs="Times New Roman"/>
        </w:rPr>
        <w:t xml:space="preserve">Investing in mental health services means more than securing </w:t>
      </w:r>
      <w:r w:rsidR="00EF7525">
        <w:rPr>
          <w:rFonts w:cs="Times New Roman"/>
        </w:rPr>
        <w:t>additional</w:t>
      </w:r>
      <w:r w:rsidR="00E2370C">
        <w:rPr>
          <w:rFonts w:cs="Times New Roman"/>
        </w:rPr>
        <w:t xml:space="preserve"> hospital beds or crisis hotlines, it requires shifting the focus away from emergency services, and investing in preventative, primary care, which includes housing, education, and peer support.  In the case of mental health care, the</w:t>
      </w:r>
      <w:r w:rsidR="008465D8">
        <w:rPr>
          <w:rFonts w:cs="Times New Roman"/>
        </w:rPr>
        <w:t>se</w:t>
      </w:r>
      <w:r w:rsidR="00E2370C">
        <w:rPr>
          <w:rFonts w:cs="Times New Roman"/>
        </w:rPr>
        <w:t xml:space="preserve"> primary care elements </w:t>
      </w:r>
      <w:r w:rsidR="008465D8">
        <w:rPr>
          <w:rFonts w:cs="Times New Roman"/>
        </w:rPr>
        <w:t xml:space="preserve">have much more to do with the political recognition of madness as a concept free from the specific </w:t>
      </w:r>
      <w:r w:rsidR="008465D8">
        <w:rPr>
          <w:rFonts w:cs="Times New Roman"/>
        </w:rPr>
        <w:lastRenderedPageBreak/>
        <w:t xml:space="preserve">medical connotations that come from framing the issue as mental health or illness. </w:t>
      </w:r>
      <w:r w:rsidR="007F7AF3">
        <w:rPr>
          <w:rFonts w:cs="Times New Roman"/>
          <w:lang w:val="en-CA"/>
        </w:rPr>
        <w:t xml:space="preserve">We know that smoking significantly increases health risks, and produces enormous costs to our public health system, which has meant that public health campaigns have supported anti-smoking measures.  We know that poverty is at least as risky as smoking, and within mental health circles poverty is endemic.  But, are we genuinely prepared to invest in people and autonomy, or are we more comfortable continuing to pour money into medicare band-aids each time we fall down in crisis?  </w:t>
      </w:r>
      <w:r w:rsidR="00065D24">
        <w:rPr>
          <w:rFonts w:cs="Times New Roman"/>
          <w:lang w:val="en-CA"/>
        </w:rPr>
        <w:t>Ontario’s government has agreed to pilot a guaranteed-annual-income program, which may provide a test case. Manitoba has similarly experimented with targeted northern communities.  The impact of income adjustment on he</w:t>
      </w:r>
      <w:r w:rsidR="00C37E54">
        <w:rPr>
          <w:rFonts w:cs="Times New Roman"/>
          <w:lang w:val="en-CA"/>
        </w:rPr>
        <w:t>alth outcomes is far from clear</w:t>
      </w:r>
      <w:r w:rsidR="00065D24">
        <w:rPr>
          <w:rFonts w:cs="Times New Roman"/>
          <w:lang w:val="en-CA"/>
        </w:rPr>
        <w:t>, but Canadians remain sceptical of the correlation, and do not yet seem ready to fund such bottom-up approaches.</w:t>
      </w:r>
      <w:r w:rsidR="004769A8">
        <w:rPr>
          <w:rFonts w:cs="Times New Roman"/>
          <w:lang w:val="en-CA"/>
        </w:rPr>
        <w:t xml:space="preserve"> (Beeby, 2016).</w:t>
      </w:r>
      <w:r w:rsidR="00065D24">
        <w:rPr>
          <w:rFonts w:cs="Times New Roman"/>
          <w:lang w:val="en-CA"/>
        </w:rPr>
        <w:t xml:space="preserve">  By contrast, the federal government is continuing to earmark special funding to address crises in mental health – suicide prevention in northern communities tops the list at the moment. </w:t>
      </w:r>
      <w:r w:rsidR="007F7AF3">
        <w:rPr>
          <w:rFonts w:cs="Times New Roman"/>
          <w:lang w:val="en-CA"/>
        </w:rPr>
        <w:t>Trudeau’s $70 million will undoubtedly make a difference in many lives, but most of the recipients of that help are already among the most marginalized people in our country; channelling them through the health care sys</w:t>
      </w:r>
      <w:r w:rsidR="004769A8">
        <w:rPr>
          <w:rFonts w:cs="Times New Roman"/>
          <w:lang w:val="en-CA"/>
        </w:rPr>
        <w:t>tem is not going to change that, but we have yet to convince Canadians that income security is a healthy choice.</w:t>
      </w:r>
    </w:p>
    <w:p w14:paraId="6CB84490" w14:textId="77777777" w:rsidR="00146A77" w:rsidRDefault="00146A77" w:rsidP="008465D8">
      <w:pPr>
        <w:widowControl w:val="0"/>
        <w:autoSpaceDE w:val="0"/>
        <w:autoSpaceDN w:val="0"/>
        <w:adjustRightInd w:val="0"/>
        <w:spacing w:line="480" w:lineRule="auto"/>
        <w:ind w:firstLine="720"/>
        <w:rPr>
          <w:rFonts w:cs="Times New Roman"/>
          <w:lang w:val="en-CA"/>
        </w:rPr>
      </w:pPr>
    </w:p>
    <w:p w14:paraId="742B42F8" w14:textId="77777777" w:rsidR="00146A77" w:rsidRDefault="00146A77" w:rsidP="00146A77">
      <w:pPr>
        <w:pStyle w:val="EndnoteText"/>
        <w:ind w:hanging="720"/>
        <w:jc w:val="center"/>
      </w:pPr>
      <w:r>
        <w:t>References</w:t>
      </w:r>
    </w:p>
    <w:p w14:paraId="3AB50B45" w14:textId="77777777" w:rsidR="00146A77" w:rsidRDefault="00146A77" w:rsidP="00146A77">
      <w:pPr>
        <w:pStyle w:val="EndnoteText"/>
        <w:ind w:hanging="720"/>
      </w:pPr>
    </w:p>
    <w:p w14:paraId="4E7E348D" w14:textId="77777777" w:rsidR="00146A77" w:rsidRDefault="00146A77" w:rsidP="00146A77">
      <w:pPr>
        <w:pStyle w:val="EndnoteText"/>
        <w:ind w:hanging="720"/>
      </w:pPr>
      <w:r>
        <w:t xml:space="preserve">Baker, L. (2016), “Nova Scotia Hospital” </w:t>
      </w:r>
      <w:r>
        <w:rPr>
          <w:i/>
        </w:rPr>
        <w:t>After the Asylum website</w:t>
      </w:r>
      <w:r>
        <w:t>:</w:t>
      </w:r>
    </w:p>
    <w:p w14:paraId="5AB2E0EF" w14:textId="77777777" w:rsidR="00146A77" w:rsidRDefault="006434DF" w:rsidP="00146A77">
      <w:pPr>
        <w:pStyle w:val="EndnoteText"/>
        <w:ind w:hanging="720"/>
      </w:pPr>
      <w:hyperlink r:id="rId8" w:history="1">
        <w:r w:rsidR="00146A77" w:rsidRPr="005311B6">
          <w:rPr>
            <w:rStyle w:val="Hyperlink"/>
          </w:rPr>
          <w:t>http://aftertheasylum.apps01.yorku.ca/en/deinstitutionalizationPostcards/NovaScotia</w:t>
        </w:r>
      </w:hyperlink>
      <w:r w:rsidR="00146A77">
        <w:t>, accessed January 29, 2017.</w:t>
      </w:r>
    </w:p>
    <w:p w14:paraId="1B6C1741" w14:textId="77777777" w:rsidR="00146A77" w:rsidRDefault="00146A77" w:rsidP="00146A77">
      <w:pPr>
        <w:pStyle w:val="EndnoteText"/>
        <w:ind w:hanging="720"/>
      </w:pPr>
    </w:p>
    <w:p w14:paraId="482BF39A" w14:textId="2ADE4B32" w:rsidR="004769A8" w:rsidRPr="004769A8" w:rsidRDefault="004769A8" w:rsidP="00146A77">
      <w:pPr>
        <w:pStyle w:val="EndnoteText"/>
        <w:ind w:hanging="720"/>
      </w:pPr>
      <w:r>
        <w:t xml:space="preserve">Beeby, Dean. (2016, August 20). Ontario to test guaranteed-income program amid warnings about costs, effectiveness. </w:t>
      </w:r>
      <w:r>
        <w:rPr>
          <w:i/>
        </w:rPr>
        <w:t>CBC News</w:t>
      </w:r>
      <w:r>
        <w:t xml:space="preserve">. Accessed May 19, 2017.  </w:t>
      </w:r>
      <w:r w:rsidRPr="004769A8">
        <w:lastRenderedPageBreak/>
        <w:t>http://www.cbc.ca/news/politics/minimum-income-hugh-segal-ontario-budget-1.3740373</w:t>
      </w:r>
      <w:r>
        <w:t xml:space="preserve"> . </w:t>
      </w:r>
    </w:p>
    <w:p w14:paraId="592D2B6B" w14:textId="77777777" w:rsidR="004769A8" w:rsidRDefault="004769A8" w:rsidP="00146A77">
      <w:pPr>
        <w:pStyle w:val="EndnoteText"/>
        <w:ind w:hanging="720"/>
      </w:pPr>
    </w:p>
    <w:p w14:paraId="1CC4D7B5" w14:textId="77777777" w:rsidR="00146A77" w:rsidRDefault="00146A77" w:rsidP="00146A77">
      <w:pPr>
        <w:pStyle w:val="EndnoteText"/>
        <w:ind w:hanging="720"/>
      </w:pPr>
      <w:r>
        <w:t xml:space="preserve">Bryden, J. (2016), “Trudeau urges provinces to spend on mental-health care,” </w:t>
      </w:r>
      <w:r>
        <w:rPr>
          <w:i/>
        </w:rPr>
        <w:t>The Star</w:t>
      </w:r>
      <w:r>
        <w:t xml:space="preserve">, December 21, 2016. online:  </w:t>
      </w:r>
      <w:hyperlink r:id="rId9" w:history="1">
        <w:r w:rsidRPr="005E1C13">
          <w:rPr>
            <w:rStyle w:val="Hyperlink"/>
          </w:rPr>
          <w:t>https://www.thestar.com/news/canada/2016/12/21/trudeau-urges-provinces-to-spend-on-mental-health-care.html</w:t>
        </w:r>
      </w:hyperlink>
      <w:r w:rsidRPr="005E1C13">
        <w:t>, accessed January 29, 2017.</w:t>
      </w:r>
    </w:p>
    <w:p w14:paraId="4693EBFB" w14:textId="77777777" w:rsidR="00146A77" w:rsidRDefault="00146A77" w:rsidP="00146A77">
      <w:pPr>
        <w:pStyle w:val="EndnoteText"/>
        <w:ind w:hanging="720"/>
      </w:pPr>
    </w:p>
    <w:p w14:paraId="33D0E2FC" w14:textId="77777777" w:rsidR="00146A77" w:rsidRPr="005E1C13" w:rsidRDefault="00146A77" w:rsidP="00146A77">
      <w:pPr>
        <w:pStyle w:val="EndnoteText"/>
        <w:ind w:hanging="720"/>
      </w:pPr>
      <w:r w:rsidRPr="005E1C13">
        <w:rPr>
          <w:rFonts w:eastAsia="Times New Roman" w:cs="Times New Roman"/>
        </w:rPr>
        <w:t>Connor</w:t>
      </w:r>
      <w:r>
        <w:rPr>
          <w:rFonts w:eastAsia="Times New Roman" w:cs="Times New Roman"/>
        </w:rPr>
        <w:t>, JTH, Kidd MG, Mathews M. (2015),</w:t>
      </w:r>
      <w:r w:rsidRPr="005E1C13">
        <w:rPr>
          <w:rFonts w:eastAsia="Times New Roman" w:cs="Times New Roman"/>
        </w:rPr>
        <w:t xml:space="preserve"> </w:t>
      </w:r>
      <w:r>
        <w:rPr>
          <w:rFonts w:eastAsia="Times New Roman" w:cs="Times New Roman"/>
        </w:rPr>
        <w:t>‘</w:t>
      </w:r>
      <w:r w:rsidRPr="005E1C13">
        <w:rPr>
          <w:rFonts w:eastAsia="Times New Roman" w:cs="Times New Roman"/>
        </w:rPr>
        <w:t>Conceptualizing health care in rural and remote pre-Confederation Newfoundland as ecosystem</w:t>
      </w:r>
      <w:r>
        <w:rPr>
          <w:rFonts w:eastAsia="Times New Roman" w:cs="Times New Roman"/>
        </w:rPr>
        <w:t>’,</w:t>
      </w:r>
      <w:r w:rsidRPr="005E1C13">
        <w:rPr>
          <w:rFonts w:eastAsia="Times New Roman" w:cs="Times New Roman"/>
        </w:rPr>
        <w:t xml:space="preserve"> </w:t>
      </w:r>
      <w:r w:rsidRPr="00961C4E">
        <w:rPr>
          <w:rFonts w:eastAsia="Times New Roman" w:cs="Times New Roman"/>
          <w:i/>
        </w:rPr>
        <w:t xml:space="preserve">Newfoundland and Labrador Studies </w:t>
      </w:r>
      <w:r w:rsidRPr="005E1C13">
        <w:rPr>
          <w:rFonts w:eastAsia="Times New Roman" w:cs="Times New Roman"/>
        </w:rPr>
        <w:t>30</w:t>
      </w:r>
      <w:r>
        <w:rPr>
          <w:rFonts w:eastAsia="Times New Roman" w:cs="Times New Roman"/>
        </w:rPr>
        <w:t>(1)</w:t>
      </w:r>
      <w:r w:rsidRPr="005E1C13">
        <w:rPr>
          <w:rFonts w:eastAsia="Times New Roman" w:cs="Times New Roman"/>
        </w:rPr>
        <w:t>:</w:t>
      </w:r>
      <w:r>
        <w:rPr>
          <w:rFonts w:eastAsia="Times New Roman" w:cs="Times New Roman"/>
        </w:rPr>
        <w:t xml:space="preserve"> </w:t>
      </w:r>
      <w:r w:rsidRPr="005E1C13">
        <w:rPr>
          <w:rFonts w:eastAsia="Times New Roman" w:cs="Times New Roman"/>
        </w:rPr>
        <w:t>113-38.</w:t>
      </w:r>
    </w:p>
    <w:p w14:paraId="6FA0BF7A" w14:textId="77777777" w:rsidR="00146A77" w:rsidRDefault="00146A77" w:rsidP="00146A77">
      <w:pPr>
        <w:pStyle w:val="EndnoteText"/>
        <w:ind w:hanging="720"/>
      </w:pPr>
    </w:p>
    <w:p w14:paraId="5FB2D2BD" w14:textId="301929EA" w:rsidR="00220E6C" w:rsidRDefault="00220E6C" w:rsidP="00146A77">
      <w:pPr>
        <w:pStyle w:val="EndnoteText"/>
        <w:ind w:hanging="720"/>
      </w:pPr>
      <w:r>
        <w:t xml:space="preserve">Chunn, D. (1992). </w:t>
      </w:r>
      <w:r>
        <w:rPr>
          <w:i/>
        </w:rPr>
        <w:t>From Punishment to doing good: Family courts and socialized justice in Ontario, 1880-1940</w:t>
      </w:r>
      <w:r>
        <w:t xml:space="preserve">. Toronto, University of Toronto Press. </w:t>
      </w:r>
    </w:p>
    <w:p w14:paraId="213CAF2E" w14:textId="77777777" w:rsidR="00220E6C" w:rsidRPr="00220E6C" w:rsidRDefault="00220E6C" w:rsidP="00146A77">
      <w:pPr>
        <w:pStyle w:val="EndnoteText"/>
        <w:ind w:hanging="720"/>
      </w:pPr>
    </w:p>
    <w:p w14:paraId="04DE94AC" w14:textId="77777777" w:rsidR="00146A77" w:rsidRDefault="00146A77" w:rsidP="00146A77">
      <w:pPr>
        <w:pStyle w:val="EndnoteText"/>
        <w:ind w:hanging="720"/>
      </w:pPr>
      <w:r>
        <w:t xml:space="preserve">Dagenais, D. (2016), “Hopital Saint-Jean-de-Dieu,” </w:t>
      </w:r>
      <w:r>
        <w:rPr>
          <w:i/>
        </w:rPr>
        <w:t>After the Asylum website</w:t>
      </w:r>
      <w:r>
        <w:t xml:space="preserve">: </w:t>
      </w:r>
      <w:hyperlink r:id="rId10" w:history="1">
        <w:r w:rsidRPr="005311B6">
          <w:rPr>
            <w:rStyle w:val="Hyperlink"/>
          </w:rPr>
          <w:t>http://aftertheasylum.apps01.yorku.ca/en/deinstitutionalizationPostcards/StJeanDeDieu</w:t>
        </w:r>
      </w:hyperlink>
    </w:p>
    <w:p w14:paraId="69FA4CF2" w14:textId="77777777" w:rsidR="00146A77" w:rsidRDefault="00146A77" w:rsidP="00146A77">
      <w:pPr>
        <w:pStyle w:val="EndnoteText"/>
        <w:ind w:hanging="720"/>
      </w:pPr>
    </w:p>
    <w:p w14:paraId="4266BE2D" w14:textId="77777777" w:rsidR="00146A77" w:rsidRPr="005E1C13" w:rsidRDefault="00146A77" w:rsidP="00146A77">
      <w:pPr>
        <w:pStyle w:val="EndnoteText"/>
        <w:tabs>
          <w:tab w:val="left" w:pos="0"/>
        </w:tabs>
        <w:ind w:hanging="720"/>
      </w:pPr>
      <w:r w:rsidRPr="005E1C13">
        <w:t>D’Arcy,</w:t>
      </w:r>
      <w:r>
        <w:t xml:space="preserve"> C. and Fritz, W. (1979), ‘A Mental Health System in Transition: Profiles of Change’, </w:t>
      </w:r>
      <w:r>
        <w:rPr>
          <w:i/>
        </w:rPr>
        <w:t>Canadian Journal of Psychiatry</w:t>
      </w:r>
      <w:r>
        <w:t xml:space="preserve"> 24(2):  121-131.</w:t>
      </w:r>
    </w:p>
    <w:p w14:paraId="7A9A8B27" w14:textId="77777777" w:rsidR="00146A77" w:rsidRDefault="00146A77" w:rsidP="00146A77">
      <w:pPr>
        <w:pStyle w:val="EndnoteText"/>
        <w:ind w:hanging="720"/>
      </w:pPr>
    </w:p>
    <w:p w14:paraId="15D949F6" w14:textId="77777777" w:rsidR="00146A77" w:rsidRDefault="00146A77" w:rsidP="00146A77">
      <w:pPr>
        <w:pStyle w:val="EndnoteText"/>
        <w:ind w:hanging="720"/>
      </w:pPr>
      <w:r w:rsidRPr="005E1C13">
        <w:t xml:space="preserve">Deighton, </w:t>
      </w:r>
      <w:r>
        <w:t>A. (2016), ‘</w:t>
      </w:r>
      <w:r w:rsidRPr="005E1C13">
        <w:t>The Last Asylum: Experiencing the Weyb</w:t>
      </w:r>
      <w:r>
        <w:t xml:space="preserve">urn Mental Hospital, 1921-1939’, </w:t>
      </w:r>
      <w:r w:rsidRPr="005E1C13">
        <w:t xml:space="preserve">unpublished MA Thesis, </w:t>
      </w:r>
      <w:r>
        <w:t>University of Saskatchewan.</w:t>
      </w:r>
    </w:p>
    <w:p w14:paraId="4BF72055" w14:textId="77777777" w:rsidR="00146A77" w:rsidRDefault="00146A77" w:rsidP="00146A77">
      <w:pPr>
        <w:pStyle w:val="EndnoteText"/>
        <w:ind w:hanging="720"/>
      </w:pPr>
    </w:p>
    <w:p w14:paraId="62A03F08" w14:textId="77777777" w:rsidR="00146A77" w:rsidRDefault="00146A77" w:rsidP="00146A77">
      <w:pPr>
        <w:pStyle w:val="EndnoteText"/>
        <w:ind w:hanging="720"/>
      </w:pPr>
      <w:r>
        <w:t xml:space="preserve">Dooley, C. (2016), “Working Between Mental Health Worlds,” </w:t>
      </w:r>
      <w:r>
        <w:rPr>
          <w:i/>
        </w:rPr>
        <w:t>After the Asylum website</w:t>
      </w:r>
      <w:r>
        <w:t xml:space="preserve">: </w:t>
      </w:r>
      <w:hyperlink r:id="rId11" w:history="1">
        <w:r w:rsidRPr="005311B6">
          <w:rPr>
            <w:rStyle w:val="Hyperlink"/>
          </w:rPr>
          <w:t>http://aftertheasylum.apps01.yorku.ca/en/workingBetweenMentalHealthWorlds</w:t>
        </w:r>
      </w:hyperlink>
      <w:r>
        <w:t>, accessed January 29, 2017.</w:t>
      </w:r>
    </w:p>
    <w:p w14:paraId="389F1429" w14:textId="77777777" w:rsidR="00146A77" w:rsidRDefault="00146A77" w:rsidP="00146A77">
      <w:pPr>
        <w:pStyle w:val="EndnoteText"/>
        <w:ind w:hanging="720"/>
      </w:pPr>
    </w:p>
    <w:p w14:paraId="49D54535" w14:textId="77777777" w:rsidR="00146A77" w:rsidRPr="008C0958" w:rsidRDefault="00146A77" w:rsidP="00146A77">
      <w:pPr>
        <w:pStyle w:val="EndnoteText"/>
        <w:ind w:hanging="720"/>
      </w:pPr>
      <w:r>
        <w:t xml:space="preserve">Dyck, E. and Deighton, A. (2017), </w:t>
      </w:r>
      <w:r>
        <w:rPr>
          <w:i/>
        </w:rPr>
        <w:t>Managing Madness: The Weyburn Mental Hospital and Transformations of Psychiatric Care in Canada</w:t>
      </w:r>
      <w:r>
        <w:t>, Winnipeg: University of Manitoba Press.</w:t>
      </w:r>
    </w:p>
    <w:p w14:paraId="15CCD3B4" w14:textId="77777777" w:rsidR="00146A77" w:rsidRDefault="00146A77" w:rsidP="00146A77">
      <w:pPr>
        <w:pStyle w:val="EndnoteText"/>
        <w:ind w:hanging="720"/>
      </w:pPr>
    </w:p>
    <w:p w14:paraId="6DE264DF" w14:textId="77777777" w:rsidR="00146A77" w:rsidRDefault="00146A77" w:rsidP="00146A77">
      <w:pPr>
        <w:pStyle w:val="EndnoteText"/>
        <w:ind w:hanging="720"/>
      </w:pPr>
      <w:r w:rsidRPr="005E1C13">
        <w:t>Feindel</w:t>
      </w:r>
      <w:r>
        <w:t>, W.</w:t>
      </w:r>
      <w:r w:rsidRPr="005E1C13">
        <w:t xml:space="preserve"> and Leblanc,</w:t>
      </w:r>
      <w:r>
        <w:t xml:space="preserve"> R. (2016),</w:t>
      </w:r>
      <w:r w:rsidRPr="005E1C13">
        <w:t xml:space="preserve"> </w:t>
      </w:r>
      <w:r w:rsidRPr="005E1C13">
        <w:rPr>
          <w:i/>
        </w:rPr>
        <w:t>The Wounded Brain Healed: The Golden Age of the Montreal Neurological Institute, 1934-1984</w:t>
      </w:r>
      <w:r>
        <w:t xml:space="preserve">. </w:t>
      </w:r>
      <w:r w:rsidRPr="005E1C13">
        <w:t>Montreal: McGil</w:t>
      </w:r>
      <w:r>
        <w:t>l-Queens University Press.</w:t>
      </w:r>
    </w:p>
    <w:p w14:paraId="2144BFF7" w14:textId="77777777" w:rsidR="00146A77" w:rsidRDefault="00146A77" w:rsidP="00146A77">
      <w:pPr>
        <w:pStyle w:val="EndnoteText"/>
        <w:ind w:hanging="720"/>
      </w:pPr>
    </w:p>
    <w:p w14:paraId="6585316F" w14:textId="77777777" w:rsidR="00AE61A2" w:rsidRPr="00AE61A2" w:rsidRDefault="00AE61A2" w:rsidP="00146A77">
      <w:pPr>
        <w:pStyle w:val="EndnoteText"/>
        <w:ind w:hanging="720"/>
      </w:pPr>
      <w:r>
        <w:t xml:space="preserve">Gagan, D. and Gagan, R. (2002), </w:t>
      </w:r>
      <w:r>
        <w:rPr>
          <w:i/>
        </w:rPr>
        <w:t xml:space="preserve">For Patients of Moderate Means: A Social History of the Voluntary Public General Hospital in Canada, 1890-1950. </w:t>
      </w:r>
      <w:r>
        <w:t>Montreal: McGill-Queen’s University Press.</w:t>
      </w:r>
    </w:p>
    <w:p w14:paraId="41C64CD6" w14:textId="77777777" w:rsidR="00AE61A2" w:rsidRDefault="00AE61A2" w:rsidP="00146A77">
      <w:pPr>
        <w:pStyle w:val="EndnoteText"/>
        <w:ind w:hanging="720"/>
      </w:pPr>
    </w:p>
    <w:p w14:paraId="6F7E7B97" w14:textId="77777777" w:rsidR="00146A77" w:rsidRPr="005E1C13" w:rsidRDefault="00146A77" w:rsidP="00146A77">
      <w:pPr>
        <w:pStyle w:val="EndnoteText"/>
        <w:ind w:hanging="720"/>
      </w:pPr>
      <w:r w:rsidRPr="005E1C13">
        <w:t xml:space="preserve">Grob, </w:t>
      </w:r>
      <w:r>
        <w:t xml:space="preserve">G. (1991), </w:t>
      </w:r>
      <w:r w:rsidRPr="005E1C13">
        <w:rPr>
          <w:i/>
        </w:rPr>
        <w:t>From Asylum to Community:  Mental Health Policy in Modern America</w:t>
      </w:r>
      <w:r>
        <w:rPr>
          <w:i/>
        </w:rPr>
        <w:t>,</w:t>
      </w:r>
      <w:r>
        <w:t xml:space="preserve"> </w:t>
      </w:r>
      <w:r w:rsidRPr="005E1C13">
        <w:t>Princeton, NJ: Pr</w:t>
      </w:r>
      <w:r>
        <w:t>inceton University Press.</w:t>
      </w:r>
    </w:p>
    <w:p w14:paraId="6258457E" w14:textId="77777777" w:rsidR="00146A77" w:rsidRDefault="00146A77" w:rsidP="00146A77">
      <w:pPr>
        <w:pStyle w:val="EndnoteText"/>
        <w:ind w:hanging="720"/>
      </w:pPr>
    </w:p>
    <w:p w14:paraId="6F6ED381" w14:textId="77777777" w:rsidR="00146A77" w:rsidRDefault="00146A77" w:rsidP="00146A77">
      <w:pPr>
        <w:pStyle w:val="EndnoteText"/>
        <w:ind w:hanging="720"/>
      </w:pPr>
      <w:r w:rsidRPr="005E1C13">
        <w:t xml:space="preserve">Grob, </w:t>
      </w:r>
      <w:r>
        <w:t xml:space="preserve">G. (1994), </w:t>
      </w:r>
      <w:r w:rsidRPr="005E1C13">
        <w:rPr>
          <w:i/>
        </w:rPr>
        <w:t>The Mad Among Us:  A History of the Care of America’s Mentally Ill</w:t>
      </w:r>
      <w:r>
        <w:t>, New York: The Free Press.</w:t>
      </w:r>
    </w:p>
    <w:p w14:paraId="09B4E8D0" w14:textId="77777777" w:rsidR="00146A77" w:rsidRDefault="00146A77" w:rsidP="00146A77">
      <w:pPr>
        <w:pStyle w:val="EndnoteText"/>
        <w:ind w:hanging="720"/>
      </w:pPr>
    </w:p>
    <w:p w14:paraId="7C542B3B" w14:textId="77777777" w:rsidR="00146A77" w:rsidRDefault="00146A77" w:rsidP="00146A77">
      <w:pPr>
        <w:pStyle w:val="EndnoteText"/>
        <w:ind w:hanging="720"/>
      </w:pPr>
      <w:r w:rsidRPr="005E1C13">
        <w:t xml:space="preserve">Grob, </w:t>
      </w:r>
      <w:r>
        <w:t>G. (1996), ‘</w:t>
      </w:r>
      <w:r w:rsidRPr="005E1C13">
        <w:t xml:space="preserve">American Psychiatry: From Hospital </w:t>
      </w:r>
      <w:r>
        <w:t>to Community in Modern America’,</w:t>
      </w:r>
      <w:r w:rsidRPr="005E1C13">
        <w:t xml:space="preserve"> </w:t>
      </w:r>
      <w:r w:rsidRPr="005E1C13">
        <w:rPr>
          <w:i/>
        </w:rPr>
        <w:t>Caduceus</w:t>
      </w:r>
      <w:r>
        <w:t xml:space="preserve"> 12(3): 49-54.</w:t>
      </w:r>
    </w:p>
    <w:p w14:paraId="440B7510" w14:textId="77777777" w:rsidR="00146A77" w:rsidRDefault="00146A77" w:rsidP="00146A77">
      <w:pPr>
        <w:pStyle w:val="EndnoteText"/>
        <w:ind w:hanging="720"/>
      </w:pPr>
    </w:p>
    <w:p w14:paraId="0696BFC2" w14:textId="77777777" w:rsidR="00146A77" w:rsidRDefault="00146A77" w:rsidP="00146A77">
      <w:pPr>
        <w:pStyle w:val="EndnoteText"/>
        <w:ind w:hanging="720"/>
      </w:pPr>
      <w:r w:rsidRPr="005E1C13">
        <w:t xml:space="preserve">Grob, </w:t>
      </w:r>
      <w:r>
        <w:t>G. (1997), ‘</w:t>
      </w:r>
      <w:r w:rsidRPr="005E1C13">
        <w:t>Deinstitutionali</w:t>
      </w:r>
      <w:r>
        <w:t>zation: the Illusion of Policy’,</w:t>
      </w:r>
      <w:r w:rsidRPr="005E1C13">
        <w:t xml:space="preserve"> </w:t>
      </w:r>
      <w:r w:rsidRPr="005E1C13">
        <w:rPr>
          <w:i/>
        </w:rPr>
        <w:t>Journal of Policy History</w:t>
      </w:r>
      <w:r>
        <w:t xml:space="preserve"> 9(1): 48-73.</w:t>
      </w:r>
      <w:r w:rsidRPr="005E1C13">
        <w:t xml:space="preserve"> </w:t>
      </w:r>
    </w:p>
    <w:p w14:paraId="604719E4" w14:textId="77777777" w:rsidR="00146A77" w:rsidRDefault="00146A77" w:rsidP="00146A77">
      <w:pPr>
        <w:pStyle w:val="EndnoteText"/>
        <w:ind w:hanging="720"/>
      </w:pPr>
    </w:p>
    <w:p w14:paraId="22B9244F" w14:textId="77777777" w:rsidR="00146A77" w:rsidRDefault="00146A77" w:rsidP="00146A77">
      <w:pPr>
        <w:pStyle w:val="EndnoteText"/>
        <w:ind w:hanging="720"/>
      </w:pPr>
      <w:r w:rsidRPr="005E1C13">
        <w:t xml:space="preserve">Grob, </w:t>
      </w:r>
      <w:r>
        <w:t>G. (2008), ‘</w:t>
      </w:r>
      <w:r w:rsidRPr="005E1C13">
        <w:t>The National Institute of Mental Health and M</w:t>
      </w:r>
      <w:r>
        <w:t>ental Health Policy, 1949-1965’,</w:t>
      </w:r>
      <w:r w:rsidRPr="005E1C13">
        <w:t xml:space="preserve"> in </w:t>
      </w:r>
      <w:r w:rsidRPr="005E1C13">
        <w:rPr>
          <w:i/>
        </w:rPr>
        <w:t>Biomedicine in the Twentieth Century:  Practices, Policies and Politics</w:t>
      </w:r>
      <w:r w:rsidRPr="005E1C13">
        <w:t xml:space="preserve"> (ed) Caroline Hannawa</w:t>
      </w:r>
      <w:r>
        <w:t>y, Amersterdam, IOM Press, pp. 59-94.</w:t>
      </w:r>
    </w:p>
    <w:p w14:paraId="33B2B46E" w14:textId="77777777" w:rsidR="00146A77" w:rsidRDefault="00146A77" w:rsidP="00146A77">
      <w:pPr>
        <w:pStyle w:val="EndnoteText"/>
        <w:ind w:hanging="720"/>
      </w:pPr>
    </w:p>
    <w:p w14:paraId="69C0AF9C" w14:textId="77777777" w:rsidR="00146A77" w:rsidRPr="005E1C13" w:rsidRDefault="00146A77" w:rsidP="00146A77">
      <w:pPr>
        <w:pStyle w:val="EndnoteText"/>
        <w:ind w:hanging="720"/>
      </w:pPr>
      <w:r w:rsidRPr="005E1C13">
        <w:t xml:space="preserve">Healy, </w:t>
      </w:r>
      <w:r>
        <w:t xml:space="preserve">D. (1997), </w:t>
      </w:r>
      <w:r w:rsidRPr="005E1C13">
        <w:rPr>
          <w:i/>
        </w:rPr>
        <w:t>The Anti-Depressant Era</w:t>
      </w:r>
      <w:r>
        <w:rPr>
          <w:i/>
        </w:rPr>
        <w:t>,</w:t>
      </w:r>
      <w:r>
        <w:t xml:space="preserve"> </w:t>
      </w:r>
      <w:r w:rsidRPr="005E1C13">
        <w:t>Cambridge:  H</w:t>
      </w:r>
      <w:r>
        <w:t>arvard University Press.</w:t>
      </w:r>
    </w:p>
    <w:p w14:paraId="201DD0BC" w14:textId="77777777" w:rsidR="00146A77" w:rsidRDefault="00146A77" w:rsidP="00146A77">
      <w:pPr>
        <w:pStyle w:val="EndnoteText"/>
        <w:ind w:hanging="720"/>
      </w:pPr>
    </w:p>
    <w:p w14:paraId="32DD86B4" w14:textId="77777777" w:rsidR="00146A77" w:rsidRDefault="00146A77" w:rsidP="00146A77">
      <w:pPr>
        <w:pStyle w:val="EndnoteText"/>
        <w:ind w:hanging="720"/>
      </w:pPr>
      <w:r>
        <w:t xml:space="preserve">N.J. Herman and </w:t>
      </w:r>
      <w:r w:rsidRPr="005E1C13">
        <w:t>Smith,</w:t>
      </w:r>
      <w:r>
        <w:t xml:space="preserve"> C. (1989), ‘Mental Hospital Depopulation in Canada:  Patient Perspectives’, </w:t>
      </w:r>
      <w:r>
        <w:rPr>
          <w:i/>
        </w:rPr>
        <w:t xml:space="preserve">Canadian Journal of Psychiatry </w:t>
      </w:r>
      <w:r>
        <w:t>34(5): 386-391.</w:t>
      </w:r>
    </w:p>
    <w:p w14:paraId="77856906" w14:textId="77777777" w:rsidR="00146A77" w:rsidRDefault="00146A77" w:rsidP="00146A77">
      <w:pPr>
        <w:pStyle w:val="EndnoteText"/>
        <w:ind w:hanging="720"/>
      </w:pPr>
    </w:p>
    <w:p w14:paraId="541B0FE0" w14:textId="77777777" w:rsidR="00146A77" w:rsidRPr="0053779C" w:rsidRDefault="00146A77" w:rsidP="00146A77">
      <w:pPr>
        <w:pStyle w:val="EndnoteText"/>
        <w:ind w:hanging="720"/>
      </w:pPr>
      <w:r>
        <w:t xml:space="preserve">Kritsotaki, D., Long, V., Smith, M., (eds), (2016), </w:t>
      </w:r>
      <w:r>
        <w:rPr>
          <w:i/>
        </w:rPr>
        <w:t>Deinstitutionalization and After: Post-war Psychiatry in the Western World</w:t>
      </w:r>
      <w:r>
        <w:t>, New York: Palgrave McMillan.</w:t>
      </w:r>
    </w:p>
    <w:p w14:paraId="2D3CF897" w14:textId="77777777" w:rsidR="00146A77" w:rsidRDefault="00146A77" w:rsidP="00146A77">
      <w:pPr>
        <w:pStyle w:val="EndnoteText"/>
        <w:ind w:hanging="720"/>
      </w:pPr>
    </w:p>
    <w:p w14:paraId="17198822" w14:textId="77777777" w:rsidR="00146A77" w:rsidRDefault="00146A77" w:rsidP="00146A77">
      <w:pPr>
        <w:pStyle w:val="EndnoteText"/>
        <w:ind w:hanging="720"/>
      </w:pPr>
      <w:r w:rsidRPr="005E1C13">
        <w:t xml:space="preserve">Lafave, </w:t>
      </w:r>
      <w:r>
        <w:t xml:space="preserve">H., </w:t>
      </w:r>
      <w:r w:rsidRPr="005E1C13">
        <w:t xml:space="preserve">De Souza, </w:t>
      </w:r>
      <w:r>
        <w:t xml:space="preserve">H.R., </w:t>
      </w:r>
      <w:r w:rsidRPr="005E1C13">
        <w:t xml:space="preserve">Prince, </w:t>
      </w:r>
      <w:r>
        <w:t xml:space="preserve">P.N., </w:t>
      </w:r>
      <w:r w:rsidRPr="005E1C13">
        <w:t xml:space="preserve">Atchison, </w:t>
      </w:r>
      <w:r>
        <w:t xml:space="preserve">K.E.D., </w:t>
      </w:r>
      <w:r w:rsidRPr="005E1C13">
        <w:t>and Gerber,</w:t>
      </w:r>
      <w:r>
        <w:t xml:space="preserve"> GJ. (1995), ‘</w:t>
      </w:r>
      <w:r w:rsidRPr="005E1C13">
        <w:t>Partnerships for People with Serious Mental Illness W</w:t>
      </w:r>
      <w:r>
        <w:t>ho Live Below the Poverty Line’,</w:t>
      </w:r>
      <w:r w:rsidRPr="005E1C13">
        <w:t xml:space="preserve"> </w:t>
      </w:r>
      <w:r w:rsidRPr="005E1C13">
        <w:rPr>
          <w:i/>
        </w:rPr>
        <w:t>Psychiatric Services</w:t>
      </w:r>
      <w:r w:rsidRPr="005E1C13">
        <w:t xml:space="preserve"> 46(10)</w:t>
      </w:r>
      <w:r>
        <w:t>: 1071-1073.</w:t>
      </w:r>
    </w:p>
    <w:p w14:paraId="49883A92" w14:textId="77777777" w:rsidR="00146A77" w:rsidRDefault="00146A77" w:rsidP="00146A77">
      <w:pPr>
        <w:pStyle w:val="EndnoteText"/>
        <w:ind w:hanging="720"/>
      </w:pPr>
    </w:p>
    <w:p w14:paraId="0A3BD20D" w14:textId="77777777" w:rsidR="00146A77" w:rsidRPr="005E1C13" w:rsidRDefault="00146A77" w:rsidP="00146A77">
      <w:pPr>
        <w:pStyle w:val="EndnoteText"/>
        <w:tabs>
          <w:tab w:val="left" w:pos="0"/>
        </w:tabs>
        <w:ind w:hanging="720"/>
      </w:pPr>
      <w:r w:rsidRPr="005E1C13">
        <w:t>Layton,</w:t>
      </w:r>
      <w:r>
        <w:t xml:space="preserve"> J. (2008),</w:t>
      </w:r>
      <w:r w:rsidRPr="005E1C13">
        <w:t xml:space="preserve"> </w:t>
      </w:r>
      <w:r w:rsidRPr="005E1C13">
        <w:rPr>
          <w:i/>
        </w:rPr>
        <w:t>Homelessness: The Making and Unmaking of a Crisis</w:t>
      </w:r>
      <w:r>
        <w:t>, New York: Penguin</w:t>
      </w:r>
      <w:r w:rsidRPr="005E1C13">
        <w:t>.</w:t>
      </w:r>
    </w:p>
    <w:p w14:paraId="33F5FC7D" w14:textId="77777777" w:rsidR="00146A77" w:rsidRDefault="00146A77" w:rsidP="00146A77">
      <w:pPr>
        <w:pStyle w:val="EndnoteText"/>
        <w:ind w:hanging="720"/>
      </w:pPr>
    </w:p>
    <w:p w14:paraId="7EE410FC" w14:textId="77777777" w:rsidR="00146A77" w:rsidRPr="005E1C13" w:rsidRDefault="00146A77" w:rsidP="00146A77">
      <w:pPr>
        <w:pStyle w:val="EndnoteText"/>
        <w:ind w:hanging="720"/>
      </w:pPr>
      <w:r w:rsidRPr="005E1C13">
        <w:t>Lux,</w:t>
      </w:r>
      <w:r>
        <w:t xml:space="preserve"> M.</w:t>
      </w:r>
      <w:r w:rsidRPr="005E1C13">
        <w:t xml:space="preserve"> </w:t>
      </w:r>
      <w:r>
        <w:t xml:space="preserve">(2016), </w:t>
      </w:r>
      <w:r w:rsidRPr="005E1C13">
        <w:rPr>
          <w:i/>
        </w:rPr>
        <w:t>Separate Beds: A History of Indian Hospitals in Canada, 1920s-1980s</w:t>
      </w:r>
      <w:r>
        <w:rPr>
          <w:i/>
        </w:rPr>
        <w:t>.</w:t>
      </w:r>
      <w:r>
        <w:t xml:space="preserve"> </w:t>
      </w:r>
      <w:r w:rsidRPr="005E1C13">
        <w:t>Toronto: Uni</w:t>
      </w:r>
      <w:r>
        <w:t>versity of Toronto Press.</w:t>
      </w:r>
    </w:p>
    <w:p w14:paraId="0E6CA1FD" w14:textId="77777777" w:rsidR="00146A77" w:rsidRDefault="00146A77" w:rsidP="00146A77">
      <w:pPr>
        <w:pStyle w:val="EndnoteText"/>
        <w:ind w:hanging="720"/>
      </w:pPr>
    </w:p>
    <w:p w14:paraId="788F25EC" w14:textId="77777777" w:rsidR="00146A77" w:rsidRPr="005E1C13" w:rsidRDefault="00146A77" w:rsidP="00146A77">
      <w:pPr>
        <w:pStyle w:val="EndnoteText"/>
        <w:ind w:hanging="720"/>
      </w:pPr>
      <w:r w:rsidRPr="005E1C13">
        <w:t xml:space="preserve">Marchildon, </w:t>
      </w:r>
      <w:r>
        <w:rPr>
          <w:rFonts w:cs="Times New Roman"/>
        </w:rPr>
        <w:t>G.</w:t>
      </w:r>
      <w:r w:rsidRPr="005E1C13">
        <w:rPr>
          <w:rFonts w:cs="Times New Roman"/>
        </w:rPr>
        <w:t>P.</w:t>
      </w:r>
      <w:r>
        <w:rPr>
          <w:rFonts w:cs="Times New Roman"/>
        </w:rPr>
        <w:t xml:space="preserve"> (2011), ‘</w:t>
      </w:r>
      <w:r w:rsidRPr="005E1C13">
        <w:rPr>
          <w:rFonts w:cs="Times New Roman"/>
        </w:rPr>
        <w:t>A House Divided: Deinstitutionalization, Medicare and the Canadian Mental Health Association in Saskatchewan</w:t>
      </w:r>
      <w:r>
        <w:rPr>
          <w:rFonts w:cs="Times New Roman"/>
        </w:rPr>
        <w:t>, 1944-1964’,</w:t>
      </w:r>
      <w:r w:rsidRPr="005E1C13">
        <w:rPr>
          <w:rFonts w:cs="Times New Roman"/>
        </w:rPr>
        <w:t xml:space="preserve"> </w:t>
      </w:r>
      <w:r w:rsidRPr="005E1C13">
        <w:rPr>
          <w:rFonts w:cs="Times New Roman"/>
          <w:i/>
        </w:rPr>
        <w:t xml:space="preserve">Social History/Histoire sociale </w:t>
      </w:r>
      <w:r>
        <w:rPr>
          <w:rFonts w:cs="Times New Roman"/>
        </w:rPr>
        <w:t>44(</w:t>
      </w:r>
      <w:r w:rsidRPr="005E1C13">
        <w:rPr>
          <w:rFonts w:cs="Times New Roman"/>
        </w:rPr>
        <w:t>88): 305-330.</w:t>
      </w:r>
    </w:p>
    <w:p w14:paraId="26AEC5B9" w14:textId="77777777" w:rsidR="00146A77" w:rsidRDefault="00146A77" w:rsidP="00146A77">
      <w:pPr>
        <w:pStyle w:val="EndnoteText"/>
        <w:ind w:hanging="720"/>
      </w:pPr>
    </w:p>
    <w:p w14:paraId="19E40EC5" w14:textId="77777777" w:rsidR="00146A77" w:rsidRPr="005E1C13" w:rsidRDefault="00146A77" w:rsidP="00146A77">
      <w:pPr>
        <w:pStyle w:val="EndnoteText"/>
        <w:ind w:hanging="720"/>
      </w:pPr>
      <w:r w:rsidRPr="005E1C13">
        <w:t xml:space="preserve">Marchildon, </w:t>
      </w:r>
      <w:r>
        <w:t xml:space="preserve">G.P. (2012), “Canadian Medicare: Why History Matters,” in Marchildon (ed) </w:t>
      </w:r>
      <w:r w:rsidRPr="005E1C13">
        <w:rPr>
          <w:i/>
        </w:rPr>
        <w:t>Making Medicare:  New Perspectives on the History of Medicare in Canada</w:t>
      </w:r>
      <w:r w:rsidRPr="005E1C13">
        <w:t xml:space="preserve">, </w:t>
      </w:r>
      <w:r>
        <w:t>Toronto: University of Toronto Press.</w:t>
      </w:r>
    </w:p>
    <w:p w14:paraId="5D1756C2" w14:textId="77777777" w:rsidR="00146A77" w:rsidRDefault="00146A77" w:rsidP="00146A77">
      <w:pPr>
        <w:pStyle w:val="EndnoteText"/>
        <w:ind w:hanging="720"/>
      </w:pPr>
    </w:p>
    <w:p w14:paraId="63683D58" w14:textId="77777777" w:rsidR="00146A77" w:rsidRPr="005E1C13" w:rsidRDefault="00146A77" w:rsidP="00146A77">
      <w:pPr>
        <w:pStyle w:val="EndnoteText"/>
        <w:ind w:hanging="720"/>
      </w:pPr>
      <w:r>
        <w:t xml:space="preserve">Mas, S. (2016), “Trudeau announces nearly $70M over 3 years for Indigenous mental health services,” </w:t>
      </w:r>
      <w:r>
        <w:rPr>
          <w:i/>
        </w:rPr>
        <w:t>CBC news</w:t>
      </w:r>
      <w:r>
        <w:t xml:space="preserve"> </w:t>
      </w:r>
      <w:hyperlink r:id="rId12" w:history="1">
        <w:r w:rsidRPr="005E1C13">
          <w:rPr>
            <w:rStyle w:val="Hyperlink"/>
          </w:rPr>
          <w:t>http://www.cbc.ca/news/politics/trudeau-attawapiskat-youth-chief-meeting-1.3629960</w:t>
        </w:r>
      </w:hyperlink>
      <w:r w:rsidRPr="005E1C13">
        <w:t>, accessed January 29, 2017.</w:t>
      </w:r>
    </w:p>
    <w:p w14:paraId="31065640" w14:textId="77777777" w:rsidR="00146A77" w:rsidRDefault="00146A77" w:rsidP="00146A77">
      <w:pPr>
        <w:pStyle w:val="EndnoteText"/>
        <w:ind w:hanging="720"/>
      </w:pPr>
    </w:p>
    <w:p w14:paraId="5B27A3B3" w14:textId="77777777" w:rsidR="00AE61A2" w:rsidRDefault="00146A77" w:rsidP="00AE61A2">
      <w:pPr>
        <w:pStyle w:val="EndnoteText"/>
        <w:ind w:hanging="720"/>
      </w:pPr>
      <w:r>
        <w:t>Miron, J. (2011),</w:t>
      </w:r>
      <w:r w:rsidRPr="005E1C13">
        <w:t xml:space="preserve"> </w:t>
      </w:r>
      <w:r w:rsidRPr="005E1C13">
        <w:rPr>
          <w:i/>
        </w:rPr>
        <w:t>Prisons, Asylums, and the Public: Institutional Visiting in the Nineteenth Century</w:t>
      </w:r>
      <w:r>
        <w:rPr>
          <w:i/>
        </w:rPr>
        <w:t xml:space="preserve">, </w:t>
      </w:r>
      <w:r w:rsidRPr="005E1C13">
        <w:t>Toronto: Un</w:t>
      </w:r>
      <w:r>
        <w:t>iversity of Toronto Press</w:t>
      </w:r>
      <w:r w:rsidRPr="005E1C13">
        <w:t>.</w:t>
      </w:r>
    </w:p>
    <w:p w14:paraId="1ABFEAB0" w14:textId="77777777" w:rsidR="00AE61A2" w:rsidRDefault="00AE61A2" w:rsidP="00AE61A2">
      <w:pPr>
        <w:pStyle w:val="EndnoteText"/>
        <w:ind w:hanging="720"/>
      </w:pPr>
    </w:p>
    <w:p w14:paraId="4F9B218D" w14:textId="77777777" w:rsidR="00146A77" w:rsidRDefault="00146A77" w:rsidP="00AE61A2">
      <w:pPr>
        <w:pStyle w:val="EndnoteText"/>
        <w:ind w:hanging="720"/>
      </w:pPr>
      <w:r>
        <w:t xml:space="preserve">Mitchell, T. (2016), “Survivor Culture” </w:t>
      </w:r>
      <w:r>
        <w:rPr>
          <w:i/>
        </w:rPr>
        <w:t>After the Asylum website</w:t>
      </w:r>
      <w:r>
        <w:t>:</w:t>
      </w:r>
    </w:p>
    <w:p w14:paraId="0D63003B" w14:textId="77777777" w:rsidR="007D5711" w:rsidRDefault="006434DF" w:rsidP="00AE61A2">
      <w:pPr>
        <w:pStyle w:val="EndnoteText"/>
      </w:pPr>
      <w:hyperlink r:id="rId13" w:history="1">
        <w:r w:rsidR="00146A77" w:rsidRPr="005311B6">
          <w:rPr>
            <w:rStyle w:val="Hyperlink"/>
          </w:rPr>
          <w:t>http://aftertheasylum.apps01.yorku.ca/en/survivorCulture</w:t>
        </w:r>
      </w:hyperlink>
      <w:r w:rsidR="00146A77">
        <w:t>, accessed January 29, 2017.</w:t>
      </w:r>
    </w:p>
    <w:p w14:paraId="2A0CA164" w14:textId="77777777" w:rsidR="00146A77" w:rsidRDefault="00146A77" w:rsidP="007D5711">
      <w:pPr>
        <w:pStyle w:val="EndnoteText"/>
      </w:pPr>
    </w:p>
    <w:p w14:paraId="41983785" w14:textId="77777777" w:rsidR="007D5711" w:rsidRPr="007D5711" w:rsidRDefault="007D5711" w:rsidP="00146A77">
      <w:pPr>
        <w:pStyle w:val="EndnoteText"/>
        <w:tabs>
          <w:tab w:val="left" w:pos="720"/>
        </w:tabs>
        <w:ind w:hanging="720"/>
        <w:rPr>
          <w:rFonts w:cs="Times New Roman"/>
        </w:rPr>
      </w:pPr>
      <w:r>
        <w:rPr>
          <w:rFonts w:cs="Times New Roman"/>
        </w:rPr>
        <w:t xml:space="preserve">Philo, C., Parr. H., and Burns, N. (2004), “Geographies of Exclusion,” </w:t>
      </w:r>
      <w:r>
        <w:rPr>
          <w:rFonts w:cs="Times New Roman"/>
          <w:i/>
        </w:rPr>
        <w:t xml:space="preserve">Mental Health Today </w:t>
      </w:r>
      <w:r>
        <w:rPr>
          <w:rFonts w:cs="Times New Roman"/>
        </w:rPr>
        <w:t>(May) 20-3.</w:t>
      </w:r>
    </w:p>
    <w:p w14:paraId="0796BA05" w14:textId="77777777" w:rsidR="007D5711" w:rsidRDefault="007D5711" w:rsidP="00146A77">
      <w:pPr>
        <w:pStyle w:val="EndnoteText"/>
        <w:tabs>
          <w:tab w:val="left" w:pos="720"/>
        </w:tabs>
        <w:ind w:hanging="720"/>
        <w:rPr>
          <w:rFonts w:cs="Times New Roman"/>
        </w:rPr>
      </w:pPr>
    </w:p>
    <w:p w14:paraId="3C6AF6FB" w14:textId="77777777" w:rsidR="00146A77" w:rsidRPr="005E1C13" w:rsidRDefault="00146A77" w:rsidP="00146A77">
      <w:pPr>
        <w:pStyle w:val="EndnoteText"/>
        <w:tabs>
          <w:tab w:val="left" w:pos="720"/>
        </w:tabs>
        <w:ind w:hanging="720"/>
        <w:rPr>
          <w:rFonts w:cs="Times New Roman"/>
        </w:rPr>
      </w:pPr>
      <w:r w:rsidRPr="007D5711">
        <w:rPr>
          <w:rFonts w:cs="Times New Roman"/>
        </w:rPr>
        <w:t>Pressman</w:t>
      </w:r>
      <w:r w:rsidRPr="005E1C13">
        <w:rPr>
          <w:rFonts w:cs="Times New Roman"/>
        </w:rPr>
        <w:t xml:space="preserve">, Jack D. </w:t>
      </w:r>
      <w:r>
        <w:rPr>
          <w:rFonts w:cs="Times New Roman"/>
        </w:rPr>
        <w:t xml:space="preserve">(1998), </w:t>
      </w:r>
      <w:r w:rsidRPr="005E1C13">
        <w:rPr>
          <w:rFonts w:cs="Times New Roman"/>
          <w:i/>
        </w:rPr>
        <w:t>Last Resort: Psychosurgery and the Limits of Medicine</w:t>
      </w:r>
      <w:r w:rsidRPr="005E1C13">
        <w:rPr>
          <w:rFonts w:cs="Times New Roman"/>
        </w:rPr>
        <w:t>.</w:t>
      </w:r>
      <w:r w:rsidRPr="005E1C13">
        <w:rPr>
          <w:rFonts w:cs="Times New Roman"/>
          <w:i/>
        </w:rPr>
        <w:t xml:space="preserve"> </w:t>
      </w:r>
      <w:r w:rsidRPr="005E1C13">
        <w:rPr>
          <w:rFonts w:cs="Times New Roman"/>
        </w:rPr>
        <w:t>Cambridge: Cambridg</w:t>
      </w:r>
      <w:r>
        <w:rPr>
          <w:rFonts w:cs="Times New Roman"/>
        </w:rPr>
        <w:t>e University Press.</w:t>
      </w:r>
    </w:p>
    <w:p w14:paraId="6E91D89E" w14:textId="77777777" w:rsidR="00146A77" w:rsidRDefault="00146A77" w:rsidP="00146A77">
      <w:pPr>
        <w:pStyle w:val="EndnoteText"/>
        <w:ind w:hanging="720"/>
      </w:pPr>
    </w:p>
    <w:p w14:paraId="6C3012A4" w14:textId="77777777" w:rsidR="00AE61A2" w:rsidRDefault="00AE61A2" w:rsidP="00146A77">
      <w:pPr>
        <w:pStyle w:val="EndnoteText"/>
        <w:ind w:hanging="720"/>
      </w:pPr>
      <w:r>
        <w:t xml:space="preserve">Reaume, G. (2006), “Patients at Work: Insane Asylum Inmates’ Labour in Ontario, 1841-1900,” </w:t>
      </w:r>
      <w:r>
        <w:rPr>
          <w:i/>
        </w:rPr>
        <w:t xml:space="preserve">Mental Health and Canadian Society: Historical Perspectives </w:t>
      </w:r>
      <w:r>
        <w:t xml:space="preserve"> James Moran and David Wright (ed) Montreal: McGill-Queen’s University Press, 69-96.</w:t>
      </w:r>
    </w:p>
    <w:p w14:paraId="0B48177D" w14:textId="77777777" w:rsidR="00AE61A2" w:rsidRDefault="00AE61A2" w:rsidP="00146A77">
      <w:pPr>
        <w:pStyle w:val="EndnoteText"/>
        <w:ind w:hanging="720"/>
      </w:pPr>
    </w:p>
    <w:p w14:paraId="67B9DE44" w14:textId="77777777" w:rsidR="00146A77" w:rsidRPr="005E1C13" w:rsidRDefault="00146A77" w:rsidP="00146A77">
      <w:pPr>
        <w:pStyle w:val="EndnoteText"/>
        <w:ind w:hanging="720"/>
      </w:pPr>
      <w:r>
        <w:t>Red Deer &amp; District Archives</w:t>
      </w:r>
      <w:r w:rsidRPr="005E1C13">
        <w:t>, Doreen Befus Files, Box 4, Doreen Befus, (March 1990)</w:t>
      </w:r>
      <w:r>
        <w:t>, ‘Who Says ‘Impossible’?</w:t>
      </w:r>
      <w:r w:rsidRPr="005E1C13">
        <w:t xml:space="preserve"> </w:t>
      </w:r>
      <w:r w:rsidRPr="005E1C13">
        <w:rPr>
          <w:i/>
        </w:rPr>
        <w:t>Decision Magazine</w:t>
      </w:r>
      <w:r w:rsidRPr="005E1C13">
        <w:t xml:space="preserve">, </w:t>
      </w:r>
      <w:r>
        <w:t xml:space="preserve">pp. </w:t>
      </w:r>
      <w:r w:rsidRPr="005E1C13">
        <w:t>16–17.</w:t>
      </w:r>
    </w:p>
    <w:p w14:paraId="6090B7F5" w14:textId="77777777" w:rsidR="00146A77" w:rsidRDefault="00146A77" w:rsidP="00146A77">
      <w:pPr>
        <w:pStyle w:val="EndnoteText"/>
        <w:ind w:hanging="720"/>
        <w:rPr>
          <w:rFonts w:cs="Times New Roman"/>
        </w:rPr>
      </w:pPr>
    </w:p>
    <w:p w14:paraId="2AEE295E" w14:textId="77777777" w:rsidR="00146A77" w:rsidRPr="00804B80" w:rsidRDefault="00146A77" w:rsidP="00146A77">
      <w:pPr>
        <w:pStyle w:val="EndnoteText"/>
        <w:ind w:hanging="720"/>
        <w:rPr>
          <w:rFonts w:cs="Times New Roman"/>
        </w:rPr>
      </w:pPr>
      <w:r w:rsidRPr="005E1C13">
        <w:rPr>
          <w:rFonts w:cs="Times New Roman"/>
        </w:rPr>
        <w:t>Romanow</w:t>
      </w:r>
      <w:r>
        <w:rPr>
          <w:rFonts w:cs="Times New Roman"/>
        </w:rPr>
        <w:t>, R.</w:t>
      </w:r>
      <w:r w:rsidRPr="005E1C13">
        <w:rPr>
          <w:rFonts w:cs="Times New Roman"/>
        </w:rPr>
        <w:t xml:space="preserve"> </w:t>
      </w:r>
      <w:r>
        <w:rPr>
          <w:rFonts w:cs="Times New Roman"/>
        </w:rPr>
        <w:t xml:space="preserve">(2002), </w:t>
      </w:r>
      <w:r w:rsidRPr="005E1C13">
        <w:rPr>
          <w:rFonts w:cs="Times New Roman"/>
          <w:i/>
        </w:rPr>
        <w:t>Building on Values: The Future of Healthcare in Canada</w:t>
      </w:r>
      <w:r>
        <w:rPr>
          <w:rFonts w:cs="Times New Roman"/>
        </w:rPr>
        <w:t>,</w:t>
      </w:r>
      <w:r>
        <w:rPr>
          <w:rFonts w:cs="Times New Roman"/>
          <w:i/>
        </w:rPr>
        <w:t xml:space="preserve"> Final Report</w:t>
      </w:r>
      <w:r>
        <w:rPr>
          <w:rFonts w:cs="Times New Roman"/>
        </w:rPr>
        <w:t>. Commission on the Future of Health Care in Canada.  Ottawa.</w:t>
      </w:r>
    </w:p>
    <w:p w14:paraId="0DB5BC31" w14:textId="77777777" w:rsidR="00146A77" w:rsidRDefault="00146A77" w:rsidP="00146A77">
      <w:pPr>
        <w:pStyle w:val="EndnoteText"/>
        <w:ind w:hanging="720"/>
      </w:pPr>
    </w:p>
    <w:p w14:paraId="10014A64" w14:textId="77777777" w:rsidR="00146A77" w:rsidRPr="005E1C13" w:rsidRDefault="00146A77" w:rsidP="00146A77">
      <w:pPr>
        <w:pStyle w:val="EndnoteText"/>
        <w:ind w:hanging="720"/>
        <w:rPr>
          <w:lang w:val="en-CA"/>
        </w:rPr>
      </w:pPr>
      <w:r>
        <w:rPr>
          <w:rFonts w:cs="Times New Roman"/>
        </w:rPr>
        <w:t xml:space="preserve">Sealy, P. </w:t>
      </w:r>
      <w:r w:rsidRPr="005E1C13">
        <w:rPr>
          <w:rFonts w:cs="Times New Roman"/>
        </w:rPr>
        <w:t xml:space="preserve">and Whitehead, </w:t>
      </w:r>
      <w:r>
        <w:rPr>
          <w:rFonts w:cs="Times New Roman"/>
        </w:rPr>
        <w:t>P. (2004), ‘</w:t>
      </w:r>
      <w:r w:rsidRPr="005E1C13">
        <w:rPr>
          <w:rFonts w:cs="Times New Roman"/>
        </w:rPr>
        <w:t>Forty Years of Deinstitutionalization of Psychiatric Services in C</w:t>
      </w:r>
      <w:r>
        <w:rPr>
          <w:rFonts w:cs="Times New Roman"/>
        </w:rPr>
        <w:t>anada: An Empirical Assessment’,</w:t>
      </w:r>
      <w:r w:rsidRPr="005E1C13">
        <w:rPr>
          <w:rFonts w:cs="Times New Roman"/>
        </w:rPr>
        <w:t xml:space="preserve"> </w:t>
      </w:r>
      <w:r w:rsidRPr="005E1C13">
        <w:rPr>
          <w:rFonts w:cs="Times New Roman"/>
          <w:i/>
        </w:rPr>
        <w:t>Canadian Journal of Psychiatry</w:t>
      </w:r>
      <w:r>
        <w:rPr>
          <w:rFonts w:cs="Times New Roman"/>
        </w:rPr>
        <w:t xml:space="preserve"> 49(</w:t>
      </w:r>
      <w:r w:rsidRPr="005E1C13">
        <w:rPr>
          <w:rFonts w:cs="Times New Roman"/>
        </w:rPr>
        <w:t>4): 249-50.</w:t>
      </w:r>
    </w:p>
    <w:p w14:paraId="1C8FA6B6" w14:textId="77777777" w:rsidR="00146A77" w:rsidRDefault="00146A77" w:rsidP="00146A77">
      <w:pPr>
        <w:pStyle w:val="EndnoteText"/>
        <w:ind w:hanging="720"/>
      </w:pPr>
    </w:p>
    <w:p w14:paraId="2A79DBBC" w14:textId="30B2FED0" w:rsidR="0069049C" w:rsidRDefault="0069049C" w:rsidP="00146A77">
      <w:pPr>
        <w:pStyle w:val="EndnoteText"/>
        <w:ind w:hanging="720"/>
      </w:pPr>
      <w:r>
        <w:t xml:space="preserve">Shorter, E. (1997). </w:t>
      </w:r>
      <w:r>
        <w:rPr>
          <w:i/>
        </w:rPr>
        <w:t>A History of Psychiatry: From the Era of the Asylum to the Age of Prozac</w:t>
      </w:r>
      <w:r>
        <w:t>. New York, John Wiley &amp; Sons, Inc.</w:t>
      </w:r>
    </w:p>
    <w:p w14:paraId="62AA0C9E" w14:textId="77777777" w:rsidR="0069049C" w:rsidRPr="0069049C" w:rsidRDefault="0069049C" w:rsidP="00146A77">
      <w:pPr>
        <w:pStyle w:val="EndnoteText"/>
        <w:ind w:hanging="720"/>
      </w:pPr>
    </w:p>
    <w:p w14:paraId="4DFB596D" w14:textId="7003EAFB" w:rsidR="00146A77" w:rsidRDefault="00146A77" w:rsidP="00146A77">
      <w:pPr>
        <w:pStyle w:val="EndnoteText"/>
        <w:ind w:hanging="720"/>
      </w:pPr>
      <w:r w:rsidRPr="005E1C13">
        <w:t>Shorter,</w:t>
      </w:r>
      <w:r w:rsidR="0069049C">
        <w:t xml:space="preserve"> E. (2013). </w:t>
      </w:r>
      <w:r w:rsidRPr="005E1C13">
        <w:t xml:space="preserve"> </w:t>
      </w:r>
      <w:r w:rsidRPr="005E1C13">
        <w:rPr>
          <w:i/>
        </w:rPr>
        <w:t>Partnership for Excellence: Medicine at the University of Toronto and Academic Hospitals</w:t>
      </w:r>
      <w:r>
        <w:rPr>
          <w:i/>
        </w:rPr>
        <w:t>,</w:t>
      </w:r>
      <w:r>
        <w:t xml:space="preserve"> </w:t>
      </w:r>
      <w:r w:rsidRPr="005E1C13">
        <w:t>Toronto: Uni</w:t>
      </w:r>
      <w:r>
        <w:t>versity of Toronto Press.</w:t>
      </w:r>
    </w:p>
    <w:p w14:paraId="3EA2851D" w14:textId="77777777" w:rsidR="00146A77" w:rsidRDefault="00146A77" w:rsidP="00146A77">
      <w:pPr>
        <w:pStyle w:val="EndnoteText"/>
        <w:ind w:hanging="720"/>
      </w:pPr>
    </w:p>
    <w:p w14:paraId="7BD96D31" w14:textId="77777777" w:rsidR="00146A77" w:rsidRDefault="00146A77" w:rsidP="00146A77">
      <w:pPr>
        <w:pStyle w:val="EndnoteText"/>
        <w:ind w:hanging="720"/>
      </w:pPr>
      <w:r>
        <w:t xml:space="preserve">Whyte, J.M. (2016), “CMHA White Cross Centres in Saskatchewan,” </w:t>
      </w:r>
      <w:r>
        <w:rPr>
          <w:i/>
        </w:rPr>
        <w:t>After the Asylum website</w:t>
      </w:r>
      <w:r>
        <w:t>:</w:t>
      </w:r>
    </w:p>
    <w:p w14:paraId="5F3EF1D3" w14:textId="77777777" w:rsidR="00146A77" w:rsidRDefault="006434DF" w:rsidP="00146A77">
      <w:pPr>
        <w:pStyle w:val="EndnoteText"/>
        <w:ind w:hanging="720"/>
      </w:pPr>
      <w:hyperlink r:id="rId14" w:history="1">
        <w:r w:rsidR="00146A77" w:rsidRPr="005311B6">
          <w:rPr>
            <w:rStyle w:val="Hyperlink"/>
          </w:rPr>
          <w:t>http://aftertheasylum.apps01.yorku.ca/en/CMHAWhiteCrossCentres</w:t>
        </w:r>
      </w:hyperlink>
      <w:r w:rsidR="00146A77">
        <w:t>, accessed January 29, 2017.</w:t>
      </w:r>
    </w:p>
    <w:p w14:paraId="0CD023C4" w14:textId="77777777" w:rsidR="00146A77" w:rsidRDefault="00146A77" w:rsidP="00146A77">
      <w:pPr>
        <w:pStyle w:val="EndnoteText"/>
        <w:ind w:hanging="720"/>
      </w:pPr>
    </w:p>
    <w:p w14:paraId="27F8D033" w14:textId="77777777" w:rsidR="00146A77" w:rsidRPr="005E1C13" w:rsidRDefault="00146A77" w:rsidP="00146A77">
      <w:pPr>
        <w:pStyle w:val="EndnoteText"/>
        <w:tabs>
          <w:tab w:val="left" w:pos="0"/>
        </w:tabs>
        <w:ind w:hanging="720"/>
      </w:pPr>
      <w:r w:rsidRPr="005E1C13">
        <w:t xml:space="preserve">Whyte, </w:t>
      </w:r>
      <w:r>
        <w:t>J.M. (2016b), ‘Mental Health and Advocacy’,</w:t>
      </w:r>
      <w:r w:rsidRPr="005E1C13">
        <w:t xml:space="preserve"> presentation at Nex</w:t>
      </w:r>
      <w:r>
        <w:t>t Up, Saskatoon, March 7.</w:t>
      </w:r>
    </w:p>
    <w:p w14:paraId="0F57FEA2" w14:textId="77777777" w:rsidR="00146A77" w:rsidRDefault="00146A77" w:rsidP="00146A77">
      <w:pPr>
        <w:pStyle w:val="EndnoteText"/>
        <w:ind w:hanging="720"/>
      </w:pPr>
    </w:p>
    <w:p w14:paraId="3DD058FB" w14:textId="77777777" w:rsidR="00146A77" w:rsidRDefault="00146A77" w:rsidP="00146A77">
      <w:pPr>
        <w:ind w:hanging="720"/>
      </w:pPr>
    </w:p>
    <w:p w14:paraId="7CF25DA3" w14:textId="77777777" w:rsidR="00146A77" w:rsidRPr="008465D8" w:rsidRDefault="00146A77" w:rsidP="008465D8">
      <w:pPr>
        <w:widowControl w:val="0"/>
        <w:autoSpaceDE w:val="0"/>
        <w:autoSpaceDN w:val="0"/>
        <w:adjustRightInd w:val="0"/>
        <w:spacing w:line="480" w:lineRule="auto"/>
        <w:ind w:firstLine="720"/>
        <w:rPr>
          <w:rFonts w:cs="Times New Roman"/>
          <w:lang w:val="en-CA"/>
        </w:rPr>
      </w:pPr>
    </w:p>
    <w:sectPr w:rsidR="00146A77" w:rsidRPr="008465D8" w:rsidSect="005E6BD1">
      <w:footerReference w:type="even" r:id="rId15"/>
      <w:footerReference w:type="default" r:id="rId16"/>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DD3CC" w15:done="0"/>
  <w15:commentEx w15:paraId="27ED08E2" w15:done="0"/>
  <w15:commentEx w15:paraId="4F156C15" w15:done="0"/>
  <w15:commentEx w15:paraId="4B267BE0" w15:done="0"/>
  <w15:commentEx w15:paraId="3D164DAC" w15:done="0"/>
  <w15:commentEx w15:paraId="6A689B16" w15:done="0"/>
  <w15:commentEx w15:paraId="5EB3F22B" w15:done="0"/>
  <w15:commentEx w15:paraId="53D408C2" w15:done="0"/>
  <w15:commentEx w15:paraId="559DA5DE" w15:done="0"/>
  <w15:commentEx w15:paraId="4A237539" w15:done="0"/>
  <w15:commentEx w15:paraId="30FA5AA3" w15:done="0"/>
  <w15:commentEx w15:paraId="0D91DD6D" w15:done="0"/>
  <w15:commentEx w15:paraId="6E85E68F" w15:done="0"/>
  <w15:commentEx w15:paraId="6D2367CD" w15:done="0"/>
  <w15:commentEx w15:paraId="63D836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697E" w14:textId="77777777" w:rsidR="006434DF" w:rsidRDefault="006434DF" w:rsidP="00B1387B">
      <w:r>
        <w:separator/>
      </w:r>
    </w:p>
  </w:endnote>
  <w:endnote w:type="continuationSeparator" w:id="0">
    <w:p w14:paraId="3EF74EF4" w14:textId="77777777" w:rsidR="006434DF" w:rsidRDefault="006434DF" w:rsidP="00B1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22FD3" w14:textId="77777777" w:rsidR="00C37E54" w:rsidRDefault="00C37E54" w:rsidP="00386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16E58" w14:textId="77777777" w:rsidR="00C37E54" w:rsidRDefault="00C37E54" w:rsidP="00386C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3156" w14:textId="77777777" w:rsidR="00C37E54" w:rsidRDefault="00C37E54" w:rsidP="00386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DDF">
      <w:rPr>
        <w:rStyle w:val="PageNumber"/>
        <w:noProof/>
      </w:rPr>
      <w:t>1</w:t>
    </w:r>
    <w:r>
      <w:rPr>
        <w:rStyle w:val="PageNumber"/>
      </w:rPr>
      <w:fldChar w:fldCharType="end"/>
    </w:r>
  </w:p>
  <w:p w14:paraId="32238630" w14:textId="77777777" w:rsidR="00C37E54" w:rsidRDefault="00C37E54" w:rsidP="00386C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6FC3" w14:textId="77777777" w:rsidR="006434DF" w:rsidRDefault="006434DF" w:rsidP="00B1387B">
      <w:r>
        <w:separator/>
      </w:r>
    </w:p>
  </w:footnote>
  <w:footnote w:type="continuationSeparator" w:id="0">
    <w:p w14:paraId="60F9FC5D" w14:textId="77777777" w:rsidR="006434DF" w:rsidRDefault="006434DF" w:rsidP="00B1387B">
      <w:r>
        <w:continuationSeparator/>
      </w:r>
    </w:p>
  </w:footnote>
  <w:footnote w:id="1">
    <w:p w14:paraId="50BE3CC3" w14:textId="36E48D8E" w:rsidR="00C37E54" w:rsidRPr="00281C53" w:rsidRDefault="00C37E54" w:rsidP="00653493">
      <w:pPr>
        <w:tabs>
          <w:tab w:val="left" w:pos="0"/>
        </w:tabs>
        <w:rPr>
          <w:rFonts w:cs="Times New Roman"/>
        </w:rPr>
      </w:pPr>
      <w:r w:rsidRPr="00281C53">
        <w:rPr>
          <w:rStyle w:val="FootnoteReference"/>
        </w:rPr>
        <w:footnoteRef/>
      </w:r>
      <w:r w:rsidRPr="00281C53">
        <w:t xml:space="preserve"> </w:t>
      </w:r>
      <w:r w:rsidR="00343C8F">
        <w:t xml:space="preserve">Based on a review of Saskatchewan Annual Reports. </w:t>
      </w:r>
      <w:r w:rsidRPr="00281C53">
        <w:rPr>
          <w:rFonts w:cs="Times New Roman"/>
        </w:rPr>
        <w:t xml:space="preserve">Although the number of patients in mental hospitals has decreased so much we have very substantially </w:t>
      </w:r>
      <w:r w:rsidRPr="00281C53">
        <w:rPr>
          <w:rFonts w:cs="Times New Roman"/>
          <w:u w:val="single"/>
        </w:rPr>
        <w:t>increased</w:t>
      </w:r>
      <w:r w:rsidRPr="00281C53">
        <w:rPr>
          <w:rFonts w:cs="Times New Roman"/>
        </w:rPr>
        <w:t xml:space="preserve"> expenditures on the program as a whole over the past five years.  As a result of this, the 1964-5 budget for Psychiatric Services of $12,763,970 had risen by 1969-70 to $16,641,530.  This represents an increase of $3,877,560 or 30.4%.  This year’s budget was increased y 12.05% or $1,644,610, the largest addition in the history of the program by a wide margin.  Because of the very large drop in the mental hospital patients at the Saskatchewan Hospital Weyburn there have been some reductions of staff over the years but in general these have been counter-balanced by the creation of additional positions elsewhere.  In 1964-5 the permanent establishment was 2,111 in 1969-70 it is 2,058.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B9A"/>
    <w:multiLevelType w:val="hybridMultilevel"/>
    <w:tmpl w:val="16F4E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Marchildon">
    <w15:presenceInfo w15:providerId="None" w15:userId="Greg Marchil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7B"/>
    <w:rsid w:val="00004142"/>
    <w:rsid w:val="00016CDB"/>
    <w:rsid w:val="00031CB0"/>
    <w:rsid w:val="00033B02"/>
    <w:rsid w:val="00055B20"/>
    <w:rsid w:val="00065D24"/>
    <w:rsid w:val="00072402"/>
    <w:rsid w:val="000A0CE0"/>
    <w:rsid w:val="000B28FC"/>
    <w:rsid w:val="000B4ACD"/>
    <w:rsid w:val="000E3C8B"/>
    <w:rsid w:val="001209F3"/>
    <w:rsid w:val="00140A3D"/>
    <w:rsid w:val="00146A77"/>
    <w:rsid w:val="00153E08"/>
    <w:rsid w:val="0016215C"/>
    <w:rsid w:val="001720DB"/>
    <w:rsid w:val="00174E7F"/>
    <w:rsid w:val="0017696A"/>
    <w:rsid w:val="00180949"/>
    <w:rsid w:val="0018616B"/>
    <w:rsid w:val="00187E9B"/>
    <w:rsid w:val="00196866"/>
    <w:rsid w:val="001C4513"/>
    <w:rsid w:val="001E1D0F"/>
    <w:rsid w:val="001F2536"/>
    <w:rsid w:val="001F2AF2"/>
    <w:rsid w:val="00203BBE"/>
    <w:rsid w:val="002136E2"/>
    <w:rsid w:val="00220E6C"/>
    <w:rsid w:val="00220E81"/>
    <w:rsid w:val="002236E2"/>
    <w:rsid w:val="0024100F"/>
    <w:rsid w:val="00263200"/>
    <w:rsid w:val="00271D00"/>
    <w:rsid w:val="002C5919"/>
    <w:rsid w:val="002E45C9"/>
    <w:rsid w:val="002F123A"/>
    <w:rsid w:val="002F77EA"/>
    <w:rsid w:val="00305626"/>
    <w:rsid w:val="00343C8F"/>
    <w:rsid w:val="00360655"/>
    <w:rsid w:val="00386C5C"/>
    <w:rsid w:val="003901BE"/>
    <w:rsid w:val="003A2C7D"/>
    <w:rsid w:val="003B4670"/>
    <w:rsid w:val="003B62AB"/>
    <w:rsid w:val="003C2F62"/>
    <w:rsid w:val="003C7AED"/>
    <w:rsid w:val="003F6E83"/>
    <w:rsid w:val="00405727"/>
    <w:rsid w:val="00426E1E"/>
    <w:rsid w:val="004317A3"/>
    <w:rsid w:val="00475291"/>
    <w:rsid w:val="004764EF"/>
    <w:rsid w:val="004769A8"/>
    <w:rsid w:val="00490677"/>
    <w:rsid w:val="004B5166"/>
    <w:rsid w:val="004C1C8A"/>
    <w:rsid w:val="004C738C"/>
    <w:rsid w:val="004E7753"/>
    <w:rsid w:val="004F7848"/>
    <w:rsid w:val="00501FCC"/>
    <w:rsid w:val="00525825"/>
    <w:rsid w:val="0053779C"/>
    <w:rsid w:val="00550DDF"/>
    <w:rsid w:val="005A7302"/>
    <w:rsid w:val="005E1C13"/>
    <w:rsid w:val="005E22F4"/>
    <w:rsid w:val="005E6BD1"/>
    <w:rsid w:val="006032E8"/>
    <w:rsid w:val="00604AB7"/>
    <w:rsid w:val="00615155"/>
    <w:rsid w:val="00616931"/>
    <w:rsid w:val="006434DF"/>
    <w:rsid w:val="00653493"/>
    <w:rsid w:val="00667B2C"/>
    <w:rsid w:val="00685423"/>
    <w:rsid w:val="0069049C"/>
    <w:rsid w:val="00693806"/>
    <w:rsid w:val="006A284A"/>
    <w:rsid w:val="006A77A4"/>
    <w:rsid w:val="00702410"/>
    <w:rsid w:val="00713757"/>
    <w:rsid w:val="00762DFC"/>
    <w:rsid w:val="007C1057"/>
    <w:rsid w:val="007D5711"/>
    <w:rsid w:val="007F7AF3"/>
    <w:rsid w:val="008057C7"/>
    <w:rsid w:val="00841F77"/>
    <w:rsid w:val="0084349C"/>
    <w:rsid w:val="008465D8"/>
    <w:rsid w:val="00847D21"/>
    <w:rsid w:val="008528EF"/>
    <w:rsid w:val="0086056B"/>
    <w:rsid w:val="00877590"/>
    <w:rsid w:val="00890D9A"/>
    <w:rsid w:val="008A17C0"/>
    <w:rsid w:val="008C0958"/>
    <w:rsid w:val="008C0963"/>
    <w:rsid w:val="008C7C88"/>
    <w:rsid w:val="008E2347"/>
    <w:rsid w:val="008E2D1D"/>
    <w:rsid w:val="00904F3A"/>
    <w:rsid w:val="00907F7F"/>
    <w:rsid w:val="0092323A"/>
    <w:rsid w:val="00947A88"/>
    <w:rsid w:val="00950B5A"/>
    <w:rsid w:val="00961C4E"/>
    <w:rsid w:val="0097371A"/>
    <w:rsid w:val="00975C7E"/>
    <w:rsid w:val="00986BC0"/>
    <w:rsid w:val="009B246D"/>
    <w:rsid w:val="009D564C"/>
    <w:rsid w:val="00A02EE9"/>
    <w:rsid w:val="00A03EA8"/>
    <w:rsid w:val="00A3605A"/>
    <w:rsid w:val="00A97CF1"/>
    <w:rsid w:val="00AE0FE2"/>
    <w:rsid w:val="00AE61A2"/>
    <w:rsid w:val="00B027BA"/>
    <w:rsid w:val="00B0282F"/>
    <w:rsid w:val="00B04811"/>
    <w:rsid w:val="00B1387B"/>
    <w:rsid w:val="00B21456"/>
    <w:rsid w:val="00B24859"/>
    <w:rsid w:val="00B24CEB"/>
    <w:rsid w:val="00B41250"/>
    <w:rsid w:val="00B5397A"/>
    <w:rsid w:val="00B73E5E"/>
    <w:rsid w:val="00C01C18"/>
    <w:rsid w:val="00C0458F"/>
    <w:rsid w:val="00C206CD"/>
    <w:rsid w:val="00C35553"/>
    <w:rsid w:val="00C37E54"/>
    <w:rsid w:val="00C40059"/>
    <w:rsid w:val="00C537EE"/>
    <w:rsid w:val="00C7669E"/>
    <w:rsid w:val="00C773C1"/>
    <w:rsid w:val="00CC1B83"/>
    <w:rsid w:val="00CF1A63"/>
    <w:rsid w:val="00CF7C14"/>
    <w:rsid w:val="00D11157"/>
    <w:rsid w:val="00D34330"/>
    <w:rsid w:val="00D4504B"/>
    <w:rsid w:val="00D55ABD"/>
    <w:rsid w:val="00D560FC"/>
    <w:rsid w:val="00D66A53"/>
    <w:rsid w:val="00D67FC7"/>
    <w:rsid w:val="00D80597"/>
    <w:rsid w:val="00DC561E"/>
    <w:rsid w:val="00DC5D0D"/>
    <w:rsid w:val="00DC6F42"/>
    <w:rsid w:val="00DE49F4"/>
    <w:rsid w:val="00DF6EBC"/>
    <w:rsid w:val="00E07F65"/>
    <w:rsid w:val="00E12390"/>
    <w:rsid w:val="00E17C82"/>
    <w:rsid w:val="00E2370C"/>
    <w:rsid w:val="00E25C70"/>
    <w:rsid w:val="00E74CCB"/>
    <w:rsid w:val="00E95E13"/>
    <w:rsid w:val="00E97C25"/>
    <w:rsid w:val="00EA316B"/>
    <w:rsid w:val="00EA61CC"/>
    <w:rsid w:val="00ED178B"/>
    <w:rsid w:val="00EE1E27"/>
    <w:rsid w:val="00EE2E39"/>
    <w:rsid w:val="00EF7525"/>
    <w:rsid w:val="00F17F75"/>
    <w:rsid w:val="00F254BF"/>
    <w:rsid w:val="00F54CE8"/>
    <w:rsid w:val="00F5509A"/>
    <w:rsid w:val="00FA0AD8"/>
    <w:rsid w:val="00FA0CEC"/>
    <w:rsid w:val="00FA2697"/>
    <w:rsid w:val="00FA5E84"/>
    <w:rsid w:val="00FE04CD"/>
    <w:rsid w:val="00FF0903"/>
    <w:rsid w:val="00FF3B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236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3"/>
    <w:qFormat/>
    <w:rsid w:val="002236E2"/>
    <w:pPr>
      <w:keepLines w:val="0"/>
      <w:suppressAutoHyphens/>
      <w:spacing w:before="240" w:after="120"/>
    </w:pPr>
    <w:rPr>
      <w:rFonts w:asciiTheme="minorHAnsi" w:eastAsia="Microsoft YaHei" w:hAnsiTheme="minorHAnsi" w:cs="Mangal"/>
      <w:bCs w:val="0"/>
      <w:color w:val="00000A"/>
      <w:sz w:val="28"/>
      <w:szCs w:val="28"/>
    </w:rPr>
  </w:style>
  <w:style w:type="character" w:customStyle="1" w:styleId="Heading3Char">
    <w:name w:val="Heading 3 Char"/>
    <w:basedOn w:val="DefaultParagraphFont"/>
    <w:link w:val="Heading3"/>
    <w:uiPriority w:val="9"/>
    <w:semiHidden/>
    <w:rsid w:val="002236E2"/>
    <w:rPr>
      <w:rFonts w:asciiTheme="majorHAnsi" w:eastAsiaTheme="majorEastAsia" w:hAnsiTheme="majorHAnsi" w:cstheme="majorBidi"/>
      <w:b/>
      <w:bCs/>
      <w:color w:val="4F81BD" w:themeColor="accent1"/>
    </w:rPr>
  </w:style>
  <w:style w:type="paragraph" w:styleId="FootnoteText">
    <w:name w:val="footnote text"/>
    <w:basedOn w:val="Normal"/>
    <w:link w:val="FootnoteTextChar"/>
    <w:unhideWhenUsed/>
    <w:qFormat/>
    <w:rsid w:val="00B1387B"/>
  </w:style>
  <w:style w:type="character" w:customStyle="1" w:styleId="FootnoteTextChar">
    <w:name w:val="Footnote Text Char"/>
    <w:basedOn w:val="DefaultParagraphFont"/>
    <w:link w:val="FootnoteText"/>
    <w:qFormat/>
    <w:rsid w:val="00B1387B"/>
  </w:style>
  <w:style w:type="character" w:styleId="FootnoteReference">
    <w:name w:val="footnote reference"/>
    <w:basedOn w:val="DefaultParagraphFont"/>
    <w:uiPriority w:val="99"/>
    <w:unhideWhenUsed/>
    <w:qFormat/>
    <w:rsid w:val="00B1387B"/>
    <w:rPr>
      <w:vertAlign w:val="superscript"/>
    </w:rPr>
  </w:style>
  <w:style w:type="paragraph" w:styleId="ListParagraph">
    <w:name w:val="List Paragraph"/>
    <w:basedOn w:val="Normal"/>
    <w:uiPriority w:val="34"/>
    <w:qFormat/>
    <w:rsid w:val="003A2C7D"/>
    <w:pPr>
      <w:ind w:left="720"/>
      <w:contextualSpacing/>
    </w:pPr>
  </w:style>
  <w:style w:type="paragraph" w:styleId="Header">
    <w:name w:val="header"/>
    <w:basedOn w:val="Normal"/>
    <w:link w:val="HeaderChar"/>
    <w:unhideWhenUsed/>
    <w:rsid w:val="0097371A"/>
    <w:pPr>
      <w:tabs>
        <w:tab w:val="center" w:pos="4320"/>
        <w:tab w:val="right" w:pos="8640"/>
      </w:tabs>
    </w:pPr>
  </w:style>
  <w:style w:type="character" w:customStyle="1" w:styleId="HeaderChar">
    <w:name w:val="Header Char"/>
    <w:basedOn w:val="DefaultParagraphFont"/>
    <w:link w:val="Header"/>
    <w:rsid w:val="0097371A"/>
  </w:style>
  <w:style w:type="paragraph" w:styleId="BodyText">
    <w:name w:val="Body Text"/>
    <w:basedOn w:val="Normal"/>
    <w:link w:val="BodyTextChar"/>
    <w:rsid w:val="001209F3"/>
    <w:pPr>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209F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282F"/>
    <w:rPr>
      <w:color w:val="0000FF" w:themeColor="hyperlink"/>
      <w:u w:val="single"/>
    </w:rPr>
  </w:style>
  <w:style w:type="paragraph" w:styleId="Footer">
    <w:name w:val="footer"/>
    <w:basedOn w:val="Normal"/>
    <w:link w:val="FooterChar"/>
    <w:uiPriority w:val="99"/>
    <w:unhideWhenUsed/>
    <w:rsid w:val="00386C5C"/>
    <w:pPr>
      <w:tabs>
        <w:tab w:val="center" w:pos="4320"/>
        <w:tab w:val="right" w:pos="8640"/>
      </w:tabs>
    </w:pPr>
  </w:style>
  <w:style w:type="character" w:customStyle="1" w:styleId="FooterChar">
    <w:name w:val="Footer Char"/>
    <w:basedOn w:val="DefaultParagraphFont"/>
    <w:link w:val="Footer"/>
    <w:uiPriority w:val="99"/>
    <w:rsid w:val="00386C5C"/>
  </w:style>
  <w:style w:type="character" w:styleId="PageNumber">
    <w:name w:val="page number"/>
    <w:basedOn w:val="DefaultParagraphFont"/>
    <w:uiPriority w:val="99"/>
    <w:semiHidden/>
    <w:unhideWhenUsed/>
    <w:rsid w:val="00386C5C"/>
  </w:style>
  <w:style w:type="paragraph" w:customStyle="1" w:styleId="brkparagraph">
    <w:name w:val="brk paragraph"/>
    <w:basedOn w:val="Normal"/>
    <w:rsid w:val="00713757"/>
    <w:pPr>
      <w:tabs>
        <w:tab w:val="left" w:pos="1170"/>
      </w:tabs>
    </w:pPr>
    <w:rPr>
      <w:rFonts w:ascii="Century Schoolbook" w:eastAsia="Times New Roman" w:hAnsi="Century Schoolbook" w:cs="Times New Roman"/>
      <w:spacing w:val="-5"/>
      <w:sz w:val="22"/>
      <w:szCs w:val="20"/>
      <w:lang w:val="en-CA"/>
    </w:rPr>
  </w:style>
  <w:style w:type="character" w:styleId="CommentReference">
    <w:name w:val="annotation reference"/>
    <w:rsid w:val="00904F3A"/>
    <w:rPr>
      <w:rFonts w:ascii="Helvetica" w:hAnsi="Helvetica"/>
      <w:b/>
      <w:sz w:val="28"/>
      <w:bdr w:val="none" w:sz="0" w:space="0" w:color="auto"/>
      <w:shd w:val="clear" w:color="auto" w:fill="FFFF00"/>
    </w:rPr>
  </w:style>
  <w:style w:type="paragraph" w:styleId="CommentText">
    <w:name w:val="annotation text"/>
    <w:basedOn w:val="Normal"/>
    <w:link w:val="CommentTextChar"/>
    <w:rsid w:val="00904F3A"/>
    <w:pPr>
      <w:spacing w:line="320" w:lineRule="exact"/>
    </w:pPr>
    <w:rPr>
      <w:rFonts w:ascii="Times New Roman" w:eastAsia="Times New Roman" w:hAnsi="Times New Roman" w:cs="Times New Roman"/>
      <w:szCs w:val="20"/>
      <w:lang w:val="x-none" w:eastAsia="x-none"/>
    </w:rPr>
  </w:style>
  <w:style w:type="character" w:customStyle="1" w:styleId="CommentTextChar">
    <w:name w:val="Comment Text Char"/>
    <w:basedOn w:val="DefaultParagraphFont"/>
    <w:link w:val="CommentText"/>
    <w:rsid w:val="00904F3A"/>
    <w:rPr>
      <w:rFonts w:ascii="Times New Roman" w:eastAsia="Times New Roman" w:hAnsi="Times New Roman" w:cs="Times New Roman"/>
      <w:szCs w:val="20"/>
      <w:lang w:val="x-none" w:eastAsia="x-none"/>
    </w:rPr>
  </w:style>
  <w:style w:type="paragraph" w:customStyle="1" w:styleId="TxtBodyText">
    <w:name w:val="Txt Body Text"/>
    <w:basedOn w:val="Normal"/>
    <w:link w:val="TxtBodyTextChar"/>
    <w:qFormat/>
    <w:rsid w:val="00904F3A"/>
    <w:pPr>
      <w:spacing w:line="560" w:lineRule="exact"/>
      <w:ind w:firstLine="720"/>
    </w:pPr>
    <w:rPr>
      <w:rFonts w:ascii="Times New Roman" w:eastAsia="Times New Roman" w:hAnsi="Times New Roman" w:cs="Times New Roman"/>
    </w:rPr>
  </w:style>
  <w:style w:type="character" w:customStyle="1" w:styleId="TxtBodyTextChar">
    <w:name w:val="Txt Body Text Char"/>
    <w:link w:val="TxtBodyText"/>
    <w:rsid w:val="00904F3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4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F3A"/>
    <w:rPr>
      <w:rFonts w:ascii="Lucida Grande" w:hAnsi="Lucida Grande" w:cs="Lucida Grande"/>
      <w:sz w:val="18"/>
      <w:szCs w:val="18"/>
    </w:rPr>
  </w:style>
  <w:style w:type="character" w:customStyle="1" w:styleId="EndnoteTextChar">
    <w:name w:val="Endnote Text Char"/>
    <w:link w:val="EndnoteText"/>
    <w:uiPriority w:val="99"/>
    <w:rsid w:val="00904F3A"/>
    <w:rPr>
      <w:lang w:val="en-GB" w:eastAsia="en-CA"/>
    </w:rPr>
  </w:style>
  <w:style w:type="paragraph" w:styleId="EndnoteText">
    <w:name w:val="endnote text"/>
    <w:basedOn w:val="Normal"/>
    <w:link w:val="EndnoteTextChar"/>
    <w:uiPriority w:val="99"/>
    <w:rsid w:val="00904F3A"/>
    <w:rPr>
      <w:lang w:val="en-GB" w:eastAsia="en-CA"/>
    </w:rPr>
  </w:style>
  <w:style w:type="character" w:customStyle="1" w:styleId="EndnoteTextChar1">
    <w:name w:val="Endnote Text Char1"/>
    <w:basedOn w:val="DefaultParagraphFont"/>
    <w:uiPriority w:val="99"/>
    <w:semiHidden/>
    <w:rsid w:val="00904F3A"/>
  </w:style>
  <w:style w:type="character" w:styleId="EndnoteReference">
    <w:name w:val="endnote reference"/>
    <w:uiPriority w:val="99"/>
    <w:unhideWhenUsed/>
    <w:rsid w:val="00904F3A"/>
    <w:rPr>
      <w:vertAlign w:val="superscript"/>
    </w:rPr>
  </w:style>
  <w:style w:type="paragraph" w:customStyle="1" w:styleId="ExtExtractorBlockQuote">
    <w:name w:val="Ext Extract or Block Quote"/>
    <w:basedOn w:val="TxtBodyText"/>
    <w:rsid w:val="00904F3A"/>
    <w:pPr>
      <w:ind w:left="720" w:right="720"/>
      <w:contextualSpacing/>
    </w:pPr>
  </w:style>
  <w:style w:type="paragraph" w:customStyle="1" w:styleId="H1HeadingLevel1">
    <w:name w:val="H1 Heading Level 1"/>
    <w:basedOn w:val="Normal"/>
    <w:next w:val="TxtBodyText"/>
    <w:rsid w:val="00D34330"/>
    <w:pPr>
      <w:spacing w:before="480" w:after="240" w:line="560" w:lineRule="exact"/>
      <w:outlineLvl w:val="0"/>
    </w:pPr>
    <w:rPr>
      <w:rFonts w:ascii="Arial" w:eastAsia="Times New Roman" w:hAnsi="Arial" w:cs="Times New Roman"/>
      <w:b/>
      <w:sz w:val="40"/>
      <w:szCs w:val="20"/>
    </w:rPr>
  </w:style>
  <w:style w:type="paragraph" w:styleId="NormalWeb">
    <w:name w:val="Normal (Web)"/>
    <w:basedOn w:val="Normal"/>
    <w:uiPriority w:val="99"/>
    <w:unhideWhenUsed/>
    <w:rsid w:val="00490677"/>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490677"/>
    <w:rPr>
      <w:i/>
      <w:iCs/>
    </w:rPr>
  </w:style>
  <w:style w:type="paragraph" w:styleId="CommentSubject">
    <w:name w:val="annotation subject"/>
    <w:basedOn w:val="CommentText"/>
    <w:next w:val="CommentText"/>
    <w:link w:val="CommentSubjectChar"/>
    <w:uiPriority w:val="99"/>
    <w:semiHidden/>
    <w:unhideWhenUsed/>
    <w:rsid w:val="004317A3"/>
    <w:pPr>
      <w:spacing w:line="240" w:lineRule="auto"/>
    </w:pPr>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uiPriority w:val="99"/>
    <w:semiHidden/>
    <w:rsid w:val="004317A3"/>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DC561E"/>
    <w:rPr>
      <w:color w:val="800080" w:themeColor="followedHyperlink"/>
      <w:u w:val="single"/>
    </w:rPr>
  </w:style>
  <w:style w:type="paragraph" w:customStyle="1" w:styleId="Font11">
    <w:name w:val="Font 11"/>
    <w:basedOn w:val="Normal"/>
    <w:autoRedefine/>
    <w:qFormat/>
    <w:rsid w:val="00550DDF"/>
    <w:rPr>
      <w:rFonts w:ascii="Times New Roman" w:eastAsia="Calibri"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236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3"/>
    <w:qFormat/>
    <w:rsid w:val="002236E2"/>
    <w:pPr>
      <w:keepLines w:val="0"/>
      <w:suppressAutoHyphens/>
      <w:spacing w:before="240" w:after="120"/>
    </w:pPr>
    <w:rPr>
      <w:rFonts w:asciiTheme="minorHAnsi" w:eastAsia="Microsoft YaHei" w:hAnsiTheme="minorHAnsi" w:cs="Mangal"/>
      <w:bCs w:val="0"/>
      <w:color w:val="00000A"/>
      <w:sz w:val="28"/>
      <w:szCs w:val="28"/>
    </w:rPr>
  </w:style>
  <w:style w:type="character" w:customStyle="1" w:styleId="Heading3Char">
    <w:name w:val="Heading 3 Char"/>
    <w:basedOn w:val="DefaultParagraphFont"/>
    <w:link w:val="Heading3"/>
    <w:uiPriority w:val="9"/>
    <w:semiHidden/>
    <w:rsid w:val="002236E2"/>
    <w:rPr>
      <w:rFonts w:asciiTheme="majorHAnsi" w:eastAsiaTheme="majorEastAsia" w:hAnsiTheme="majorHAnsi" w:cstheme="majorBidi"/>
      <w:b/>
      <w:bCs/>
      <w:color w:val="4F81BD" w:themeColor="accent1"/>
    </w:rPr>
  </w:style>
  <w:style w:type="paragraph" w:styleId="FootnoteText">
    <w:name w:val="footnote text"/>
    <w:basedOn w:val="Normal"/>
    <w:link w:val="FootnoteTextChar"/>
    <w:unhideWhenUsed/>
    <w:qFormat/>
    <w:rsid w:val="00B1387B"/>
  </w:style>
  <w:style w:type="character" w:customStyle="1" w:styleId="FootnoteTextChar">
    <w:name w:val="Footnote Text Char"/>
    <w:basedOn w:val="DefaultParagraphFont"/>
    <w:link w:val="FootnoteText"/>
    <w:qFormat/>
    <w:rsid w:val="00B1387B"/>
  </w:style>
  <w:style w:type="character" w:styleId="FootnoteReference">
    <w:name w:val="footnote reference"/>
    <w:basedOn w:val="DefaultParagraphFont"/>
    <w:uiPriority w:val="99"/>
    <w:unhideWhenUsed/>
    <w:qFormat/>
    <w:rsid w:val="00B1387B"/>
    <w:rPr>
      <w:vertAlign w:val="superscript"/>
    </w:rPr>
  </w:style>
  <w:style w:type="paragraph" w:styleId="ListParagraph">
    <w:name w:val="List Paragraph"/>
    <w:basedOn w:val="Normal"/>
    <w:uiPriority w:val="34"/>
    <w:qFormat/>
    <w:rsid w:val="003A2C7D"/>
    <w:pPr>
      <w:ind w:left="720"/>
      <w:contextualSpacing/>
    </w:pPr>
  </w:style>
  <w:style w:type="paragraph" w:styleId="Header">
    <w:name w:val="header"/>
    <w:basedOn w:val="Normal"/>
    <w:link w:val="HeaderChar"/>
    <w:unhideWhenUsed/>
    <w:rsid w:val="0097371A"/>
    <w:pPr>
      <w:tabs>
        <w:tab w:val="center" w:pos="4320"/>
        <w:tab w:val="right" w:pos="8640"/>
      </w:tabs>
    </w:pPr>
  </w:style>
  <w:style w:type="character" w:customStyle="1" w:styleId="HeaderChar">
    <w:name w:val="Header Char"/>
    <w:basedOn w:val="DefaultParagraphFont"/>
    <w:link w:val="Header"/>
    <w:rsid w:val="0097371A"/>
  </w:style>
  <w:style w:type="paragraph" w:styleId="BodyText">
    <w:name w:val="Body Text"/>
    <w:basedOn w:val="Normal"/>
    <w:link w:val="BodyTextChar"/>
    <w:rsid w:val="001209F3"/>
    <w:pPr>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209F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282F"/>
    <w:rPr>
      <w:color w:val="0000FF" w:themeColor="hyperlink"/>
      <w:u w:val="single"/>
    </w:rPr>
  </w:style>
  <w:style w:type="paragraph" w:styleId="Footer">
    <w:name w:val="footer"/>
    <w:basedOn w:val="Normal"/>
    <w:link w:val="FooterChar"/>
    <w:uiPriority w:val="99"/>
    <w:unhideWhenUsed/>
    <w:rsid w:val="00386C5C"/>
    <w:pPr>
      <w:tabs>
        <w:tab w:val="center" w:pos="4320"/>
        <w:tab w:val="right" w:pos="8640"/>
      </w:tabs>
    </w:pPr>
  </w:style>
  <w:style w:type="character" w:customStyle="1" w:styleId="FooterChar">
    <w:name w:val="Footer Char"/>
    <w:basedOn w:val="DefaultParagraphFont"/>
    <w:link w:val="Footer"/>
    <w:uiPriority w:val="99"/>
    <w:rsid w:val="00386C5C"/>
  </w:style>
  <w:style w:type="character" w:styleId="PageNumber">
    <w:name w:val="page number"/>
    <w:basedOn w:val="DefaultParagraphFont"/>
    <w:uiPriority w:val="99"/>
    <w:semiHidden/>
    <w:unhideWhenUsed/>
    <w:rsid w:val="00386C5C"/>
  </w:style>
  <w:style w:type="paragraph" w:customStyle="1" w:styleId="brkparagraph">
    <w:name w:val="brk paragraph"/>
    <w:basedOn w:val="Normal"/>
    <w:rsid w:val="00713757"/>
    <w:pPr>
      <w:tabs>
        <w:tab w:val="left" w:pos="1170"/>
      </w:tabs>
    </w:pPr>
    <w:rPr>
      <w:rFonts w:ascii="Century Schoolbook" w:eastAsia="Times New Roman" w:hAnsi="Century Schoolbook" w:cs="Times New Roman"/>
      <w:spacing w:val="-5"/>
      <w:sz w:val="22"/>
      <w:szCs w:val="20"/>
      <w:lang w:val="en-CA"/>
    </w:rPr>
  </w:style>
  <w:style w:type="character" w:styleId="CommentReference">
    <w:name w:val="annotation reference"/>
    <w:rsid w:val="00904F3A"/>
    <w:rPr>
      <w:rFonts w:ascii="Helvetica" w:hAnsi="Helvetica"/>
      <w:b/>
      <w:sz w:val="28"/>
      <w:bdr w:val="none" w:sz="0" w:space="0" w:color="auto"/>
      <w:shd w:val="clear" w:color="auto" w:fill="FFFF00"/>
    </w:rPr>
  </w:style>
  <w:style w:type="paragraph" w:styleId="CommentText">
    <w:name w:val="annotation text"/>
    <w:basedOn w:val="Normal"/>
    <w:link w:val="CommentTextChar"/>
    <w:rsid w:val="00904F3A"/>
    <w:pPr>
      <w:spacing w:line="320" w:lineRule="exact"/>
    </w:pPr>
    <w:rPr>
      <w:rFonts w:ascii="Times New Roman" w:eastAsia="Times New Roman" w:hAnsi="Times New Roman" w:cs="Times New Roman"/>
      <w:szCs w:val="20"/>
      <w:lang w:val="x-none" w:eastAsia="x-none"/>
    </w:rPr>
  </w:style>
  <w:style w:type="character" w:customStyle="1" w:styleId="CommentTextChar">
    <w:name w:val="Comment Text Char"/>
    <w:basedOn w:val="DefaultParagraphFont"/>
    <w:link w:val="CommentText"/>
    <w:rsid w:val="00904F3A"/>
    <w:rPr>
      <w:rFonts w:ascii="Times New Roman" w:eastAsia="Times New Roman" w:hAnsi="Times New Roman" w:cs="Times New Roman"/>
      <w:szCs w:val="20"/>
      <w:lang w:val="x-none" w:eastAsia="x-none"/>
    </w:rPr>
  </w:style>
  <w:style w:type="paragraph" w:customStyle="1" w:styleId="TxtBodyText">
    <w:name w:val="Txt Body Text"/>
    <w:basedOn w:val="Normal"/>
    <w:link w:val="TxtBodyTextChar"/>
    <w:qFormat/>
    <w:rsid w:val="00904F3A"/>
    <w:pPr>
      <w:spacing w:line="560" w:lineRule="exact"/>
      <w:ind w:firstLine="720"/>
    </w:pPr>
    <w:rPr>
      <w:rFonts w:ascii="Times New Roman" w:eastAsia="Times New Roman" w:hAnsi="Times New Roman" w:cs="Times New Roman"/>
    </w:rPr>
  </w:style>
  <w:style w:type="character" w:customStyle="1" w:styleId="TxtBodyTextChar">
    <w:name w:val="Txt Body Text Char"/>
    <w:link w:val="TxtBodyText"/>
    <w:rsid w:val="00904F3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4F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F3A"/>
    <w:rPr>
      <w:rFonts w:ascii="Lucida Grande" w:hAnsi="Lucida Grande" w:cs="Lucida Grande"/>
      <w:sz w:val="18"/>
      <w:szCs w:val="18"/>
    </w:rPr>
  </w:style>
  <w:style w:type="character" w:customStyle="1" w:styleId="EndnoteTextChar">
    <w:name w:val="Endnote Text Char"/>
    <w:link w:val="EndnoteText"/>
    <w:uiPriority w:val="99"/>
    <w:rsid w:val="00904F3A"/>
    <w:rPr>
      <w:lang w:val="en-GB" w:eastAsia="en-CA"/>
    </w:rPr>
  </w:style>
  <w:style w:type="paragraph" w:styleId="EndnoteText">
    <w:name w:val="endnote text"/>
    <w:basedOn w:val="Normal"/>
    <w:link w:val="EndnoteTextChar"/>
    <w:uiPriority w:val="99"/>
    <w:rsid w:val="00904F3A"/>
    <w:rPr>
      <w:lang w:val="en-GB" w:eastAsia="en-CA"/>
    </w:rPr>
  </w:style>
  <w:style w:type="character" w:customStyle="1" w:styleId="EndnoteTextChar1">
    <w:name w:val="Endnote Text Char1"/>
    <w:basedOn w:val="DefaultParagraphFont"/>
    <w:uiPriority w:val="99"/>
    <w:semiHidden/>
    <w:rsid w:val="00904F3A"/>
  </w:style>
  <w:style w:type="character" w:styleId="EndnoteReference">
    <w:name w:val="endnote reference"/>
    <w:uiPriority w:val="99"/>
    <w:unhideWhenUsed/>
    <w:rsid w:val="00904F3A"/>
    <w:rPr>
      <w:vertAlign w:val="superscript"/>
    </w:rPr>
  </w:style>
  <w:style w:type="paragraph" w:customStyle="1" w:styleId="ExtExtractorBlockQuote">
    <w:name w:val="Ext Extract or Block Quote"/>
    <w:basedOn w:val="TxtBodyText"/>
    <w:rsid w:val="00904F3A"/>
    <w:pPr>
      <w:ind w:left="720" w:right="720"/>
      <w:contextualSpacing/>
    </w:pPr>
  </w:style>
  <w:style w:type="paragraph" w:customStyle="1" w:styleId="H1HeadingLevel1">
    <w:name w:val="H1 Heading Level 1"/>
    <w:basedOn w:val="Normal"/>
    <w:next w:val="TxtBodyText"/>
    <w:rsid w:val="00D34330"/>
    <w:pPr>
      <w:spacing w:before="480" w:after="240" w:line="560" w:lineRule="exact"/>
      <w:outlineLvl w:val="0"/>
    </w:pPr>
    <w:rPr>
      <w:rFonts w:ascii="Arial" w:eastAsia="Times New Roman" w:hAnsi="Arial" w:cs="Times New Roman"/>
      <w:b/>
      <w:sz w:val="40"/>
      <w:szCs w:val="20"/>
    </w:rPr>
  </w:style>
  <w:style w:type="paragraph" w:styleId="NormalWeb">
    <w:name w:val="Normal (Web)"/>
    <w:basedOn w:val="Normal"/>
    <w:uiPriority w:val="99"/>
    <w:unhideWhenUsed/>
    <w:rsid w:val="00490677"/>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490677"/>
    <w:rPr>
      <w:i/>
      <w:iCs/>
    </w:rPr>
  </w:style>
  <w:style w:type="paragraph" w:styleId="CommentSubject">
    <w:name w:val="annotation subject"/>
    <w:basedOn w:val="CommentText"/>
    <w:next w:val="CommentText"/>
    <w:link w:val="CommentSubjectChar"/>
    <w:uiPriority w:val="99"/>
    <w:semiHidden/>
    <w:unhideWhenUsed/>
    <w:rsid w:val="004317A3"/>
    <w:pPr>
      <w:spacing w:line="240" w:lineRule="auto"/>
    </w:pPr>
    <w:rPr>
      <w:rFonts w:asciiTheme="minorHAnsi" w:eastAsiaTheme="minorEastAsia" w:hAnsiTheme="minorHAnsi" w:cstheme="minorBidi"/>
      <w:b/>
      <w:bCs/>
      <w:sz w:val="20"/>
      <w:lang w:val="en-US" w:eastAsia="en-US"/>
    </w:rPr>
  </w:style>
  <w:style w:type="character" w:customStyle="1" w:styleId="CommentSubjectChar">
    <w:name w:val="Comment Subject Char"/>
    <w:basedOn w:val="CommentTextChar"/>
    <w:link w:val="CommentSubject"/>
    <w:uiPriority w:val="99"/>
    <w:semiHidden/>
    <w:rsid w:val="004317A3"/>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DC561E"/>
    <w:rPr>
      <w:color w:val="800080" w:themeColor="followedHyperlink"/>
      <w:u w:val="single"/>
    </w:rPr>
  </w:style>
  <w:style w:type="paragraph" w:customStyle="1" w:styleId="Font11">
    <w:name w:val="Font 11"/>
    <w:basedOn w:val="Normal"/>
    <w:autoRedefine/>
    <w:qFormat/>
    <w:rsid w:val="00550DDF"/>
    <w:rPr>
      <w:rFonts w:ascii="Times New Roman" w:eastAsia="Calibri"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ftertheasylum.apps01.yorku.ca/en/deinstitutionalizationPostcards/NovaScotia" TargetMode="External"/><Relationship Id="rId13" Type="http://schemas.openxmlformats.org/officeDocument/2006/relationships/hyperlink" Target="http://aftertheasylum.apps01.yorku.ca/en/survivorCulture"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bc.ca/news/politics/trudeau-attawapiskat-youth-chief-meeting-1.36299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ftertheasylum.apps01.yorku.ca/en/workingBetweenMentalHealthWorl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ftertheasylum.apps01.yorku.ca/en/deinstitutionalizationPostcards/StJeanDeDieu" TargetMode="External"/><Relationship Id="rId4" Type="http://schemas.openxmlformats.org/officeDocument/2006/relationships/settings" Target="settings.xml"/><Relationship Id="rId9" Type="http://schemas.openxmlformats.org/officeDocument/2006/relationships/hyperlink" Target="https://www.thestar.com/news/canada/2016/12/21/trudeau-urges-provinces-to-spend-on-mental-health-care.html" TargetMode="External"/><Relationship Id="rId14" Type="http://schemas.openxmlformats.org/officeDocument/2006/relationships/hyperlink" Target="http://aftertheasylum.apps01.yorku.ca/en/CMHAWhiteCross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7959</Words>
  <Characters>45368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53221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Dyck</dc:creator>
  <cp:lastModifiedBy>Joann </cp:lastModifiedBy>
  <cp:revision>2</cp:revision>
  <dcterms:created xsi:type="dcterms:W3CDTF">2017-08-02T21:12:00Z</dcterms:created>
  <dcterms:modified xsi:type="dcterms:W3CDTF">2017-08-02T21:12:00Z</dcterms:modified>
</cp:coreProperties>
</file>